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060"/>
        <w:spacing w:after="0"/>
        <w:rPr>
          <w:sz w:val="20"/>
          <w:szCs w:val="20"/>
          <w:color w:val="auto"/>
        </w:rPr>
      </w:pPr>
      <w:r>
        <w:rPr>
          <w:rFonts w:ascii="Arial" w:cs="Arial" w:eastAsia="Arial" w:hAnsi="Arial"/>
          <w:sz w:val="11"/>
          <w:szCs w:val="11"/>
          <w:b w:val="1"/>
          <w:bCs w:val="1"/>
          <w:color w:val="auto"/>
        </w:rPr>
        <w:t>_____________________________________________________________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40" w:lineRule="exact"/>
        <w:rPr>
          <w:sz w:val="24"/>
          <w:szCs w:val="24"/>
          <w:color w:val="auto"/>
        </w:rPr>
      </w:pPr>
    </w:p>
    <w:p>
      <w:pPr>
        <w:ind w:left="720" w:hanging="422"/>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3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 the fiscal year ended January 31, 2013</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720" w:right="140" w:hanging="462"/>
        <w:spacing w:after="0" w:line="248"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215"/>
        </w:trPr>
        <w:tc>
          <w:tcPr>
            <w:tcW w:w="2660" w:type="dxa"/>
            <w:vAlign w:val="bottom"/>
            <w:gridSpan w:val="2"/>
          </w:tcPr>
          <w:p>
            <w:pPr>
              <w:ind w:left="200"/>
              <w:spacing w:after="0"/>
              <w:rPr>
                <w:sz w:val="20"/>
                <w:szCs w:val="20"/>
                <w:color w:val="auto"/>
              </w:rPr>
            </w:pPr>
            <w:r>
              <w:rPr>
                <w:rFonts w:ascii="Arial" w:cs="Arial" w:eastAsia="Arial" w:hAnsi="Arial"/>
                <w:sz w:val="18"/>
                <w:szCs w:val="18"/>
                <w:b w:val="1"/>
                <w:bCs w:val="1"/>
                <w:color w:val="auto"/>
                <w:w w:val="96"/>
              </w:rPr>
              <w:t>For the transition period from</w:t>
            </w:r>
          </w:p>
        </w:tc>
        <w:tc>
          <w:tcPr>
            <w:tcW w:w="48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to</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1"/>
        </w:trPr>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80" w:type="dxa"/>
            <w:vAlign w:val="bottom"/>
          </w:tcPr>
          <w:p>
            <w:pPr>
              <w:jc w:val="center"/>
              <w:ind w:left="699"/>
              <w:spacing w:after="0"/>
              <w:rPr>
                <w:sz w:val="20"/>
                <w:szCs w:val="20"/>
                <w:color w:val="auto"/>
              </w:rPr>
            </w:pPr>
            <w:r>
              <w:rPr>
                <w:rFonts w:ascii="Arial" w:cs="Arial" w:eastAsia="Arial" w:hAnsi="Arial"/>
                <w:sz w:val="18"/>
                <w:szCs w:val="18"/>
                <w:b w:val="1"/>
                <w:bCs w:val="1"/>
                <w:color w:val="auto"/>
                <w:w w:val="91"/>
              </w:rPr>
              <w:t>Commission File Number: 0-14338</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08"/>
        </w:trPr>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80" w:type="dxa"/>
            <w:vAlign w:val="bottom"/>
            <w:gridSpan w:val="3"/>
          </w:tcPr>
          <w:p>
            <w:pPr>
              <w:jc w:val="right"/>
              <w:ind w:right="254"/>
              <w:spacing w:after="0" w:line="109" w:lineRule="exact"/>
              <w:rPr>
                <w:sz w:val="20"/>
                <w:szCs w:val="20"/>
                <w:color w:val="auto"/>
              </w:rPr>
            </w:pPr>
            <w:r>
              <w:rPr>
                <w:rFonts w:ascii="Arial" w:cs="Arial" w:eastAsia="Arial" w:hAnsi="Arial"/>
                <w:sz w:val="11"/>
                <w:szCs w:val="11"/>
                <w:b w:val="1"/>
                <w:bCs w:val="1"/>
                <w:color w:val="auto"/>
              </w:rPr>
              <w:t>_____________________________________________________________</w:t>
            </w: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409"/>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tcPr>
          <w:p>
            <w:pPr>
              <w:jc w:val="center"/>
              <w:ind w:left="679"/>
              <w:spacing w:after="0"/>
              <w:rPr>
                <w:sz w:val="20"/>
                <w:szCs w:val="20"/>
                <w:color w:val="auto"/>
              </w:rPr>
            </w:pPr>
            <w:r>
              <w:rPr>
                <w:rFonts w:ascii="Arial" w:cs="Arial" w:eastAsia="Arial" w:hAnsi="Arial"/>
                <w:sz w:val="32"/>
                <w:szCs w:val="32"/>
                <w:b w:val="1"/>
                <w:bCs w:val="1"/>
                <w:color w:val="auto"/>
              </w:rPr>
              <w:t>AUTODESK, INC.</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6"/>
        </w:trPr>
        <w:tc>
          <w:tcPr>
            <w:tcW w:w="1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520" w:type="dxa"/>
            <w:vAlign w:val="bottom"/>
            <w:gridSpan w:val="6"/>
          </w:tcPr>
          <w:p>
            <w:pPr>
              <w:jc w:val="center"/>
              <w:ind w:right="306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404"/>
        </w:trPr>
        <w:tc>
          <w:tcPr>
            <w:tcW w:w="1800" w:type="dxa"/>
            <w:vAlign w:val="bottom"/>
          </w:tcPr>
          <w:p>
            <w:pPr>
              <w:spacing w:after="0"/>
              <w:rPr>
                <w:sz w:val="24"/>
                <w:szCs w:val="24"/>
                <w:color w:val="auto"/>
              </w:rPr>
            </w:pPr>
          </w:p>
        </w:tc>
        <w:tc>
          <w:tcPr>
            <w:tcW w:w="5020" w:type="dxa"/>
            <w:vAlign w:val="bottom"/>
            <w:gridSpan w:val="3"/>
          </w:tcPr>
          <w:p>
            <w:pPr>
              <w:jc w:val="center"/>
              <w:ind w:right="3579"/>
              <w:spacing w:after="0"/>
              <w:rPr>
                <w:sz w:val="20"/>
                <w:szCs w:val="20"/>
                <w:color w:val="auto"/>
              </w:rPr>
            </w:pPr>
            <w:r>
              <w:rPr>
                <w:rFonts w:ascii="Arial" w:cs="Arial" w:eastAsia="Arial" w:hAnsi="Arial"/>
                <w:sz w:val="18"/>
                <w:szCs w:val="18"/>
                <w:b w:val="1"/>
                <w:bCs w:val="1"/>
                <w:color w:val="auto"/>
                <w:w w:val="93"/>
              </w:rPr>
              <w:t>Delaware</w:t>
            </w:r>
          </w:p>
        </w:tc>
        <w:tc>
          <w:tcPr>
            <w:tcW w:w="2160" w:type="dxa"/>
            <w:vAlign w:val="bottom"/>
            <w:gridSpan w:val="3"/>
          </w:tcPr>
          <w:p>
            <w:pPr>
              <w:jc w:val="right"/>
              <w:ind w:right="244"/>
              <w:spacing w:after="0"/>
              <w:rPr>
                <w:sz w:val="20"/>
                <w:szCs w:val="20"/>
                <w:color w:val="auto"/>
              </w:rPr>
            </w:pPr>
            <w:r>
              <w:rPr>
                <w:rFonts w:ascii="Arial" w:cs="Arial" w:eastAsia="Arial" w:hAnsi="Arial"/>
                <w:sz w:val="18"/>
                <w:szCs w:val="18"/>
                <w:b w:val="1"/>
                <w:bCs w:val="1"/>
                <w:color w:val="auto"/>
              </w:rPr>
              <w:t>94-2819853</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0"/>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4"/>
              </w:rPr>
              <w:t>(State or other jurisdiction</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3"/>
              </w:rPr>
              <w:t>of incorporation or organization)</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111 McInnis Parkway,</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4"/>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San Rafael, California</w:t>
            </w:r>
          </w:p>
        </w:tc>
        <w:tc>
          <w:tcPr>
            <w:tcW w:w="2160" w:type="dxa"/>
            <w:vAlign w:val="bottom"/>
            <w:gridSpan w:val="3"/>
          </w:tcPr>
          <w:p>
            <w:pPr>
              <w:jc w:val="right"/>
              <w:ind w:right="444"/>
              <w:spacing w:after="0"/>
              <w:rPr>
                <w:sz w:val="20"/>
                <w:szCs w:val="20"/>
                <w:color w:val="auto"/>
              </w:rPr>
            </w:pPr>
            <w:r>
              <w:rPr>
                <w:rFonts w:ascii="Arial" w:cs="Arial" w:eastAsia="Arial" w:hAnsi="Arial"/>
                <w:sz w:val="18"/>
                <w:szCs w:val="18"/>
                <w:b w:val="1"/>
                <w:bCs w:val="1"/>
                <w:color w:val="auto"/>
              </w:rPr>
              <w:t>94903</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1"/>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95"/>
              </w:rPr>
              <w:t>(Zip Code)</w:t>
            </w:r>
          </w:p>
        </w:tc>
      </w:tr>
      <w:tr>
        <w:trPr>
          <w:trHeight w:val="221"/>
        </w:trPr>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0" w:type="dxa"/>
            <w:vAlign w:val="bottom"/>
            <w:gridSpan w:val="7"/>
          </w:tcPr>
          <w:p>
            <w:pPr>
              <w:jc w:val="center"/>
              <w:ind w:right="2580"/>
              <w:spacing w:after="0"/>
              <w:rPr>
                <w:sz w:val="20"/>
                <w:szCs w:val="20"/>
                <w:color w:val="auto"/>
              </w:rPr>
            </w:pPr>
            <w:r>
              <w:rPr>
                <w:rFonts w:ascii="Arial" w:cs="Arial" w:eastAsia="Arial" w:hAnsi="Arial"/>
                <w:sz w:val="18"/>
                <w:szCs w:val="18"/>
                <w:b w:val="1"/>
                <w:bCs w:val="1"/>
                <w:color w:val="auto"/>
                <w:w w:val="89"/>
              </w:rPr>
              <w:t>Registrant’s telephone number, including area code: (415) 507-5000</w:t>
            </w:r>
          </w:p>
        </w:tc>
      </w:tr>
      <w:tr>
        <w:trPr>
          <w:trHeight w:val="140"/>
        </w:trPr>
        <w:tc>
          <w:tcPr>
            <w:tcW w:w="1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80" w:type="dxa"/>
            <w:vAlign w:val="bottom"/>
            <w:gridSpan w:val="3"/>
          </w:tcPr>
          <w:p>
            <w:pPr>
              <w:jc w:val="center"/>
              <w:ind w:left="672"/>
              <w:spacing w:after="0"/>
              <w:rPr>
                <w:sz w:val="20"/>
                <w:szCs w:val="20"/>
                <w:color w:val="auto"/>
              </w:rPr>
            </w:pPr>
            <w:r>
              <w:rPr>
                <w:rFonts w:ascii="Arial" w:cs="Arial" w:eastAsia="Arial" w:hAnsi="Arial"/>
                <w:sz w:val="11"/>
                <w:szCs w:val="11"/>
                <w:b w:val="1"/>
                <w:bCs w:val="1"/>
                <w:color w:val="auto"/>
                <w:w w:val="88"/>
              </w:rPr>
              <w:t>_____________________________________________________________</w:t>
            </w: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38"/>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520" w:type="dxa"/>
            <w:vAlign w:val="bottom"/>
            <w:gridSpan w:val="6"/>
          </w:tcPr>
          <w:p>
            <w:pPr>
              <w:jc w:val="center"/>
              <w:ind w:right="304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38"/>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2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86"/>
              </w:rPr>
              <w:t>Name of each exchange</w:t>
            </w:r>
          </w:p>
        </w:tc>
      </w:tr>
      <w:tr>
        <w:trPr>
          <w:trHeight w:val="196"/>
        </w:trPr>
        <w:tc>
          <w:tcPr>
            <w:tcW w:w="1800" w:type="dxa"/>
            <w:vAlign w:val="bottom"/>
          </w:tcPr>
          <w:p>
            <w:pPr>
              <w:spacing w:after="0"/>
              <w:rPr>
                <w:sz w:val="17"/>
                <w:szCs w:val="17"/>
                <w:color w:val="auto"/>
              </w:rPr>
            </w:pPr>
          </w:p>
        </w:tc>
        <w:tc>
          <w:tcPr>
            <w:tcW w:w="5020" w:type="dxa"/>
            <w:vAlign w:val="bottom"/>
            <w:gridSpan w:val="3"/>
          </w:tcPr>
          <w:p>
            <w:pPr>
              <w:jc w:val="center"/>
              <w:ind w:right="3579"/>
              <w:spacing w:after="0" w:line="196" w:lineRule="exact"/>
              <w:rPr>
                <w:sz w:val="20"/>
                <w:szCs w:val="20"/>
                <w:color w:val="auto"/>
              </w:rPr>
            </w:pPr>
            <w:r>
              <w:rPr>
                <w:rFonts w:ascii="Arial" w:cs="Arial" w:eastAsia="Arial" w:hAnsi="Arial"/>
                <w:sz w:val="18"/>
                <w:szCs w:val="18"/>
                <w:b w:val="1"/>
                <w:bCs w:val="1"/>
                <w:color w:val="auto"/>
                <w:w w:val="86"/>
              </w:rPr>
              <w:t>Title of each class</w:t>
            </w:r>
          </w:p>
        </w:tc>
        <w:tc>
          <w:tcPr>
            <w:tcW w:w="5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center"/>
              <w:ind w:right="140"/>
              <w:spacing w:after="0" w:line="196" w:lineRule="exact"/>
              <w:rPr>
                <w:sz w:val="20"/>
                <w:szCs w:val="20"/>
                <w:color w:val="auto"/>
              </w:rPr>
            </w:pPr>
            <w:r>
              <w:rPr>
                <w:rFonts w:ascii="Arial" w:cs="Arial" w:eastAsia="Arial" w:hAnsi="Arial"/>
                <w:sz w:val="18"/>
                <w:szCs w:val="18"/>
                <w:b w:val="1"/>
                <w:bCs w:val="1"/>
                <w:color w:val="auto"/>
                <w:w w:val="88"/>
              </w:rPr>
              <w:t>on which registered</w:t>
            </w:r>
          </w:p>
        </w:tc>
        <w:tc>
          <w:tcPr>
            <w:tcW w:w="1540" w:type="dxa"/>
            <w:vAlign w:val="bottom"/>
          </w:tcPr>
          <w:p>
            <w:pPr>
              <w:spacing w:after="0"/>
              <w:rPr>
                <w:sz w:val="17"/>
                <w:szCs w:val="17"/>
                <w:color w:val="auto"/>
              </w:rPr>
            </w:pPr>
          </w:p>
        </w:tc>
      </w:tr>
      <w:tr>
        <w:trPr>
          <w:trHeight w:val="20"/>
        </w:trPr>
        <w:tc>
          <w:tcPr>
            <w:tcW w:w="682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272"/>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Common Stock, $0.01 Par Value</w:t>
            </w:r>
          </w:p>
        </w:tc>
        <w:tc>
          <w:tcPr>
            <w:tcW w:w="3840" w:type="dxa"/>
            <w:vAlign w:val="bottom"/>
            <w:gridSpan w:val="5"/>
          </w:tcPr>
          <w:p>
            <w:pPr>
              <w:jc w:val="center"/>
              <w:ind w:right="1020"/>
              <w:spacing w:after="0"/>
              <w:rPr>
                <w:sz w:val="20"/>
                <w:szCs w:val="20"/>
                <w:color w:val="auto"/>
              </w:rPr>
            </w:pPr>
            <w:r>
              <w:rPr>
                <w:rFonts w:ascii="Arial" w:cs="Arial" w:eastAsia="Arial" w:hAnsi="Arial"/>
                <w:sz w:val="18"/>
                <w:szCs w:val="18"/>
                <w:b w:val="1"/>
                <w:bCs w:val="1"/>
                <w:color w:val="auto"/>
                <w:w w:val="96"/>
              </w:rPr>
              <w:t>The NASDAQ Stock Market LLC</w:t>
            </w:r>
          </w:p>
        </w:tc>
      </w:tr>
      <w:tr>
        <w:trPr>
          <w:trHeight w:val="234"/>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840" w:type="dxa"/>
            <w:vAlign w:val="bottom"/>
            <w:gridSpan w:val="5"/>
          </w:tcPr>
          <w:p>
            <w:pPr>
              <w:jc w:val="center"/>
              <w:ind w:right="1020"/>
              <w:spacing w:after="0"/>
              <w:rPr>
                <w:sz w:val="20"/>
                <w:szCs w:val="20"/>
                <w:color w:val="auto"/>
              </w:rPr>
            </w:pPr>
            <w:r>
              <w:rPr>
                <w:rFonts w:ascii="Arial" w:cs="Arial" w:eastAsia="Arial" w:hAnsi="Arial"/>
                <w:sz w:val="18"/>
                <w:szCs w:val="18"/>
                <w:b w:val="1"/>
                <w:bCs w:val="1"/>
                <w:color w:val="auto"/>
                <w:w w:val="94"/>
              </w:rPr>
              <w:t>(NASDAQ Global Select Market)</w:t>
            </w:r>
          </w:p>
        </w:tc>
      </w:tr>
      <w:tr>
        <w:trPr>
          <w:trHeight w:val="256"/>
        </w:trPr>
        <w:tc>
          <w:tcPr>
            <w:tcW w:w="1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0" w:type="dxa"/>
            <w:vAlign w:val="bottom"/>
            <w:gridSpan w:val="7"/>
          </w:tcPr>
          <w:p>
            <w:pPr>
              <w:jc w:val="center"/>
              <w:ind w:right="256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r>
      <w:tr>
        <w:trPr>
          <w:trHeight w:val="108"/>
        </w:trPr>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80" w:type="dxa"/>
            <w:vAlign w:val="bottom"/>
            <w:gridSpan w:val="3"/>
          </w:tcPr>
          <w:p>
            <w:pPr>
              <w:jc w:val="center"/>
              <w:ind w:left="652"/>
              <w:spacing w:after="0" w:line="109" w:lineRule="exact"/>
              <w:rPr>
                <w:sz w:val="20"/>
                <w:szCs w:val="20"/>
                <w:color w:val="auto"/>
              </w:rPr>
            </w:pPr>
            <w:r>
              <w:rPr>
                <w:rFonts w:ascii="Arial" w:cs="Arial" w:eastAsia="Arial" w:hAnsi="Arial"/>
                <w:sz w:val="11"/>
                <w:szCs w:val="11"/>
                <w:b w:val="1"/>
                <w:bCs w:val="1"/>
                <w:color w:val="auto"/>
                <w:w w:val="87"/>
              </w:rPr>
              <w:t>_____________________________________________________________</w:t>
            </w: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49"/>
        </w:trPr>
        <w:tc>
          <w:tcPr>
            <w:tcW w:w="6820" w:type="dxa"/>
            <w:vAlign w:val="bottom"/>
            <w:gridSpan w:val="4"/>
          </w:tcPr>
          <w:p>
            <w:pPr>
              <w:spacing w:after="0" w:line="149" w:lineRule="exact"/>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840" w:type="dxa"/>
            <w:vAlign w:val="bottom"/>
            <w:gridSpan w:val="5"/>
          </w:tcPr>
          <w:p>
            <w:pPr>
              <w:ind w:left="60"/>
              <w:spacing w:after="0" w:line="149" w:lineRule="exact"/>
              <w:rPr>
                <w:sz w:val="20"/>
                <w:szCs w:val="20"/>
                <w:color w:val="auto"/>
              </w:rPr>
            </w:pPr>
            <w:r>
              <w:rPr>
                <w:rFonts w:ascii="Arial" w:cs="Arial" w:eastAsia="Arial" w:hAnsi="Arial"/>
                <w:sz w:val="14"/>
                <w:szCs w:val="14"/>
                <w:color w:val="auto"/>
              </w:rPr>
              <w:t xml:space="preserve">Yes x  No </w:t>
            </w:r>
            <w:r>
              <w:rPr>
                <w:rFonts w:ascii="MS PGothic" w:cs="MS PGothic" w:eastAsia="MS PGothic" w:hAnsi="MS PGothic"/>
                <w:sz w:val="14"/>
                <w:szCs w:val="14"/>
                <w:color w:val="auto"/>
              </w:rPr>
              <w:t>☐</w:t>
            </w:r>
          </w:p>
        </w:tc>
      </w:tr>
      <w:tr>
        <w:trPr>
          <w:trHeight w:val="196"/>
        </w:trPr>
        <w:tc>
          <w:tcPr>
            <w:tcW w:w="10660" w:type="dxa"/>
            <w:vAlign w:val="bottom"/>
            <w:gridSpan w:val="9"/>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not required to file reports pursuant to Section 13 or Section 15(d) of the Securities Exchange Act of 1934 (“Exchange Act”).  Yes </w:t>
            </w:r>
            <w:r>
              <w:rPr>
                <w:rFonts w:ascii="MS PGothic" w:cs="MS PGothic" w:eastAsia="MS PGothic" w:hAnsi="MS PGothic"/>
                <w:sz w:val="14"/>
                <w:szCs w:val="14"/>
                <w:color w:val="auto"/>
                <w:w w:val="95"/>
              </w:rPr>
              <w:t>☐</w:t>
            </w:r>
            <w:r>
              <w:rPr>
                <w:rFonts w:ascii="Arial" w:cs="Arial" w:eastAsia="Arial" w:hAnsi="Arial"/>
                <w:sz w:val="14"/>
                <w:szCs w:val="14"/>
                <w:color w:val="auto"/>
                <w:w w:val="95"/>
              </w:rPr>
              <w:t xml:space="preserve">  No x</w:t>
            </w:r>
          </w:p>
        </w:tc>
      </w:tr>
    </w:tbl>
    <w:p>
      <w:pPr>
        <w:ind w:firstLine="324"/>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324"/>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24"/>
        <w:spacing w:after="0" w:line="17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ind w:right="200" w:firstLine="324"/>
        <w:spacing w:after="0" w:line="34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sectPr>
      </w:pPr>
    </w:p>
    <w:p>
      <w:pPr>
        <w:spacing w:after="0" w:line="169" w:lineRule="exact"/>
        <w:rPr>
          <w:sz w:val="24"/>
          <w:szCs w:val="24"/>
          <w:color w:val="auto"/>
        </w:rPr>
      </w:pPr>
    </w:p>
    <w:p>
      <w:pPr>
        <w:ind w:left="1400"/>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o</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 o</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33" w:lineRule="exact"/>
        <w:rPr>
          <w:sz w:val="24"/>
          <w:szCs w:val="24"/>
          <w:color w:val="auto"/>
        </w:rPr>
      </w:pPr>
    </w:p>
    <w:p>
      <w:pPr>
        <w:sectPr>
          <w:pgSz w:w="11900" w:h="16838" w:orient="portrait"/>
          <w:cols w:equalWidth="0" w:num="4">
            <w:col w:w="2840" w:space="200"/>
            <w:col w:w="2120" w:space="720"/>
            <w:col w:w="2120" w:space="720"/>
            <w:col w:w="2700"/>
          </w:cols>
          <w:pgMar w:left="240" w:top="233" w:right="239" w:bottom="1440" w:gutter="0" w:footer="0" w:header="0"/>
          <w:type w:val="continuous"/>
        </w:sectPr>
      </w:pPr>
    </w:p>
    <w:p>
      <w:pPr>
        <w:ind w:left="340"/>
        <w:spacing w:after="0" w:line="161" w:lineRule="exact"/>
        <w:tabs>
          <w:tab w:leader="none" w:pos="7020" w:val="left"/>
          <w:tab w:leader="none" w:pos="7620" w:val="left"/>
        </w:tabs>
        <w:rPr>
          <w:sz w:val="20"/>
          <w:szCs w:val="20"/>
          <w:color w:val="auto"/>
        </w:rPr>
      </w:pPr>
      <w:r>
        <w:rPr>
          <w:rFonts w:ascii="Arial" w:cs="Arial" w:eastAsia="Arial" w:hAnsi="Arial"/>
          <w:sz w:val="14"/>
          <w:szCs w:val="14"/>
          <w:color w:val="auto"/>
        </w:rPr>
        <w:t>Indicate by check mark whether the registrant is a shell company (as defined by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ectPr>
          <w:pgSz w:w="11900" w:h="16838" w:orient="portrait"/>
          <w:cols w:equalWidth="0" w:num="1">
            <w:col w:w="11420"/>
          </w:cols>
          <w:pgMar w:left="240" w:top="233" w:right="239" w:bottom="1440" w:gutter="0" w:footer="0" w:header="0"/>
          <w:type w:val="continuous"/>
        </w:sectPr>
      </w:pPr>
    </w:p>
    <w:p>
      <w:pPr>
        <w:spacing w:after="0" w:line="31" w:lineRule="exact"/>
        <w:rPr>
          <w:sz w:val="24"/>
          <w:szCs w:val="24"/>
          <w:color w:val="auto"/>
        </w:rPr>
      </w:pPr>
    </w:p>
    <w:p>
      <w:pPr>
        <w:ind w:right="140" w:firstLine="324"/>
        <w:spacing w:after="0" w:line="250" w:lineRule="auto"/>
        <w:rPr>
          <w:sz w:val="20"/>
          <w:szCs w:val="20"/>
          <w:color w:val="auto"/>
        </w:rPr>
      </w:pPr>
      <w:r>
        <w:rPr>
          <w:rFonts w:ascii="Arial" w:cs="Arial" w:eastAsia="Arial" w:hAnsi="Arial"/>
          <w:sz w:val="13"/>
          <w:szCs w:val="13"/>
          <w:color w:val="auto"/>
        </w:rPr>
        <w:t>As of July 31, 2012, the last business day of the registrant’s most recently completed second fiscal quarter, there were approximately 225.8 million shares of the registrant’s common stock outstanding that were held by non-affiliates, and the aggregate market value of such shares held by non-affiliates of the registrant (based on the closing sale price of such shares on the NASDAQ Global Select Market on July 31, 2012, the last trading day of our second fiscal quarter) was approximately $7.7 billion. Shares of the registrant’s common stock held by each executive officer and director have been excluded in that such persons may be deemed to be affiliates. This determination of affiliate status is not necessarily a conclusive determination for other purposes.</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28, 2013, registrant had outstanding approximately 223.8 million shares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3"/>
          <w:szCs w:val="13"/>
          <w:color w:val="auto"/>
        </w:rPr>
        <w:t>Portions of the Proxy Statement for registrant’s Annual Meeting of Stockholders (the “Proxy Statement”), are incorporated by reference in Part III of this Form 10-K to the extent stated herein.</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The Proxy Statement will be filed within 120 days of the registrant’s fiscal year ended January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2579"/>
        <w:spacing w:after="0"/>
        <w:rPr>
          <w:sz w:val="20"/>
          <w:szCs w:val="20"/>
          <w:color w:val="auto"/>
        </w:rPr>
      </w:pPr>
      <w:r>
        <w:rPr>
          <w:rFonts w:ascii="Arial" w:cs="Arial" w:eastAsia="Arial" w:hAnsi="Arial"/>
          <w:sz w:val="18"/>
          <w:szCs w:val="18"/>
          <w:b w:val="1"/>
          <w:bCs w:val="1"/>
          <w:color w:val="auto"/>
        </w:rPr>
        <w:t>[THIS PAGE INTENTIONALLY LEFT BLANK]</w:t>
      </w:r>
    </w:p>
    <w:p>
      <w:pPr>
        <w:spacing w:after="0" w:line="200" w:lineRule="exact"/>
        <w:rPr>
          <w:sz w:val="20"/>
          <w:szCs w:val="20"/>
          <w:color w:val="auto"/>
        </w:rPr>
      </w:pPr>
    </w:p>
    <w:p>
      <w:pPr>
        <w:spacing w:after="0" w:line="277"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2</w:t>
      </w:r>
    </w:p>
    <w:p>
      <w:pPr>
        <w:sectPr>
          <w:pgSz w:w="11900" w:h="16838" w:orient="portrait"/>
          <w:cols w:equalWidth="0" w:num="1">
            <w:col w:w="10219"/>
          </w:cols>
          <w:pgMar w:left="240" w:top="125" w:right="1440"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60" w:type="dxa"/>
            <w:vAlign w:val="bottom"/>
            <w:gridSpan w:val="10"/>
          </w:tcPr>
          <w:p>
            <w:pPr>
              <w:jc w:val="center"/>
              <w:ind w:right="2900"/>
              <w:spacing w:after="0"/>
              <w:rPr>
                <w:sz w:val="20"/>
                <w:szCs w:val="20"/>
                <w:color w:val="auto"/>
              </w:rPr>
            </w:pPr>
            <w:r>
              <w:rPr>
                <w:rFonts w:ascii="Arial" w:cs="Arial" w:eastAsia="Arial" w:hAnsi="Arial"/>
                <w:sz w:val="18"/>
                <w:szCs w:val="18"/>
                <w:b w:val="1"/>
                <w:bCs w:val="1"/>
                <w:color w:val="auto"/>
              </w:rPr>
              <w:t>AUTODESK, INC. FORM 10-K</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8"/>
              </w:rPr>
              <w:t>TABLE OF CONTENTS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Page</w:t>
            </w:r>
          </w:p>
        </w:tc>
      </w:tr>
      <w:tr>
        <w:trPr>
          <w:trHeight w:val="189"/>
        </w:trPr>
        <w:tc>
          <w:tcPr>
            <w:tcW w:w="580" w:type="dxa"/>
            <w:vAlign w:val="bottom"/>
            <w:tcBorders>
              <w:bottom w:val="single" w:sz="8" w:color="0000FF"/>
            </w:tcBorders>
          </w:tcPr>
          <w:p>
            <w:pPr>
              <w:spacing w:after="0" w:line="189" w:lineRule="exact"/>
              <w:rPr>
                <w:rFonts w:ascii="Arial" w:cs="Arial" w:eastAsia="Arial" w:hAnsi="Arial"/>
                <w:sz w:val="18"/>
                <w:szCs w:val="18"/>
                <w:b w:val="1"/>
                <w:bCs w:val="1"/>
                <w:color w:val="0000FF"/>
                <w:w w:val="94"/>
              </w:rPr>
            </w:pPr>
            <w:hyperlink w:anchor="page4">
              <w:r>
                <w:rPr>
                  <w:rFonts w:ascii="Arial" w:cs="Arial" w:eastAsia="Arial" w:hAnsi="Arial"/>
                  <w:sz w:val="18"/>
                  <w:szCs w:val="18"/>
                  <w:b w:val="1"/>
                  <w:bCs w:val="1"/>
                  <w:color w:val="0000FF"/>
                  <w:w w:val="94"/>
                </w:rPr>
                <w:t>PART I</w:t>
              </w:r>
            </w:hyperlink>
          </w:p>
        </w:tc>
        <w:tc>
          <w:tcPr>
            <w:tcW w:w="900" w:type="dxa"/>
            <w:vAlign w:val="bottom"/>
            <w:gridSpan w:val="4"/>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480" w:type="dxa"/>
            <w:vAlign w:val="bottom"/>
            <w:gridSpan w:val="5"/>
          </w:tcPr>
          <w:p>
            <w:pPr>
              <w:spacing w:after="0"/>
              <w:rPr>
                <w:sz w:val="20"/>
                <w:szCs w:val="20"/>
                <w:color w:val="auto"/>
              </w:rPr>
            </w:pPr>
            <w:r>
              <w:rPr>
                <w:rFonts w:ascii="Arial" w:cs="Arial" w:eastAsia="Arial" w:hAnsi="Arial"/>
                <w:sz w:val="18"/>
                <w:szCs w:val="18"/>
                <w:color w:val="auto"/>
              </w:rPr>
              <w:t>Item 1.</w:t>
            </w:r>
          </w:p>
        </w:tc>
        <w:tc>
          <w:tcPr>
            <w:tcW w:w="842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8420" w:type="dxa"/>
            <w:vAlign w:val="bottom"/>
            <w:gridSpan w:val="20"/>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Risk Factors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8420" w:type="dxa"/>
            <w:vAlign w:val="bottom"/>
            <w:gridSpan w:val="20"/>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Unresolved Staff Comments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FF"/>
                <w:w w:val="87"/>
              </w:rPr>
            </w:pPr>
            <w:hyperlink w:anchor="page27">
              <w:r>
                <w:rPr>
                  <w:rFonts w:ascii="Arial" w:cs="Arial" w:eastAsia="Arial" w:hAnsi="Arial"/>
                  <w:sz w:val="18"/>
                  <w:szCs w:val="18"/>
                  <w:color w:val="0000FF"/>
                  <w:w w:val="87"/>
                </w:rPr>
                <w:t>Properties</w:t>
              </w:r>
            </w:hyperlink>
          </w:p>
        </w:tc>
        <w:tc>
          <w:tcPr>
            <w:tcW w:w="1300" w:type="dxa"/>
            <w:vAlign w:val="bottom"/>
            <w:gridSpan w:val="7"/>
          </w:tcPr>
          <w:p>
            <w:pPr>
              <w:spacing w:after="0"/>
              <w:rPr>
                <w:sz w:val="24"/>
                <w:szCs w:val="24"/>
                <w:color w:val="auto"/>
              </w:rPr>
            </w:pPr>
          </w:p>
        </w:tc>
        <w:tc>
          <w:tcPr>
            <w:tcW w:w="6380" w:type="dxa"/>
            <w:vAlign w:val="bottom"/>
            <w:gridSpan w:val="11"/>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5"/>
          </w:tcPr>
          <w:p>
            <w:pPr>
              <w:spacing w:after="0"/>
              <w:rPr>
                <w:rFonts w:ascii="Arial" w:cs="Arial" w:eastAsia="Arial" w:hAnsi="Arial"/>
                <w:sz w:val="18"/>
                <w:szCs w:val="18"/>
                <w:color w:val="0000FF"/>
                <w:w w:val="87"/>
              </w:rPr>
            </w:pPr>
            <w:hyperlink w:anchor="page27">
              <w:r>
                <w:rPr>
                  <w:rFonts w:ascii="Arial" w:cs="Arial" w:eastAsia="Arial" w:hAnsi="Arial"/>
                  <w:sz w:val="18"/>
                  <w:szCs w:val="18"/>
                  <w:color w:val="0000FF"/>
                  <w:w w:val="87"/>
                </w:rPr>
                <w:t>Legal Proceedings</w:t>
              </w:r>
            </w:hyperlink>
          </w:p>
        </w:tc>
        <w:tc>
          <w:tcPr>
            <w:tcW w:w="7080" w:type="dxa"/>
            <w:vAlign w:val="bottom"/>
            <w:gridSpan w:val="1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4.</w:t>
            </w:r>
          </w:p>
        </w:tc>
        <w:tc>
          <w:tcPr>
            <w:tcW w:w="8420" w:type="dxa"/>
            <w:vAlign w:val="bottom"/>
            <w:gridSpan w:val="20"/>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Mine Safety Disclosures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372"/>
        </w:trPr>
        <w:tc>
          <w:tcPr>
            <w:tcW w:w="1480" w:type="dxa"/>
            <w:vAlign w:val="bottom"/>
            <w:gridSpan w:val="5"/>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PART II</w:t>
              </w:r>
            </w:hyperlink>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5.</w:t>
            </w:r>
          </w:p>
        </w:tc>
        <w:tc>
          <w:tcPr>
            <w:tcW w:w="840" w:type="dxa"/>
            <w:vAlign w:val="bottom"/>
            <w:gridSpan w:val="3"/>
          </w:tcPr>
          <w:p>
            <w:pPr>
              <w:spacing w:after="0"/>
              <w:rPr>
                <w:sz w:val="24"/>
                <w:szCs w:val="24"/>
                <w:color w:val="auto"/>
              </w:rPr>
            </w:pPr>
          </w:p>
        </w:tc>
        <w:tc>
          <w:tcPr>
            <w:tcW w:w="8080" w:type="dxa"/>
            <w:vAlign w:val="bottom"/>
            <w:gridSpan w:val="19"/>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Market for Registrant’s Common Equity, Related Stockholder Matters and Issuer Purchases of Equity Securities</w:t>
              </w:r>
            </w:hyperlink>
          </w:p>
        </w:tc>
        <w:tc>
          <w:tcPr>
            <w:tcW w:w="34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720" w:type="dxa"/>
            <w:vAlign w:val="bottom"/>
            <w:gridSpan w:val="6"/>
          </w:tcPr>
          <w:p>
            <w:pPr>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Selected Financial Data</w:t>
              </w:r>
            </w:hyperlink>
          </w:p>
        </w:tc>
        <w:tc>
          <w:tcPr>
            <w:tcW w:w="6360" w:type="dxa"/>
            <w:vAlign w:val="bottom"/>
            <w:gridSpan w:val="13"/>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6"/>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Management’s Discussion and Analysis of Financial Condition and Results of Operations</w:t>
              </w:r>
            </w:hyperlink>
          </w:p>
        </w:tc>
        <w:tc>
          <w:tcPr>
            <w:tcW w:w="19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4"/>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Quantitative and Qualitative Disclosures About Market Risk</w:t>
              </w:r>
            </w:hyperlink>
          </w:p>
        </w:tc>
        <w:tc>
          <w:tcPr>
            <w:tcW w:w="2100" w:type="dxa"/>
            <w:vAlign w:val="bottom"/>
            <w:gridSpan w:val="2"/>
          </w:tcPr>
          <w:p>
            <w:pPr>
              <w:spacing w:after="0"/>
              <w:rPr>
                <w:sz w:val="24"/>
                <w:szCs w:val="24"/>
                <w:color w:val="auto"/>
              </w:rPr>
            </w:pPr>
          </w:p>
        </w:tc>
        <w:tc>
          <w:tcPr>
            <w:tcW w:w="19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4"/>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Financial Statements and Supplementary Data</w:t>
              </w:r>
            </w:hyperlink>
          </w:p>
        </w:tc>
        <w:tc>
          <w:tcPr>
            <w:tcW w:w="406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52</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520" w:type="dxa"/>
            <w:vAlign w:val="bottom"/>
            <w:gridSpan w:val="17"/>
          </w:tcPr>
          <w:p>
            <w:pPr>
              <w:spacing w:after="0"/>
              <w:rPr>
                <w:rFonts w:ascii="Arial" w:cs="Arial" w:eastAsia="Arial" w:hAnsi="Arial"/>
                <w:sz w:val="18"/>
                <w:szCs w:val="18"/>
                <w:color w:val="0000FF"/>
                <w:w w:val="90"/>
              </w:rPr>
            </w:pPr>
            <w:hyperlink w:anchor="page90">
              <w:r>
                <w:rPr>
                  <w:rFonts w:ascii="Arial" w:cs="Arial" w:eastAsia="Arial" w:hAnsi="Arial"/>
                  <w:sz w:val="18"/>
                  <w:szCs w:val="18"/>
                  <w:color w:val="0000FF"/>
                  <w:w w:val="90"/>
                </w:rPr>
                <w:t>Changes in and Disagreements With Accountants on Accounting and Financial Disclosure</w:t>
              </w:r>
            </w:hyperlink>
          </w:p>
        </w:tc>
        <w:tc>
          <w:tcPr>
            <w:tcW w:w="1900" w:type="dxa"/>
            <w:vAlign w:val="bottom"/>
            <w:gridSpan w:val="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90">
              <w:r>
                <w:rPr>
                  <w:rFonts w:ascii="Arial" w:cs="Arial" w:eastAsia="Arial" w:hAnsi="Arial"/>
                  <w:sz w:val="18"/>
                  <w:szCs w:val="18"/>
                  <w:color w:val="0000FF"/>
                </w:rPr>
                <w:t>91</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780" w:type="dxa"/>
            <w:vAlign w:val="bottom"/>
            <w:gridSpan w:val="7"/>
          </w:tcPr>
          <w:p>
            <w:pPr>
              <w:spacing w:after="0"/>
              <w:rPr>
                <w:rFonts w:ascii="Arial" w:cs="Arial" w:eastAsia="Arial" w:hAnsi="Arial"/>
                <w:sz w:val="18"/>
                <w:szCs w:val="18"/>
                <w:color w:val="0000FF"/>
                <w:w w:val="88"/>
              </w:rPr>
            </w:pPr>
            <w:hyperlink w:anchor="page91">
              <w:r>
                <w:rPr>
                  <w:rFonts w:ascii="Arial" w:cs="Arial" w:eastAsia="Arial" w:hAnsi="Arial"/>
                  <w:sz w:val="18"/>
                  <w:szCs w:val="18"/>
                  <w:color w:val="0000FF"/>
                  <w:w w:val="88"/>
                </w:rPr>
                <w:t>Controls and Procedures</w:t>
              </w:r>
            </w:hyperlink>
          </w:p>
        </w:tc>
        <w:tc>
          <w:tcPr>
            <w:tcW w:w="4740" w:type="dxa"/>
            <w:vAlign w:val="bottom"/>
            <w:gridSpan w:val="10"/>
          </w:tcPr>
          <w:p>
            <w:pPr>
              <w:spacing w:after="0"/>
              <w:rPr>
                <w:sz w:val="24"/>
                <w:szCs w:val="24"/>
                <w:color w:val="auto"/>
              </w:rPr>
            </w:pPr>
          </w:p>
        </w:tc>
        <w:tc>
          <w:tcPr>
            <w:tcW w:w="1900" w:type="dxa"/>
            <w:vAlign w:val="bottom"/>
            <w:gridSpan w:val="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91">
              <w:r>
                <w:rPr>
                  <w:rFonts w:ascii="Arial" w:cs="Arial" w:eastAsia="Arial" w:hAnsi="Arial"/>
                  <w:sz w:val="18"/>
                  <w:szCs w:val="18"/>
                  <w:color w:val="0000FF"/>
                </w:rPr>
                <w:t>91</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80" w:type="dxa"/>
            <w:vAlign w:val="bottom"/>
            <w:gridSpan w:val="7"/>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Other Information</w:t>
              </w:r>
            </w:hyperlink>
          </w:p>
        </w:tc>
        <w:tc>
          <w:tcPr>
            <w:tcW w:w="6640" w:type="dxa"/>
            <w:vAlign w:val="bottom"/>
            <w:gridSpan w:val="1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91">
              <w:r>
                <w:rPr>
                  <w:rFonts w:ascii="Arial" w:cs="Arial" w:eastAsia="Arial" w:hAnsi="Arial"/>
                  <w:sz w:val="18"/>
                  <w:szCs w:val="18"/>
                  <w:color w:val="0000FF"/>
                </w:rPr>
                <w:t>91</w:t>
              </w:r>
            </w:hyperlink>
          </w:p>
        </w:tc>
      </w:tr>
      <w:tr>
        <w:trPr>
          <w:trHeight w:val="372"/>
        </w:trPr>
        <w:tc>
          <w:tcPr>
            <w:tcW w:w="740" w:type="dxa"/>
            <w:vAlign w:val="bottom"/>
            <w:tcBorders>
              <w:bottom w:val="single" w:sz="8" w:color="0000FF"/>
            </w:tcBorders>
            <w:gridSpan w:val="4"/>
          </w:tcPr>
          <w:p>
            <w:pPr>
              <w:spacing w:after="0"/>
              <w:rPr>
                <w:rFonts w:ascii="Arial" w:cs="Arial" w:eastAsia="Arial" w:hAnsi="Arial"/>
                <w:sz w:val="18"/>
                <w:szCs w:val="18"/>
                <w:b w:val="1"/>
                <w:bCs w:val="1"/>
                <w:color w:val="0000FF"/>
              </w:rPr>
            </w:pPr>
            <w:hyperlink w:anchor="page91">
              <w:r>
                <w:rPr>
                  <w:rFonts w:ascii="Arial" w:cs="Arial" w:eastAsia="Arial" w:hAnsi="Arial"/>
                  <w:sz w:val="18"/>
                  <w:szCs w:val="18"/>
                  <w:b w:val="1"/>
                  <w:bCs w:val="1"/>
                  <w:color w:val="0000FF"/>
                </w:rPr>
                <w:t>PART III</w:t>
              </w:r>
            </w:hyperlink>
          </w:p>
        </w:tc>
        <w:tc>
          <w:tcPr>
            <w:tcW w:w="7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3"/>
          </w:tcPr>
          <w:p>
            <w:pPr>
              <w:spacing w:after="0"/>
              <w:rPr>
                <w:rFonts w:ascii="Arial" w:cs="Arial" w:eastAsia="Arial" w:hAnsi="Arial"/>
                <w:sz w:val="18"/>
                <w:szCs w:val="18"/>
                <w:color w:val="0000FF"/>
                <w:w w:val="90"/>
              </w:rPr>
            </w:pPr>
            <w:hyperlink w:anchor="page92">
              <w:r>
                <w:rPr>
                  <w:rFonts w:ascii="Arial" w:cs="Arial" w:eastAsia="Arial" w:hAnsi="Arial"/>
                  <w:sz w:val="18"/>
                  <w:szCs w:val="18"/>
                  <w:color w:val="0000FF"/>
                  <w:w w:val="90"/>
                </w:rPr>
                <w:t>Directors, Executive Officers and Corporate Governance</w:t>
              </w:r>
            </w:hyperlink>
          </w:p>
        </w:tc>
        <w:tc>
          <w:tcPr>
            <w:tcW w:w="43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92">
              <w:r>
                <w:rPr>
                  <w:rFonts w:ascii="Arial" w:cs="Arial" w:eastAsia="Arial" w:hAnsi="Arial"/>
                  <w:sz w:val="18"/>
                  <w:szCs w:val="18"/>
                  <w:color w:val="0000FF"/>
                </w:rPr>
                <w:t>92</w:t>
              </w:r>
            </w:hyperlink>
          </w:p>
        </w:tc>
      </w:tr>
      <w:tr>
        <w:trPr>
          <w:trHeight w:val="20"/>
        </w:trPr>
        <w:tc>
          <w:tcPr>
            <w:tcW w:w="7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3"/>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Executive Compensation</w:t>
              </w:r>
            </w:hyperlink>
          </w:p>
        </w:tc>
        <w:tc>
          <w:tcPr>
            <w:tcW w:w="43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93">
              <w:r>
                <w:rPr>
                  <w:rFonts w:ascii="Arial" w:cs="Arial" w:eastAsia="Arial" w:hAnsi="Arial"/>
                  <w:sz w:val="18"/>
                  <w:szCs w:val="18"/>
                  <w:color w:val="0000FF"/>
                </w:rPr>
                <w:t>93</w:t>
              </w:r>
            </w:hyperlink>
          </w:p>
        </w:tc>
      </w:tr>
      <w:tr>
        <w:trPr>
          <w:trHeight w:val="20"/>
        </w:trPr>
        <w:tc>
          <w:tcPr>
            <w:tcW w:w="7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18"/>
          </w:tcPr>
          <w:p>
            <w:pPr>
              <w:spacing w:after="0"/>
              <w:rPr>
                <w:rFonts w:ascii="Arial" w:cs="Arial" w:eastAsia="Arial" w:hAnsi="Arial"/>
                <w:sz w:val="18"/>
                <w:szCs w:val="18"/>
                <w:color w:val="0000FF"/>
                <w:w w:val="90"/>
              </w:rPr>
            </w:pPr>
            <w:hyperlink w:anchor="page93">
              <w:r>
                <w:rPr>
                  <w:rFonts w:ascii="Arial" w:cs="Arial" w:eastAsia="Arial" w:hAnsi="Arial"/>
                  <w:sz w:val="18"/>
                  <w:szCs w:val="18"/>
                  <w:color w:val="0000FF"/>
                  <w:w w:val="90"/>
                </w:rPr>
                <w:t>Security Ownership of Certain Beneficial Owners and Management and Related Stockholder Matters</w:t>
              </w:r>
            </w:hyperlink>
          </w:p>
        </w:tc>
        <w:tc>
          <w:tcPr>
            <w:tcW w:w="1120" w:type="dxa"/>
            <w:vAlign w:val="bottom"/>
            <w:gridSpan w:val="2"/>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93">
              <w:r>
                <w:rPr>
                  <w:rFonts w:ascii="Arial" w:cs="Arial" w:eastAsia="Arial" w:hAnsi="Arial"/>
                  <w:sz w:val="18"/>
                  <w:szCs w:val="18"/>
                  <w:color w:val="0000FF"/>
                </w:rPr>
                <w:t>93</w:t>
              </w:r>
            </w:hyperlink>
          </w:p>
        </w:tc>
      </w:tr>
      <w:tr>
        <w:trPr>
          <w:trHeight w:val="20"/>
        </w:trPr>
        <w:tc>
          <w:tcPr>
            <w:tcW w:w="7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10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460" w:type="dxa"/>
            <w:vAlign w:val="bottom"/>
            <w:gridSpan w:val="15"/>
          </w:tcPr>
          <w:p>
            <w:pPr>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Certain Relationships and Related Transactions, and Director Independence</w:t>
              </w:r>
            </w:hyperlink>
          </w:p>
        </w:tc>
        <w:tc>
          <w:tcPr>
            <w:tcW w:w="1840" w:type="dxa"/>
            <w:vAlign w:val="bottom"/>
            <w:gridSpan w:val="3"/>
          </w:tcPr>
          <w:p>
            <w:pPr>
              <w:spacing w:after="0"/>
              <w:rPr>
                <w:sz w:val="24"/>
                <w:szCs w:val="24"/>
                <w:color w:val="auto"/>
              </w:rPr>
            </w:pPr>
          </w:p>
        </w:tc>
        <w:tc>
          <w:tcPr>
            <w:tcW w:w="1120" w:type="dxa"/>
            <w:vAlign w:val="bottom"/>
            <w:gridSpan w:val="2"/>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93">
              <w:r>
                <w:rPr>
                  <w:rFonts w:ascii="Arial" w:cs="Arial" w:eastAsia="Arial" w:hAnsi="Arial"/>
                  <w:sz w:val="18"/>
                  <w:szCs w:val="18"/>
                  <w:color w:val="0000FF"/>
                </w:rPr>
                <w:t>93</w:t>
              </w:r>
            </w:hyperlink>
          </w:p>
        </w:tc>
      </w:tr>
      <w:tr>
        <w:trPr>
          <w:trHeight w:val="20"/>
        </w:trPr>
        <w:tc>
          <w:tcPr>
            <w:tcW w:w="7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10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460" w:type="dxa"/>
            <w:vAlign w:val="bottom"/>
            <w:gridSpan w:val="15"/>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Principal Accounting Fees and Services</w:t>
              </w:r>
            </w:hyperlink>
          </w:p>
        </w:tc>
        <w:tc>
          <w:tcPr>
            <w:tcW w:w="296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93">
              <w:r>
                <w:rPr>
                  <w:rFonts w:ascii="Arial" w:cs="Arial" w:eastAsia="Arial" w:hAnsi="Arial"/>
                  <w:sz w:val="18"/>
                  <w:szCs w:val="18"/>
                  <w:color w:val="0000FF"/>
                </w:rPr>
                <w:t>93</w:t>
              </w:r>
            </w:hyperlink>
          </w:p>
        </w:tc>
      </w:tr>
      <w:tr>
        <w:trPr>
          <w:trHeight w:val="372"/>
        </w:trPr>
        <w:tc>
          <w:tcPr>
            <w:tcW w:w="720" w:type="dxa"/>
            <w:vAlign w:val="bottom"/>
            <w:tcBorders>
              <w:bottom w:val="single" w:sz="8" w:color="0000FF"/>
            </w:tcBorders>
            <w:gridSpan w:val="3"/>
          </w:tcPr>
          <w:p>
            <w:pPr>
              <w:spacing w:after="0"/>
              <w:rPr>
                <w:rFonts w:ascii="Arial" w:cs="Arial" w:eastAsia="Arial" w:hAnsi="Arial"/>
                <w:sz w:val="18"/>
                <w:szCs w:val="18"/>
                <w:b w:val="1"/>
                <w:bCs w:val="1"/>
                <w:color w:val="0000FF"/>
                <w:w w:val="98"/>
              </w:rPr>
            </w:pPr>
            <w:hyperlink w:anchor="page93">
              <w:r>
                <w:rPr>
                  <w:rFonts w:ascii="Arial" w:cs="Arial" w:eastAsia="Arial" w:hAnsi="Arial"/>
                  <w:sz w:val="18"/>
                  <w:szCs w:val="18"/>
                  <w:b w:val="1"/>
                  <w:bCs w:val="1"/>
                  <w:color w:val="0000FF"/>
                  <w:w w:val="98"/>
                </w:rPr>
                <w:t>PART IV</w:t>
              </w:r>
            </w:hyperlink>
          </w:p>
        </w:tc>
        <w:tc>
          <w:tcPr>
            <w:tcW w:w="76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1"/>
          </w:tcPr>
          <w:p>
            <w:pPr>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Exhibits and Financial Statement Schedules</w:t>
              </w:r>
            </w:hyperlink>
          </w:p>
        </w:tc>
        <w:tc>
          <w:tcPr>
            <w:tcW w:w="526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94</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400" w:type="dxa"/>
            <w:vAlign w:val="bottom"/>
            <w:gridSpan w:val="8"/>
            <w:shd w:val="clear" w:color="auto" w:fill="0000FF"/>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gridSpan w:val="11"/>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Signatures</w:t>
              </w:r>
            </w:hyperlink>
          </w:p>
        </w:tc>
        <w:tc>
          <w:tcPr>
            <w:tcW w:w="526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95</w:t>
              </w:r>
            </w:hyperlink>
          </w:p>
        </w:tc>
      </w:tr>
      <w:tr>
        <w:trPr>
          <w:trHeight w:val="68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3600" w:type="dxa"/>
            <w:vAlign w:val="bottom"/>
            <w:gridSpan w:val="11"/>
          </w:tcPr>
          <w:p>
            <w:pPr>
              <w:jc w:val="right"/>
              <w:ind w:right="60"/>
              <w:spacing w:after="0"/>
              <w:rPr>
                <w:sz w:val="20"/>
                <w:szCs w:val="20"/>
                <w:color w:val="auto"/>
              </w:rPr>
            </w:pPr>
            <w:r>
              <w:rPr>
                <w:rFonts w:ascii="Arial" w:cs="Arial" w:eastAsia="Arial" w:hAnsi="Arial"/>
                <w:sz w:val="14"/>
                <w:szCs w:val="14"/>
                <w:b w:val="1"/>
                <w:bCs w:val="1"/>
                <w:color w:val="auto"/>
              </w:rPr>
              <w:t>3</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200" w:lineRule="exact"/>
        <w:rPr>
          <w:sz w:val="20"/>
          <w:szCs w:val="20"/>
          <w:color w:val="auto"/>
        </w:rPr>
      </w:pPr>
    </w:p>
    <w:p>
      <w:pPr>
        <w:spacing w:after="0" w:line="299"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i w:val="1"/>
          <w:iCs w:val="1"/>
          <w:color w:val="auto"/>
        </w:rPr>
        <w:t>The discussion in this Annual Report on Form 10-K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anticipated future financial results; our belief that the strength of our channel network, technological leadership, brand recognition, breadth of product line and large installed base are benefitting us as global economies recover; expected trends in certain financial metrics; expected market trends, including the growth of cloud, mobile and social computing; our ability to successfully expand adoption of our products; our ability to gain market acceptance of new businesses and sales initiatives; our ability to successfully increase sales of product suites as part of our overall sales strategy; our belief that emerging economies continue to present long-term growth opportunities for us; the impact of our restructuring activities; the sufficiency of our cash to meet our working capital and operating resource expenditure requirements over the next 12 months; and our ability to generate sufficient future taxable income in appropriate tax jurisdictions to realize our net deferred tax assets. In addition, forward-looking statements also consist of statements involving expectations regarding product acceptance, activity related to our stock repurchase program,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below in Item 1A, “Risk Factors,” and in our other reports filed with the U.S. Securities and Exchange Commission. We assume no obligation to update the forward-looking statements to reflect events that occur or circumstances that exist after the date on which they were made.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10-K appears at the end of this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are a world leading design software and services company, offering customers productive business solutions through powerful technology products and services. We serve customers in the architecture, engineering and construction; manufacturing; and digital media, consumer and entertainment industries. Our sophisticated software products enable our customers to experience their ideas before they are real. Customers are able to imagine, design and create their ideas by visualizing, simulating and analyzing real-world performance early in the design process by creating and manipulating digital prototypes. These capabilities allow our customers to optimize and improve their designs, save time and money, improve quality, communicate intentions and foster innovation. Our professional software products are sold globally, both directly to customers and through a network of resellers and distributors. Additionally, we sell a line of consumer products for digital art, personal design and creativity, and home design. These products are sold over the Internet and in various digital storefronts, including the Apple App Store and the Google Play Store.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reported based on four reportable operating segments: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Platform Solutions and Emerging Business (“PSEB”), which accounted for 37% of our net revenue in fiscal 2013;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Architecture, Engineering and Construction (“AEC”), which accounted for 30% of our net revenue in fiscal 2013;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Manufacturing (“MFG”), which accounted for 25% of our net revenue in fiscal 2013;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Media and Entertainment (“M&amp;E”), which accounted for 8% of our net revenue in fiscal 2013.</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 summary of our net revenue and results of operations for our business segments is found in Note 13, “Segments,” in the Notes to our Consolidated Financial Statements.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PSEB, AEC and MFG segments derive revenue from the sale of licenses and maintenance subscriptions for software</w:t>
      </w: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products and services to customers who design, build, manage or own building, manufacturing and infrastructure projects. In addition to software products, the PSEB, AEC and MFG segments offer a range of services, including consulting, support and training, largely dedicated to enhancing our ability to sell licenses and maintenance subscriptions to our software products. Our M&amp;E segment derives revenue from the sale of licenses of software products to creative professionals, post-production facilities, and broadcasters for a variety of applications, including feature films, television programs, commercials, music and corporate videos, interactive game production, web design and interactive web streaming. In addition, our animation products produced by our M&amp;E segment are often used by customers of products from our other segments for the visualization of their designs.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products and services of these segments include the following:</w:t>
      </w:r>
    </w:p>
    <w:p>
      <w:pPr>
        <w:spacing w:after="0" w:line="225" w:lineRule="exact"/>
        <w:rPr>
          <w:sz w:val="20"/>
          <w:szCs w:val="20"/>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Flagship products, which accounted for approximately 56% of our net revenue in fiscal 2013, are our core standalone horizontal, vertical and model-based design products including AutoCAD, AutoCAD LT, AutoCAD Mechanical, AutoCAD Civil 3D, AutoCAD Map, AutoCAD Architecture, Maya and 3ds Max.</w:t>
      </w:r>
    </w:p>
    <w:p>
      <w:pPr>
        <w:spacing w:after="0" w:line="18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Suites, which accounted for approximately 30% of our net revenue in fiscal 2013, are a combination of products that target a specific user objective (product design, building design, etc.) and support a set of workflows for that objective, including Autodesk Product Design Suites, Autodesk Building Design Suites, Autodesk Educational/academic Suites, Autodesk Infrastructure Design Suites and AutoCAD Design Suites.</w:t>
      </w:r>
    </w:p>
    <w:p>
      <w:pPr>
        <w:spacing w:after="0" w:line="165"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New and Adjacent products, which accounted for approximately 15% of our net revenue in fiscal 2013, are new product offerings as well as products that are not considered flagship or suites including Autodesk Creative Finishing products, Autodesk Moldflow products and Autodesk Vault.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4"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were incorporated in California in April 1982 and were reincorporated in Delaware in May 1994. Our principal executive office is located at 111 McInnis Parkway, San Rafael, California 94903, and the telephone number at that address is (415) 507-5000. Our internet address is www.autodesk.com.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the Investor Relations portion of our web site at www.autodesk.com as soon as reasonably practicable after we electronically file such material with, or furnish it to, the SEC. The public may also read and copy any material we file with the SEC at the SEC's Public Reference Room at 100 F Street N.E. Washington, D.C. 20549. The public may obtain information on the operation of the Public Reference Room by calling the SEC at 1 (800) SEC-0330.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product offerings from Autodesk’s different segments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PSEB</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PSEB segment includes our design product, AutoCAD. Our AutoCAD product is a platform product that underpins our design product offerings for all the industries we serve. For example, our AEC and MFG segments offer tailored versions of AutoCAD software for the industries they serve. Our AutoCAD product also provides a platform for our developer partners to build custom solutions for a range of diverse design-oriented markets. PSEB's revenue primarily includes revenue from sales of licenses of our design products, AutoCAD and AutoCAD LT, as well as the Autodesk Design Suite and many other design and consumer products. The segment’s principal product offerings included the following during fiscal 2013:</w:t>
      </w:r>
    </w:p>
    <w:p>
      <w:pPr>
        <w:spacing w:after="0" w:line="17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AutoCAD</w:t>
      </w:r>
    </w:p>
    <w:p>
      <w:pPr>
        <w:spacing w:after="0" w:line="225" w:lineRule="exact"/>
        <w:rPr>
          <w:sz w:val="20"/>
          <w:szCs w:val="20"/>
          <w:color w:val="auto"/>
        </w:rPr>
      </w:pPr>
    </w:p>
    <w:p>
      <w:pPr>
        <w:jc w:val="both"/>
        <w:ind w:right="300" w:firstLine="432"/>
        <w:spacing w:after="0" w:line="286" w:lineRule="auto"/>
        <w:rPr>
          <w:sz w:val="20"/>
          <w:szCs w:val="20"/>
          <w:color w:val="auto"/>
        </w:rPr>
      </w:pPr>
      <w:r>
        <w:rPr>
          <w:rFonts w:ascii="Arial" w:cs="Arial" w:eastAsia="Arial" w:hAnsi="Arial"/>
          <w:sz w:val="17"/>
          <w:szCs w:val="17"/>
          <w:color w:val="auto"/>
        </w:rPr>
        <w:t>AutoCAD software, which is our largest revenue-generating product, is a customizable and extensible computer-aided design (CAD) application for professional design, drafting, detailing and visualization. AutoCAD software provides digital tools that can be used independently and in conjunction with other specific applications in fields ranging from construction to manufacturing, civil engineering and process plant design.</w:t>
      </w:r>
    </w:p>
    <w:p>
      <w:pPr>
        <w:spacing w:after="0" w:line="16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AutoCAD 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AutoCAD LT software is purpose built for professional drafting and detailing. AutoCAD LT includes document sharing</w:t>
      </w: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capability without the need for software customization or certain advanced functionality found in our AutoCAD product. Users can share all design data with team members who use our AutoCAD product or other Autodesk products built on AutoCAD. AutoCAD LT software is our second largest revenue-generating product.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AEC</w:t>
      </w:r>
    </w:p>
    <w:p>
      <w:pPr>
        <w:spacing w:after="0" w:line="225" w:lineRule="exact"/>
        <w:rPr>
          <w:sz w:val="20"/>
          <w:szCs w:val="20"/>
          <w:color w:val="auto"/>
        </w:rPr>
      </w:pPr>
    </w:p>
    <w:p>
      <w:pPr>
        <w:ind w:right="80" w:firstLine="432"/>
        <w:spacing w:after="0" w:line="263" w:lineRule="auto"/>
        <w:rPr>
          <w:sz w:val="20"/>
          <w:szCs w:val="20"/>
          <w:color w:val="auto"/>
        </w:rPr>
      </w:pPr>
      <w:r>
        <w:rPr>
          <w:rFonts w:ascii="Arial" w:cs="Arial" w:eastAsia="Arial" w:hAnsi="Arial"/>
          <w:sz w:val="17"/>
          <w:szCs w:val="17"/>
          <w:color w:val="auto"/>
        </w:rPr>
        <w:t>Our AEC software products help to improve the way building, civil infrastructure, process plant and construction projects are designed, built and managed. A broad portfolio of solutions enables greater efficiency, accuracy and sustainability across the entire project lifecycle. Our AEC solutions include advanced technology for building information modeling (“BIM”), AutoCAD-based design and documentation productivity software, sustainable design analysis applications, collaboration and project management solutions. BIM, an integrated process for building and infrastructure design, analysis, documentation and construction, uses consistent, coordinated information to improve communication and collaboration between the extended project team. AEC provides a comprehensive portfolio of BIM solutions that help customers deliver projects faster and more economically, while minimizing environmental impact. The segment’s principal product offerings included the following</w:t>
      </w:r>
      <w:r>
        <w:rPr>
          <w:sz w:val="1"/>
          <w:szCs w:val="1"/>
          <w:color w:val="auto"/>
        </w:rPr>
        <w:drawing>
          <wp:inline distT="0" distB="0" distL="0" distR="0">
            <wp:extent cx="2603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7"/>
          <w:szCs w:val="17"/>
          <w:color w:val="auto"/>
        </w:rPr>
        <w:t>during fiscal 2013:</w:t>
      </w:r>
    </w:p>
    <w:p>
      <w:pPr>
        <w:spacing w:after="0" w:line="18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Autodesk Building Design Suites</w:t>
      </w:r>
    </w:p>
    <w:p>
      <w:pPr>
        <w:spacing w:after="0" w:line="225"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Autodesk Building Design Suites ("BDS") give the power of BIM or CAD, with tools for modeling, visualization, and documentation. With a comprehensive set of tools, BDS gives customers the ability to manage all phases of design and construction. Three editions of BDS are available to meet each customer's particular business needs and offers the depth and breadth of the Autodesk portfolio.</w:t>
      </w:r>
    </w:p>
    <w:p>
      <w:pPr>
        <w:spacing w:after="0" w:line="18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Autodesk Revit</w:t>
      </w:r>
    </w:p>
    <w:p>
      <w:pPr>
        <w:spacing w:after="0" w:line="225"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Purpose-built for BIM, the Autodesk Revit products collect information about a building project and allow this information to be coordinated across all other representations of the project, so that every drawing sheet, 2D and 3D view and schedule is based on internally consistent and complete information from the same underlying building database. The Autodesk Revit products, including AutoCAD Revit Architecture Suite, AutoCAD Revit MEP Suite and AutoCAD Revit Structure Suite, provide an intuitive, sophisticated, model-based design and documentation system for architects; mechanical, electrical and plumbing ("MEP") engineers; structural engineers; design-build teams; and other design and building industry professionals.</w:t>
      </w:r>
    </w:p>
    <w:p>
      <w:pPr>
        <w:spacing w:after="0" w:line="15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AutoCAD Civil 3D</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AutoCAD Civil 3D products provide a surveying, design, analysis, and documentation solution for civil engineering, including land development, transportation, and environmental projects. Using a model-centric approach that automatically updates documentation as design changes are made, AutoCAD Civil 3D products enable civil engineers, designers, drafters, and surveyors to significantly boost productivity and deliver higher-quality designs and construction documentation faster. With AutoCAD Civil 3D products, the entire project team works from the same consistent, up-to-date model so they stay coordinated throughout all project phases.</w:t>
      </w:r>
    </w:p>
    <w:p>
      <w:pPr>
        <w:spacing w:after="0" w:line="18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AutoCAD Map 3D</w:t>
      </w:r>
    </w:p>
    <w:p>
      <w:pPr>
        <w:spacing w:after="0" w:line="22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AutoCAD Map 3D software provides direct access to data needed for infrastructure planning, design and management activities. AutoCAD Map 3D software helps professionals working on transportation, land development, water and power projects to more easily create, manage and analyze design geographic information system and asset data.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MFG</w:t>
      </w:r>
    </w:p>
    <w:p>
      <w:pPr>
        <w:spacing w:after="0" w:line="225"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Our MFG segment provides manufacturers in automotive and transportation, industrial machinery, consumer products and building products with comprehensive digital prototyping solutions that bring together product data from all phases of the product development through production process to develop a single digital model created in Autodesk Inventor software. Our solutions for digital prototyping are scalable, attainable, cost-effective and allow for real-world simulation, enabling a broad group of manufacturers to realize benefits with minimal disruption to existing workflows. MFG’s principal product offerings included the following during fiscal 2013:</w:t>
      </w:r>
    </w:p>
    <w:p>
      <w:pPr>
        <w:spacing w:after="0" w:line="18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Autodesk Product Design Suites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Autodesk Product Design Suites ("PDS") is a comprehensive solution for digital prototyping, delivering 3D design,</w:t>
      </w: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6</w:t>
      </w:r>
    </w:p>
    <w:p>
      <w:pPr>
        <w:sectPr>
          <w:pgSz w:w="11900" w:h="16838" w:orient="portrait"/>
          <w:cols w:equalWidth="0" w:num="1">
            <w:col w:w="11360"/>
          </w:cols>
          <w:pgMar w:left="240" w:top="125" w:right="29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visualization and simulation tools to complete the entire engineering process. The digital prototyping capabilities of PDS can help customers design better products, reduce development costs and get to market faster. Three editions of PDS are available to meet each customer's particular business needs and offers the depth and breadth of the Autodesk portfolio.</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AutoCAD Mechanical</w:t>
      </w:r>
    </w:p>
    <w:p>
      <w:pPr>
        <w:spacing w:after="0" w:line="22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AutoCAD Mechanical software is purpose-built to accelerate the mechanical design process. AutoCAD Mechanical software offers users significant productivity gains and helps save hours of design time by including all the functionality of AutoCAD software, in addition to comprehensive libraries of standards-based parts and tools for automating common design tasks.</w:t>
      </w:r>
    </w:p>
    <w:p>
      <w:pPr>
        <w:spacing w:after="0" w:line="1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Autodesk Inventor</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Autodesk Inventor allows manufacturers to go beyond 3D design to digital prototyping by giving engineers a comprehensive and flexible set of tools for 3D mechanical design, simulation, analysis, tooling, visualization and documentation. With Autodesk Inventor, engineers can integrate AutoCAD drawings and model-based design data into a single digital model, creating a virtual representation of a final product that enables them to validate the form, fit and function of the product before it is ever built.</w:t>
      </w:r>
    </w:p>
    <w:p>
      <w:pPr>
        <w:spacing w:after="0" w:line="18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Autodesk Moldflow</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Autodesk Moldflow family of injection molding simulation software provides tools that help manufacturers optimize the design of plastic parts and injection molds, and study the injection molding process.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M&amp;E</w:t>
      </w:r>
    </w:p>
    <w:p>
      <w:pPr>
        <w:spacing w:after="0" w:line="225"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Our M&amp;E segment is comprised of two product groups: Animation and Creative Finishing. Animation products are sold as software only and provide tools for digital sculpting, modeling, animation, effects, rendering, and compositing for design visualization, visual effects and games production. Creative Finishing products are primarily sold as turnkey solutions for editing, finishing and visual effects design and color grading. Principal product offerings in our M&amp;E segment’s Animation and Creative Finishing product groups included the following during fiscal 2013:</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Animation</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Autodesk Maya</w:t>
      </w:r>
    </w:p>
    <w:p>
      <w:pPr>
        <w:spacing w:after="0" w:line="22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Autodesk Maya software provides 3D modeling, animation, effects, rendering and compositing solutions that enable film and video artists, game developers and design visualization professionals to digitally create engaging, lifelike images, realistic animations and simulations, and extraordinary visual effects.</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Autodesk 3ds Max</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Autodesk 3ds Max software provides 3D modeling, animation and rendering solutions that enable game developers, design visualization professionals and visual effects artists to digitally create realistic images, animations and complex scenes and to digitally communicate abstract or complex mechanical, architectural, engineering and construction concepts.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Creative Finishing</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Autodesk Flame, Autodesk Smoke, Autodesk Lustre and Autodesk Flare</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Autodesk Flame software is an interactive real-time design, finishing, grading and visual effects solution for supervised post-production. Autodesk Smoke software is a non-linear and non-compressed online editing, effects and finishing software application and is used in commercials, music videos, corporate video, film as well as broadcast design projects. Autodesk Lustre software is a high-performance color grading solution used by artists for creative look development and final color and lighting effects for both film and television. Autodesk Flare software is a software solution that offers the compositing capabilities of Flame contributing to faster project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INTRODUCTION</w:t>
      </w:r>
    </w:p>
    <w:p>
      <w:pPr>
        <w:spacing w:after="0" w:line="22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technology industry is characterized by rapid technological change in computer hardware, operating systems and software. In addition, our customers’ requirements and preferences rapidly evolve, as do their expectations of the performance of our software. To keep pace with these changes, we maintain a vigorous program of new product development to address demands in the marketplace for our products. Just as the transition from mainframes to personal computers transformed the industry thirty years ago, we believe our industry is undergoing a similar transition from the personal computer to cloud, social, and mobile computing.</w:t>
      </w:r>
    </w:p>
    <w:p>
      <w:pPr>
        <w:spacing w:after="0" w:line="188"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We dedicate considerable technical and financial resources to research and development to further enhance our existing products and to create new products and technologies. Research and development expenditures were $600.0 million or 26% of fiscal 2013 net revenue, $566.5 million or 26% of fiscal 2012 net revenue and $496.2 million or 25% of fiscal 2011 net revenue. Our software is primarily developed internally; however, we also use independent firms and contractors to perform some of our product development activities. Additionally, we acquire products or technology developed by others by purchasing or licensing products and technology from third parties. We continually review these investments in an effort to ensure that we are generating sufficient revenue or gaining a competitive advantage to justify their costs.</w:t>
      </w:r>
    </w:p>
    <w:p>
      <w:pPr>
        <w:spacing w:after="0" w:line="17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majority of our research and product development is performed in the United States, China, Singapore and Canada. However, we employ experienced software developers in many of our other locations. Translation and localization of our products are performed in a number of local markets, principally Singapore and Switzerland. We generally localize and translate our products into German, French, Italian, Spanish, Russian, Japanese, Korean and simplified and traditional Chinese.</w:t>
      </w:r>
    </w:p>
    <w:p>
      <w:pPr>
        <w:spacing w:after="0" w:line="187"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We plan to continue to manage significant product development operations internationally over the next several years. We believe that our ability to conduct research and development at various locations throughout the world allows us to optimize product development, lower costs and integrate local market knowledge into our development activities. We continually assess the significant costs and challenges, including intellectual property protection, against the benefits of our international development activities.</w:t>
      </w:r>
    </w:p>
    <w:p>
      <w:pPr>
        <w:spacing w:after="0" w:line="18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In addition, our business and our customers benefit from our relationships with a network of over 3,900 third-party developers who develop and sell their own products that further enhance the range of integrated solutions available to our customers.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further discussion regarding risks from our product development and introduction efforts, see Item 1A,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We license or sell our products and services globally, primarily through indirect channels consisting of distributors and resellers. To a lesser extent we also transact directly with customers who are primarily large corporations. Our indirect channel model includes both a two-tiered distribution structure, where distributors sell to resellers, and a one-tiered structure, where Autodesk sells directly to resellers. We have a network of approximately 2,400 resellers and distributors worldwide. For fiscal 2013, approximately 83% of our revenue was derived from indirect channel sales through distributors and resellers, and we expect that the majority of our revenue will continue to be derived from indirect channel sales in the future. We employ a variety of incentive programs and promotions to align our reseller channel with our business strategies. Sales through our largest distributor, Tech Data Corporation and its affiliates, accounted for 23%, 17% and 16% of our net revenue for fiscal years 2013, 2012 and 2011, respectively. On October 27, 2011, Tech Data purchased certain assets of Mensch and Maschine Software (“MuM”), which has been a distributor of our products in Europe. The acquisition concentrates additional sales through Tech Data, which on a consolidated basis would have accounted for 21% and 22% of our net revenue for fiscal years 2012 and 2011, respectively, if the acquisition had taken place at the beginning of fiscal 2011. We believe our business is not substantially dependent on Tech Data, including following the acquisition of certain assets of MuM. Our customers through Tech Data are the resellers and end users who purchase our software licenses and services. Should any of the agreements between us and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 No other distributor or reseller accounted for 10% or more of our revenue.</w:t>
      </w:r>
    </w:p>
    <w:p>
      <w:pPr>
        <w:spacing w:after="0" w:line="172"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Our customer-related operations are divided into three geographic regions, the Americas; Europe, Middle East and Africa (“EMEA”); and Asia Pacific (“APAC”). Each geographic region is supported by global marketing and sales organizations. These organizations develop and manage overall marketing and sales programs and work closely with a network of domestic and international sales offices. Fiscal 2013 net revenue in the EMEA, Americas and APAC was $868.5 million (38%), $836.2</w:t>
      </w: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million (36%) and $607.5 million (26%), respectively. We intend to continue to make our products available in foreign languages. We believe that international sales will continue to comprise the majority of our total net revenue. Adverse economic conditions in the countries that contribute a significant portion of our net revenue, including emerging economies, may have an adverse effect on our business in those countries and our overall financial performance. A summary of our financial information by geographic location is found in Note 13, “Segments,” in the Notes to Consolidated Financial Statements. Our international operations and sales subject us to a variety of risks; see Item 1A, “Risk Factors,” for further discussion.</w:t>
      </w:r>
    </w:p>
    <w:p>
      <w:pPr>
        <w:spacing w:after="0" w:line="17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also work directly with reseller and distributor sales organizations, computer manufacturers, other software developers and peripherals manufacturers in cooperative advertising, promotions and trade-show presentations. We employ mass-marketing techniques such as webcasts, seminars, telemarketing, direct mailings, advertising in business and trade journals and social media. We have a worldwide user group organization and we have created online user communities dedicated to the exchange of information related to the use of our products.</w:t>
      </w:r>
    </w:p>
    <w:p>
      <w:pPr>
        <w:spacing w:after="0" w:line="187"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In addition to sales of new software licenses, we generate revenue through our maintenance program and upgrade pricing options. These choices are available for a majority of our products and offer our customers two alternative means of migrating to the most recent version of our products.</w:t>
      </w:r>
    </w:p>
    <w:p>
      <w:pPr>
        <w:spacing w:after="0" w:line="12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Under the maintenance program, known by our user community as the Autodesk Subscription Program, customers who own a perpetual use license for the most recent version of the underlying product are able to purchase maintenance that provides them with unspecified upgrades when-and-if-available and are able to download e-Learning courses and receive online support over a one year or multi-year maintenance service period. Revenue from our maintenance program is reported separately on our Consolidated Statements of Operations and is referred to throughout this document as maintenance revenue.</w:t>
      </w:r>
    </w:p>
    <w:p>
      <w:pPr>
        <w:spacing w:after="0" w:line="154"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Upgrade pricing offers customers who are not on our maintenance program an opportunity to purchase upgrades to the most current version of the same product for an incremental fee at current available prices but only to the extent that they are still on an Autodesk-supported version of our product. An upgrade also includes a crossgrade where a customer pays an incremental fee at currently available prices toward the purchase of a different product, which generally has a higher price. The cost of an upgrade is less than the cost of purchasing a new license. During fiscal 2013, customers could upgrade from software that is three versions prior to the latest version available or newer at a percentage of a full license; the license of the previous version of the product is terminated. Revenue from upgrades are reported on our Consolidated Statements of Operations in “License and other.”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fiscal 2013, we began offering our cloud and mobile platform, Autodesk 360. Customer adoption and usage of this platform grew throughout fiscal</w:t>
      </w:r>
    </w:p>
    <w:p>
      <w:pPr>
        <w:spacing w:after="0" w:line="4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2013 as customers across a range of industries began to take advantage of the scalable computing power and flexibility provided through these cloud and mobile services.</w:t>
      </w:r>
    </w:p>
    <w:p>
      <w:pPr>
        <w:spacing w:after="0" w:line="18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are excited about the growth potential of our cloud and mobile services. We expect to introduce more rental and usage-based offerings during fiscal 2014. These offerings will be designed to give our customers even more flexibility in how they use our products and will provide us with new ways to capture new market opportunities. However, we expect adoption and consumption of our cloud and rental offerings to increase gradually over time. As such, we are not anticipating any significant changes to our core business model in fiscal 2014.</w:t>
      </w:r>
    </w:p>
    <w:p>
      <w:pPr>
        <w:spacing w:after="0" w:line="18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Our ability to effectively distribute our products depends in part upon the financial and business condition of our distributor and reseller networks. The loss of, or a significant reduction in, business with any one of our major distributors or large resellers could harm our business; see Item 1A, “Risk Factors,”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RESELLER SUPPORT</w:t>
      </w:r>
    </w:p>
    <w:p>
      <w:pPr>
        <w:spacing w:after="0" w:line="229"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We provide technical support and training to customers through a leveraged support model, augmented by direct programs designed to address certain specific needs. Our customers rely primarily on the resellers and distributors from which they purchased licenses to our products for technical support; however, we do provide certain direct support for some of our customers. We support our resellers and distributors through technical product training, sales training classes, the Internet and telephone. We also provide online support directly to our customers through our maintenance program. There are also a number of user group forums in which customers are able to share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EDUCATIONAL PROGRAMS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offer free access to Autodesk software for students and educators around the world. We also offer education programs and specially priced software licensing options tailored for educational institutions, students, and faculty to train the next</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generation of users. In addition, we offer classroom support, including standardized curricula developed by educators, instructor development, and a rich assortment of online learning resources. Users are trained on our products at educational institutions, reducing the cost of training for our customers.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DEVELOPER PROGRAMS</w:t>
      </w:r>
    </w:p>
    <w:p>
      <w:pPr>
        <w:spacing w:after="0" w:line="229" w:lineRule="exact"/>
        <w:rPr>
          <w:sz w:val="20"/>
          <w:szCs w:val="20"/>
          <w:color w:val="auto"/>
        </w:rPr>
      </w:pPr>
    </w:p>
    <w:p>
      <w:pPr>
        <w:ind w:right="300" w:firstLine="432"/>
        <w:spacing w:after="0" w:line="257" w:lineRule="auto"/>
        <w:rPr>
          <w:sz w:val="20"/>
          <w:szCs w:val="20"/>
          <w:color w:val="auto"/>
        </w:rPr>
      </w:pPr>
      <w:r>
        <w:rPr>
          <w:rFonts w:ascii="Arial" w:cs="Arial" w:eastAsia="Arial" w:hAnsi="Arial"/>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marketing, sales, technical support and programming tools to developers who develop add-on applications for our products. Over 3,900 developers in the Autodesk Developer Network create interoperable products that further enhance the range of integrated solutions available to our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markets for our products are highly competitive and subject to rapid change. We strive to increase our competitive separation by investing in research and development, allowing us to bring new products to market and create exciting new versions of existing products that offer compelling efficiencies for our customers. We also compete through investments in marketing and sales to more effectively reach new customers and better serve existing customers.</w:t>
      </w:r>
    </w:p>
    <w:p>
      <w:pPr>
        <w:spacing w:after="0" w:line="187"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Our competitors include large, global, publicly traded companies; small, geographically focused firms; startup firms; and solutions produced in-house by their users. Our primary global competitors in the PSEB, AEC and MFG segments include Adobe Systems Incorporated, ANSYS, Inc., AVEVA Group plc, Bentley Systems, Incorporated, Dassault Systèmes S.A. and its subsidiary Dassault Systèmes SolidWorks Corp., Environmental Systems Research Institute, Inc. (ESRI), Intergraph Corporation, a wholly owned subsidiary of Hexagon AB, MSC Software Corporation, Nemetschek AG, Parametric Technology Corporation, Siemens Product Lifecycle Software, Inc., and Trimble Navigation Limited.</w:t>
      </w:r>
    </w:p>
    <w:p>
      <w:pPr>
        <w:spacing w:after="0" w:line="173"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Our M&amp;E segment also competes with a wide range of different companies from large, global, publicly-traded companies to small private entities. Large organizations that produce products that compete in some or all of our markets include Adobe Systems Incorporated, Apple Inc., Avid Technology, Inc., SONY Corporation and Thomson, among others. The media and entertainment market is highly fragmented with complex interdependencies between many of the larger businesses. As a result, some of our competitors also own subsidiaries that are our customers or our partners in developing or bringing to market some of our solutions. In addition to traditional competitors in developed economies, we encounter new competitors in emerging economies.</w:t>
      </w:r>
    </w:p>
    <w:p>
      <w:pPr>
        <w:spacing w:after="0" w:line="158"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power with continually expanding performance at progressively lower prices contributes to the ease of market entry. The industry is presently undergoing a platform shift from the personal computer to cloud and mobile computing. This shift lowers barriers to entry and poses a disruptive challenge to established software companies. The design software market is characterized by vigorous competition in each of the vertical markets in which we compete, both from existing competitors and by entry of competitors with innovative technologies. Competition is increasingly enhanced by consolidation of companies with complementary products and technologies and the possibility that competitors in one vertical segment may enter other vertical segments that we serve. In addition, some of our competitors in certain markets have greater financial, technical, sales and marketing and other resources than we do. Because of these and other factors, competitive conditions in these industries are likely to continue to intensify in the future. Increased competition could result in price reductions, reduced net revenue and profit margins and loss of market share, any of which could harm our business. See Item 1A, “Risk Factors,” for further discussion of risks regarding competition.</w:t>
      </w:r>
    </w:p>
    <w:p>
      <w:pPr>
        <w:spacing w:after="0" w:line="167" w:lineRule="exact"/>
        <w:rPr>
          <w:sz w:val="20"/>
          <w:szCs w:val="20"/>
          <w:color w:val="auto"/>
        </w:rPr>
      </w:pPr>
    </w:p>
    <w:p>
      <w:pPr>
        <w:ind w:right="420" w:firstLine="432"/>
        <w:spacing w:after="0" w:line="312" w:lineRule="auto"/>
        <w:rPr>
          <w:sz w:val="20"/>
          <w:szCs w:val="20"/>
          <w:color w:val="auto"/>
        </w:rPr>
      </w:pPr>
      <w:r>
        <w:rPr>
          <w:rFonts w:ascii="Arial" w:cs="Arial" w:eastAsia="Arial" w:hAnsi="Arial"/>
          <w:sz w:val="16"/>
          <w:szCs w:val="16"/>
          <w:color w:val="auto"/>
        </w:rPr>
        <w:t>We believe that our future results depend largely upon our abilities to better serve customers by offering new products, including cloud and mobile computing products, whether by internal development or acquisition, and to continue to provide existing product offerings that compete favorably with respect to ease of use, reliability, performance, range of useful features, continuing product enhancements, reputation, price and training.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LICENSES</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maintain an active program to legally protect our investment in technology through intellectual property rights. We protect our intellectual property through a combination of patent, copyright, trademark and trade secret protections, confidentiality procedures and contractual provisions. The nature and extent of legal protection associated with each such intellectual property right depends on, among other things, the type of intellectual property right and the given jurisdiction in</w:t>
      </w: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which such right arises. We believe that our intellectual property rights are valuable and important to our business, including each of our segments.</w:t>
      </w:r>
    </w:p>
    <w:p>
      <w:pPr>
        <w:spacing w:after="0" w:line="23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Nonetheless, our intellectual property rights may not be successfully asserted in the future or may be invalidated, circumvented or challenged. In addition, the laws of various foreign countries where our products are distributed do not protect our intellectual property rights to the same extent as U.S. laws. Enforcement of intellectual property rights against alleged infringers can sometimes lead to costly litigation and counterclaims. Our inability to protect our proprietary information could harm our business.</w:t>
      </w:r>
    </w:p>
    <w:p>
      <w:pPr>
        <w:spacing w:after="0" w:line="18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From time to time, we receive claims alleging infringement of a third party’s intellectual property rights, including patents. Disputes involving our intellectual property rights or those of another party have in the past and may in the future lead to, among other things, costly litigation or product shipment delays, which could harm our business.</w:t>
      </w:r>
    </w:p>
    <w:p>
      <w:pPr>
        <w:spacing w:after="0" w:line="181"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We retain ownership of software we develop. All software is licensed to users and primarily provided in object code pursuant to either shrink-wrap, embedded or on-line licenses, or signed license agreements. These agreements contain restrictions on duplication, disclosure and transfer.</w:t>
      </w:r>
    </w:p>
    <w:p>
      <w:pPr>
        <w:spacing w:after="0" w:line="14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believe that because of the limitations of laws protecting our intellectual property and the rapid, ongoing technological changes in both the computer hardware and software industries, we must rely principally upon software engineering and marketing skills to maintain and enhance our competitive market position.</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While we have recovered some revenue resulting from the unauthorized use of our software products, we are unable to measure the full extent to which piracy of our software products exists. We believe, however, that software piracy is and can be expected to be a persistent problem that negatively impacts our revenue and financial results.</w:t>
      </w:r>
    </w:p>
    <w:p>
      <w:pPr>
        <w:spacing w:after="0" w:line="18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addition, through various licensing arrangements, we receive certain rights to intellectual property of others. We expect to maintain current licensing arrangements and to secure licensing arrangements in the future, as needed and to the extent available on reasonable terms and conditions, to support continued development and sales of our products and services. Some of these licensing arrangements require or may require royalty payments and other licensing fees. The amount of these payments and fees may depend on various factors, including but not limited to: the structure of royalty payments, offsetting considerations, if any, and the degree of use of the licensed technology.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1A, “Risk Factors,” for further discussion of risks related to protecting our 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SUPPLIERS</w:t>
      </w:r>
    </w:p>
    <w:p>
      <w:pPr>
        <w:spacing w:after="0" w:line="229"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The production of our PSEB, AEC, MFG and certain M&amp;E software products involves duplication of the software media and, for certain products, the printing of user manuals. The purchase of media and the transfer of the software programs onto media for distribution to customers are performed by us and by licensed subcontractors. Media for our products such as DVDs and USB flash drives are available from multiple sources. We offer our maintenance customers an electronic software download option for selected product updates. Customers who choose electronic fulfillment receive the latest version of the software from our vendor’s secure servers. For certain products, user manuals are made available by request only as we work toward reducing our cost of shipping and production as well as the use of natural resources. User manuals and packaging materials are produced to our specifications by outside sources. Production is either performed in leased facilities operated by us or by independent third-party contractors. To date, we have not experienced any material difficulties or delays in the production of our software and documentation.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340" w:firstLine="432"/>
        <w:spacing w:after="0" w:line="302" w:lineRule="auto"/>
        <w:rPr>
          <w:sz w:val="20"/>
          <w:szCs w:val="20"/>
          <w:color w:val="auto"/>
        </w:rPr>
      </w:pPr>
      <w:r>
        <w:rPr>
          <w:rFonts w:ascii="Arial" w:cs="Arial" w:eastAsia="Arial" w:hAnsi="Arial"/>
          <w:sz w:val="16"/>
          <w:szCs w:val="16"/>
          <w:color w:val="auto"/>
        </w:rPr>
        <w:t>As of January 31, 2013, we employed approximately 7,300 people. None of our employees in the United States are represented by a labor union; however, in certain foreign countries, our employees are represented by work councils. We have never experienced any work stoppages and believe our employee relations are good. Reliance upon employees in other countries entails various risks and changes in these foreign countries, such as government instability or regulation unfavorable to foreign-owned businesses, that could negatively impact our business in the future.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ACQUISTIONS</w:t>
      </w:r>
    </w:p>
    <w:p>
      <w:pPr>
        <w:spacing w:after="0" w:line="229"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Over the past three years, we acquired new technology or supplemented our technology by purchasing businesses or certain technology related assets focused in specific markets or industries. For the three years ended January 31, 2013, 2012 and 2011, we acquired a number of companies and certain technology related assets, some of which were accounted for as business combinations. The following were key acquisitions for fiscal years 2013, 2012 and 2011:</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Date of closing</w:t>
            </w:r>
          </w:p>
        </w:tc>
        <w:tc>
          <w:tcPr>
            <w:tcW w:w="88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7580" w:type="dxa"/>
            <w:vAlign w:val="bottom"/>
            <w:gridSpan w:val="3"/>
          </w:tcPr>
          <w:p>
            <w:pPr>
              <w:ind w:left="3620"/>
              <w:spacing w:after="0"/>
              <w:rPr>
                <w:sz w:val="20"/>
                <w:szCs w:val="20"/>
                <w:color w:val="auto"/>
              </w:rPr>
            </w:pPr>
            <w:r>
              <w:rPr>
                <w:rFonts w:ascii="Arial" w:cs="Arial" w:eastAsia="Arial" w:hAnsi="Arial"/>
                <w:sz w:val="14"/>
                <w:szCs w:val="14"/>
                <w:b w:val="1"/>
                <w:bCs w:val="1"/>
                <w:color w:val="auto"/>
              </w:rPr>
              <w:t>Details</w:t>
            </w:r>
          </w:p>
        </w:tc>
      </w:tr>
      <w:tr>
        <w:trPr>
          <w:trHeight w:val="21"/>
        </w:trPr>
        <w:tc>
          <w:tcPr>
            <w:tcW w:w="4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20"/>
        </w:trPr>
        <w:tc>
          <w:tcPr>
            <w:tcW w:w="16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December 2012</w:t>
            </w:r>
          </w:p>
        </w:tc>
        <w:tc>
          <w:tcPr>
            <w:tcW w:w="21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PI-VR GmbH ("PI-VR")</w:t>
            </w: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4"/>
              </w:rPr>
              <w:t>The PI-VR acquisition brings sophisticated visualization solutions that will strengthen and enhance our expertise</w:t>
            </w:r>
          </w:p>
        </w:tc>
      </w:tr>
      <w:tr>
        <w:trPr>
          <w:trHeight w:val="203"/>
        </w:trPr>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in and offerings for automotive visualization. PI-VR has been integrated into, and the related goodwill was</w:t>
            </w:r>
          </w:p>
        </w:tc>
      </w:tr>
      <w:tr>
        <w:trPr>
          <w:trHeight w:val="219"/>
        </w:trPr>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75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assigned to, the MFG segment.</w:t>
            </w:r>
          </w:p>
        </w:tc>
      </w:tr>
      <w:tr>
        <w:trPr>
          <w:trHeight w:val="220"/>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October 2012</w:t>
            </w:r>
          </w:p>
        </w:tc>
        <w:tc>
          <w:tcPr>
            <w:tcW w:w="2160" w:type="dxa"/>
            <w:vAlign w:val="bottom"/>
            <w:gridSpan w:val="3"/>
          </w:tcPr>
          <w:p>
            <w:pPr>
              <w:ind w:left="300"/>
              <w:spacing w:after="0"/>
              <w:rPr>
                <w:sz w:val="20"/>
                <w:szCs w:val="20"/>
                <w:color w:val="auto"/>
              </w:rPr>
            </w:pPr>
            <w:r>
              <w:rPr>
                <w:rFonts w:ascii="Arial" w:cs="Arial" w:eastAsia="Arial" w:hAnsi="Arial"/>
                <w:sz w:val="16"/>
                <w:szCs w:val="16"/>
                <w:color w:val="auto"/>
              </w:rPr>
              <w:t>Qontext ("Qontext")</w:t>
            </w: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4"/>
              </w:rPr>
              <w:t>The Qontext acquisition provides us with an enterprise business and social collaboration platform which extends</w:t>
            </w:r>
          </w:p>
        </w:tc>
      </w:tr>
      <w:tr>
        <w:trPr>
          <w:trHeight w:val="203"/>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7"/>
              </w:rPr>
              <w:t>our reach into design networks via contextual workflows. This also expands our expertise in cloud and social</w:t>
            </w:r>
          </w:p>
        </w:tc>
      </w:tr>
      <w:tr>
        <w:trPr>
          <w:trHeight w:val="203"/>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7"/>
              </w:rPr>
              <w:t>networking by supplementing existing knowledge in cloud, web, and mobile development. Qontext has been</w:t>
            </w:r>
          </w:p>
        </w:tc>
      </w:tr>
      <w:tr>
        <w:trPr>
          <w:trHeight w:val="206"/>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rPr>
              <w:t>integrated into, and the related goodwill was assigned to, the PSEB segment.</w:t>
            </w:r>
          </w:p>
        </w:tc>
      </w:tr>
      <w:tr>
        <w:trPr>
          <w:trHeight w:val="33"/>
        </w:trPr>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20"/>
        </w:trPr>
        <w:tc>
          <w:tcPr>
            <w:tcW w:w="16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August 2012</w:t>
            </w:r>
          </w:p>
        </w:tc>
        <w:tc>
          <w:tcPr>
            <w:tcW w:w="21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Socialcam ("Socialcam")</w:t>
            </w: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The Socialcam acquisition strengthens our ability to make our product line more social, and deliver more</w:t>
            </w:r>
          </w:p>
        </w:tc>
      </w:tr>
      <w:tr>
        <w:trPr>
          <w:trHeight w:val="203"/>
        </w:trPr>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mobile/web oriented products. In addition, the acquisition integrated with Autodesk 360 to further provide</w:t>
            </w:r>
          </w:p>
        </w:tc>
      </w:tr>
      <w:tr>
        <w:trPr>
          <w:trHeight w:val="203"/>
        </w:trPr>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2"/>
              </w:rPr>
              <w:t>collaboration features to our professional customers. Socialcam has been integrated into, and the related goodwill</w:t>
            </w:r>
          </w:p>
        </w:tc>
      </w:tr>
      <w:tr>
        <w:trPr>
          <w:trHeight w:val="219"/>
        </w:trPr>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75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was assigned to, the PSEB segment.</w:t>
            </w:r>
          </w:p>
        </w:tc>
      </w:tr>
      <w:tr>
        <w:trPr>
          <w:trHeight w:val="220"/>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June 2012</w:t>
            </w:r>
          </w:p>
        </w:tc>
        <w:tc>
          <w:tcPr>
            <w:tcW w:w="2160" w:type="dxa"/>
            <w:vAlign w:val="bottom"/>
            <w:gridSpan w:val="3"/>
          </w:tcPr>
          <w:p>
            <w:pPr>
              <w:ind w:left="300"/>
              <w:spacing w:after="0"/>
              <w:rPr>
                <w:sz w:val="20"/>
                <w:szCs w:val="20"/>
                <w:color w:val="auto"/>
              </w:rPr>
            </w:pPr>
            <w:r>
              <w:rPr>
                <w:rFonts w:ascii="Arial" w:cs="Arial" w:eastAsia="Arial" w:hAnsi="Arial"/>
                <w:sz w:val="16"/>
                <w:szCs w:val="16"/>
                <w:color w:val="auto"/>
                <w:w w:val="96"/>
              </w:rPr>
              <w:t>Vela Systems, Inc. ("Vela")</w:t>
            </w: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rPr>
              <w:t>The Vela acquisition provides a platform to deliver project information to the point of construction. Vela,</w:t>
            </w:r>
          </w:p>
        </w:tc>
      </w:tr>
      <w:tr>
        <w:trPr>
          <w:trHeight w:val="203"/>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2"/>
              </w:rPr>
              <w:t>integrated with Navisworks, augments the model-based data created in Revit, establishing a bi-direction and visual</w:t>
            </w:r>
          </w:p>
        </w:tc>
      </w:tr>
      <w:tr>
        <w:trPr>
          <w:trHeight w:val="203"/>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4"/>
              </w:rPr>
              <w:t>link between model elements and relevant information - streamlining the information management process from</w:t>
            </w:r>
          </w:p>
        </w:tc>
      </w:tr>
      <w:tr>
        <w:trPr>
          <w:trHeight w:val="203"/>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5"/>
              </w:rPr>
              <w:t>design through construction to hand-over and into operations. In addition, this acquisition delivers model-based</w:t>
            </w:r>
          </w:p>
        </w:tc>
      </w:tr>
      <w:tr>
        <w:trPr>
          <w:trHeight w:val="203"/>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5"/>
              </w:rPr>
              <w:t>construction via mobile and cloud. Vela has been integrated into, and the related goodwill was assigned to, the</w:t>
            </w:r>
          </w:p>
        </w:tc>
      </w:tr>
      <w:tr>
        <w:trPr>
          <w:trHeight w:val="206"/>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rPr>
              <w:t>AEC segment.</w:t>
            </w:r>
          </w:p>
        </w:tc>
      </w:tr>
      <w:tr>
        <w:trPr>
          <w:trHeight w:val="33"/>
        </w:trPr>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20"/>
        </w:trPr>
        <w:tc>
          <w:tcPr>
            <w:tcW w:w="16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December 2011</w:t>
            </w:r>
          </w:p>
        </w:tc>
        <w:tc>
          <w:tcPr>
            <w:tcW w:w="21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T-Splines, Inc. ("T-</w:t>
            </w: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4"/>
              </w:rPr>
              <w:t>The T-Splines acquisition strengthens our Digital Prototyping portfolio with more flexible free-form modeling and</w:t>
            </w:r>
          </w:p>
        </w:tc>
      </w:tr>
      <w:tr>
        <w:trPr>
          <w:trHeight w:val="203"/>
        </w:trPr>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Splines")</w:t>
            </w: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7"/>
              </w:rPr>
              <w:t>will help achieve closer integration between industrial design and engineering workflows. T-Splines has been</w:t>
            </w:r>
          </w:p>
        </w:tc>
      </w:tr>
      <w:tr>
        <w:trPr>
          <w:trHeight w:val="219"/>
        </w:trPr>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75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integrated into, and the related goodwill was assigned to, the MFG segment.</w:t>
            </w:r>
          </w:p>
        </w:tc>
      </w:tr>
      <w:tr>
        <w:trPr>
          <w:trHeight w:val="220"/>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October 2011</w:t>
            </w:r>
          </w:p>
        </w:tc>
        <w:tc>
          <w:tcPr>
            <w:tcW w:w="2160" w:type="dxa"/>
            <w:vAlign w:val="bottom"/>
            <w:gridSpan w:val="3"/>
          </w:tcPr>
          <w:p>
            <w:pPr>
              <w:ind w:left="300"/>
              <w:spacing w:after="0"/>
              <w:rPr>
                <w:sz w:val="20"/>
                <w:szCs w:val="20"/>
                <w:color w:val="auto"/>
              </w:rPr>
            </w:pPr>
            <w:r>
              <w:rPr>
                <w:rFonts w:ascii="Arial" w:cs="Arial" w:eastAsia="Arial" w:hAnsi="Arial"/>
                <w:sz w:val="16"/>
                <w:szCs w:val="16"/>
                <w:color w:val="auto"/>
              </w:rPr>
              <w:t>Micro Application</w:t>
            </w: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rPr>
              <w:t>The MAP acquisition expands our portfolio for MEP contractors and fabricators by providing tools for the</w:t>
            </w:r>
          </w:p>
        </w:tc>
      </w:tr>
      <w:tr>
        <w:trPr>
          <w:trHeight w:val="203"/>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gridSpan w:val="3"/>
          </w:tcPr>
          <w:p>
            <w:pPr>
              <w:ind w:left="300"/>
              <w:spacing w:after="0"/>
              <w:rPr>
                <w:sz w:val="20"/>
                <w:szCs w:val="20"/>
                <w:color w:val="auto"/>
              </w:rPr>
            </w:pPr>
            <w:r>
              <w:rPr>
                <w:rFonts w:ascii="Arial" w:cs="Arial" w:eastAsia="Arial" w:hAnsi="Arial"/>
                <w:sz w:val="16"/>
                <w:szCs w:val="16"/>
                <w:color w:val="auto"/>
              </w:rPr>
              <w:t>Packages Limited</w:t>
            </w: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9"/>
              </w:rPr>
              <w:t>manufacturing, fabrication and installation of MEP systems. MAP has been integrated into, and the related</w:t>
            </w:r>
          </w:p>
        </w:tc>
      </w:tr>
      <w:tr>
        <w:trPr>
          <w:trHeight w:val="206"/>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gridSpan w:val="3"/>
          </w:tcPr>
          <w:p>
            <w:pPr>
              <w:ind w:left="300"/>
              <w:spacing w:after="0"/>
              <w:rPr>
                <w:sz w:val="20"/>
                <w:szCs w:val="20"/>
                <w:color w:val="auto"/>
              </w:rPr>
            </w:pPr>
            <w:r>
              <w:rPr>
                <w:rFonts w:ascii="Arial" w:cs="Arial" w:eastAsia="Arial" w:hAnsi="Arial"/>
                <w:sz w:val="16"/>
                <w:szCs w:val="16"/>
                <w:color w:val="auto"/>
              </w:rPr>
              <w:t>("MAP")</w:t>
            </w: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rPr>
              <w:t>goodwill was assigned to, the AEC segment.</w:t>
            </w:r>
          </w:p>
        </w:tc>
      </w:tr>
      <w:tr>
        <w:trPr>
          <w:trHeight w:val="33"/>
        </w:trPr>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20"/>
        </w:trPr>
        <w:tc>
          <w:tcPr>
            <w:tcW w:w="16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August 2011</w:t>
            </w:r>
          </w:p>
        </w:tc>
        <w:tc>
          <w:tcPr>
            <w:tcW w:w="21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Turbo Squid, Inc. (“Turbo</w:t>
            </w: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2"/>
              </w:rPr>
              <w:t>The acquisition of certain technology assets from Turbo Squid strengthens our online marketplace platform for our</w:t>
            </w:r>
          </w:p>
        </w:tc>
      </w:tr>
      <w:tr>
        <w:trPr>
          <w:trHeight w:val="219"/>
        </w:trPr>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Squid”)</w:t>
            </w:r>
          </w:p>
        </w:tc>
        <w:tc>
          <w:tcPr>
            <w:tcW w:w="75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design application users.</w:t>
            </w:r>
          </w:p>
        </w:tc>
      </w:tr>
      <w:tr>
        <w:trPr>
          <w:trHeight w:val="220"/>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August 2011</w:t>
            </w:r>
          </w:p>
        </w:tc>
        <w:tc>
          <w:tcPr>
            <w:tcW w:w="2160" w:type="dxa"/>
            <w:vAlign w:val="bottom"/>
            <w:gridSpan w:val="3"/>
          </w:tcPr>
          <w:p>
            <w:pPr>
              <w:ind w:left="300"/>
              <w:spacing w:after="0"/>
              <w:rPr>
                <w:sz w:val="20"/>
                <w:szCs w:val="20"/>
                <w:color w:val="auto"/>
              </w:rPr>
            </w:pPr>
            <w:r>
              <w:rPr>
                <w:rFonts w:ascii="Arial" w:cs="Arial" w:eastAsia="Arial" w:hAnsi="Arial"/>
                <w:sz w:val="16"/>
                <w:szCs w:val="16"/>
                <w:color w:val="auto"/>
              </w:rPr>
              <w:t>Instructables, Inc.</w:t>
            </w: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4"/>
              </w:rPr>
              <w:t>The Instructables acquisition assists makers of all types by linking Instructables' vibrant online community to our</w:t>
            </w:r>
          </w:p>
        </w:tc>
      </w:tr>
      <w:tr>
        <w:trPr>
          <w:trHeight w:val="203"/>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gridSpan w:val="3"/>
          </w:tcPr>
          <w:p>
            <w:pPr>
              <w:ind w:left="300"/>
              <w:spacing w:after="0"/>
              <w:rPr>
                <w:sz w:val="20"/>
                <w:szCs w:val="20"/>
                <w:color w:val="auto"/>
              </w:rPr>
            </w:pPr>
            <w:r>
              <w:rPr>
                <w:rFonts w:ascii="Arial" w:cs="Arial" w:eastAsia="Arial" w:hAnsi="Arial"/>
                <w:sz w:val="16"/>
                <w:szCs w:val="16"/>
                <w:color w:val="auto"/>
              </w:rPr>
              <w:t>("Instructables")</w:t>
            </w: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2"/>
              </w:rPr>
              <w:t>software tools and services, such as SketchBook, 123D and Homestyler that allow anyone to explore design ideas</w:t>
            </w:r>
          </w:p>
        </w:tc>
      </w:tr>
      <w:tr>
        <w:trPr>
          <w:trHeight w:val="203"/>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3"/>
              </w:rPr>
              <w:t>and bring them to life. Instructables has been integrated into, and the related goodwill was assigned to, the PSEB</w:t>
            </w:r>
          </w:p>
        </w:tc>
      </w:tr>
      <w:tr>
        <w:trPr>
          <w:trHeight w:val="206"/>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rPr>
              <w:t>segment.</w:t>
            </w:r>
          </w:p>
        </w:tc>
      </w:tr>
      <w:tr>
        <w:trPr>
          <w:trHeight w:val="33"/>
        </w:trPr>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20"/>
        </w:trPr>
        <w:tc>
          <w:tcPr>
            <w:tcW w:w="16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March 2011</w:t>
            </w:r>
          </w:p>
        </w:tc>
        <w:tc>
          <w:tcPr>
            <w:tcW w:w="21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w w:val="99"/>
              </w:rPr>
              <w:t>Blue Ridge Numerics, Inc.</w:t>
            </w: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4"/>
              </w:rPr>
              <w:t>The Blue Ridge acquisition broadens our solution for Digital Prototyping to provide customers with a spectrum of</w:t>
            </w:r>
          </w:p>
        </w:tc>
      </w:tr>
      <w:tr>
        <w:trPr>
          <w:trHeight w:val="203"/>
        </w:trPr>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("Blue Ridge")</w:t>
            </w: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6"/>
              </w:rPr>
              <w:t>computational fluid dynamics (CFD) capabilities that help automate fluid flow and thermal simulation decision-</w:t>
            </w:r>
          </w:p>
        </w:tc>
      </w:tr>
      <w:tr>
        <w:trPr>
          <w:trHeight w:val="203"/>
        </w:trPr>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3"/>
              </w:rPr>
              <w:t>making for designs, while eliminating costly physical prototyping cycles. Blue Ridge has been integrated into, and</w:t>
            </w:r>
          </w:p>
        </w:tc>
      </w:tr>
      <w:tr>
        <w:trPr>
          <w:trHeight w:val="219"/>
        </w:trPr>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75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the related goodwill was assigned to, the MFG segment.</w:t>
            </w:r>
          </w:p>
        </w:tc>
      </w:tr>
      <w:tr>
        <w:trPr>
          <w:trHeight w:val="220"/>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March 2011</w:t>
            </w:r>
          </w:p>
        </w:tc>
        <w:tc>
          <w:tcPr>
            <w:tcW w:w="2160" w:type="dxa"/>
            <w:vAlign w:val="bottom"/>
            <w:gridSpan w:val="3"/>
          </w:tcPr>
          <w:p>
            <w:pPr>
              <w:ind w:left="300"/>
              <w:spacing w:after="0"/>
              <w:rPr>
                <w:sz w:val="20"/>
                <w:szCs w:val="20"/>
                <w:color w:val="auto"/>
              </w:rPr>
            </w:pPr>
            <w:r>
              <w:rPr>
                <w:rFonts w:ascii="Arial" w:cs="Arial" w:eastAsia="Arial" w:hAnsi="Arial"/>
                <w:sz w:val="16"/>
                <w:szCs w:val="16"/>
                <w:color w:val="auto"/>
              </w:rPr>
              <w:t>Scaleform Corporation</w:t>
            </w: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8"/>
              </w:rPr>
              <w:t>The Scaleform acquisition furthers Autodesk's ability to provide customers with more complete workflows to</w:t>
            </w:r>
          </w:p>
        </w:tc>
      </w:tr>
      <w:tr>
        <w:trPr>
          <w:trHeight w:val="203"/>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gridSpan w:val="3"/>
          </w:tcPr>
          <w:p>
            <w:pPr>
              <w:ind w:left="300"/>
              <w:spacing w:after="0"/>
              <w:rPr>
                <w:sz w:val="20"/>
                <w:szCs w:val="20"/>
                <w:color w:val="auto"/>
              </w:rPr>
            </w:pPr>
            <w:r>
              <w:rPr>
                <w:rFonts w:ascii="Arial" w:cs="Arial" w:eastAsia="Arial" w:hAnsi="Arial"/>
                <w:sz w:val="16"/>
                <w:szCs w:val="16"/>
                <w:color w:val="auto"/>
              </w:rPr>
              <w:t>("Scaleform")</w:t>
            </w: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4"/>
              </w:rPr>
              <w:t>more rapidly develop immersive 3D and casual game experiences. Scaleform has been integrated into, and the</w:t>
            </w:r>
          </w:p>
        </w:tc>
      </w:tr>
      <w:tr>
        <w:trPr>
          <w:trHeight w:val="206"/>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rPr>
              <w:t>related goodwill was assigned to, the M&amp;E segment.</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typically ship products shortly after receipt of an order, which is common in the software industry. Our backlog is comprised of current software license product orders which have not yet shipped. The category of current software license product orders which we have not yet shipped consists of orders from customers with approved credit status for currently available software products and may include both orders with current ship dates and orders with ship dates beyond the current fiscal period.</w:t>
      </w:r>
    </w:p>
    <w:p>
      <w:pPr>
        <w:spacing w:after="0" w:line="187"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Backlog was $20.0 million at January 31, 2013 compared to $27.1 million at January 31, 2012. The actual amount of backlog at any particular time may not be a meaningful indicator of future business prospects as this amount is impacted by a number of factors not related to future trends or events such as the order fulfillment process, the method of software delivery or the linearity of our business within the fiscal period.</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0" w:firstLine="405"/>
        <w:spacing w:after="0" w:line="266" w:lineRule="auto"/>
        <w:rPr>
          <w:sz w:val="20"/>
          <w:szCs w:val="20"/>
          <w:color w:val="auto"/>
        </w:rPr>
      </w:pPr>
      <w:r>
        <w:rPr>
          <w:rFonts w:ascii="Arial" w:cs="Arial" w:eastAsia="Arial" w:hAnsi="Arial"/>
          <w:sz w:val="18"/>
          <w:szCs w:val="18"/>
          <w:b w:val="1"/>
          <w:bCs w:val="1"/>
          <w:color w:val="auto"/>
        </w:rPr>
        <w:t>BIM (Building Information Modeling)—</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jc w:val="both"/>
        <w:ind w:right="320" w:firstLine="405"/>
        <w:spacing w:after="0" w:line="266" w:lineRule="auto"/>
        <w:rPr>
          <w:sz w:val="20"/>
          <w:szCs w:val="20"/>
          <w:color w:val="auto"/>
        </w:rPr>
      </w:pPr>
      <w:r>
        <w:rPr>
          <w:rFonts w:ascii="Arial" w:cs="Arial" w:eastAsia="Arial" w:hAnsi="Arial"/>
          <w:sz w:val="18"/>
          <w:szCs w:val="18"/>
          <w:b w:val="1"/>
          <w:bCs w:val="1"/>
          <w:color w:val="auto"/>
        </w:rPr>
        <w:t>Constant currency growth rates—</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 Our constant currency methodology removes all hedging gains and losses from the calculation.</w:t>
      </w:r>
    </w:p>
    <w:p>
      <w:pPr>
        <w:spacing w:after="0" w:line="176" w:lineRule="exact"/>
        <w:rPr>
          <w:sz w:val="20"/>
          <w:szCs w:val="20"/>
          <w:color w:val="auto"/>
        </w:rPr>
      </w:pPr>
    </w:p>
    <w:p>
      <w:pPr>
        <w:ind w:right="20" w:firstLine="405"/>
        <w:spacing w:after="0" w:line="282" w:lineRule="auto"/>
        <w:rPr>
          <w:sz w:val="20"/>
          <w:szCs w:val="20"/>
          <w:color w:val="auto"/>
        </w:rPr>
      </w:pPr>
      <w:r>
        <w:rPr>
          <w:rFonts w:ascii="Arial" w:cs="Arial" w:eastAsia="Arial" w:hAnsi="Arial"/>
          <w:sz w:val="18"/>
          <w:szCs w:val="18"/>
          <w:b w:val="1"/>
          <w:bCs w:val="1"/>
          <w:color w:val="auto"/>
        </w:rPr>
        <w:t>Digital prototyping—</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b w:val="1"/>
          <w:bCs w:val="1"/>
          <w:color w:val="auto"/>
        </w:rPr>
        <w:t xml:space="preserve"> </w:t>
      </w:r>
      <w:r>
        <w:rPr>
          <w:rFonts w:ascii="Arial" w:cs="Arial" w:eastAsia="Arial" w:hAnsi="Arial"/>
          <w:sz w:val="18"/>
          <w:szCs w:val="18"/>
          <w:color w:val="auto"/>
        </w:rPr>
        <w:t>model rather than a physical model.</w:t>
      </w:r>
    </w:p>
    <w:p>
      <w:pPr>
        <w:spacing w:after="0" w:line="162" w:lineRule="exact"/>
        <w:rPr>
          <w:sz w:val="20"/>
          <w:szCs w:val="20"/>
          <w:color w:val="auto"/>
        </w:rPr>
      </w:pPr>
    </w:p>
    <w:p>
      <w:pPr>
        <w:jc w:val="both"/>
        <w:ind w:right="420" w:firstLine="405"/>
        <w:spacing w:after="0" w:line="266" w:lineRule="auto"/>
        <w:rPr>
          <w:sz w:val="20"/>
          <w:szCs w:val="20"/>
          <w:color w:val="auto"/>
        </w:rPr>
      </w:pPr>
      <w:r>
        <w:rPr>
          <w:rFonts w:ascii="Arial" w:cs="Arial" w:eastAsia="Arial" w:hAnsi="Arial"/>
          <w:sz w:val="18"/>
          <w:szCs w:val="18"/>
          <w:b w:val="1"/>
          <w:bCs w:val="1"/>
          <w:color w:val="auto"/>
        </w:rPr>
        <w:t>Flagship—</w:t>
      </w:r>
      <w:r>
        <w:rPr>
          <w:rFonts w:ascii="Arial" w:cs="Arial" w:eastAsia="Arial" w:hAnsi="Arial"/>
          <w:sz w:val="18"/>
          <w:szCs w:val="18"/>
          <w:color w:val="auto"/>
        </w:rPr>
        <w:t>Autodesk flagship products are our core design products. Flagship includes the following products: 3ds Max, AutoCAD, AutoCAD LT,</w:t>
      </w:r>
      <w:r>
        <w:rPr>
          <w:rFonts w:ascii="Arial" w:cs="Arial" w:eastAsia="Arial" w:hAnsi="Arial"/>
          <w:sz w:val="18"/>
          <w:szCs w:val="18"/>
          <w:b w:val="1"/>
          <w:bCs w:val="1"/>
          <w:color w:val="auto"/>
        </w:rPr>
        <w:t xml:space="preserve"> </w:t>
      </w:r>
      <w:r>
        <w:rPr>
          <w:rFonts w:ascii="Arial" w:cs="Arial" w:eastAsia="Arial" w:hAnsi="Arial"/>
          <w:sz w:val="18"/>
          <w:szCs w:val="18"/>
          <w:color w:val="auto"/>
        </w:rPr>
        <w:t>AutoCAD vertical products (such as AutoCAD Architecture, AutoCAD Map and AutoCAD Mechanical), Civil 3D, Maya, Plant 3D, and Revit products (standalone).</w:t>
      </w:r>
    </w:p>
    <w:p>
      <w:pPr>
        <w:spacing w:after="0" w:line="176"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b w:val="1"/>
          <w:bCs w:val="1"/>
          <w:color w:val="auto"/>
        </w:rPr>
        <w:t>New and Adjacent—</w:t>
      </w:r>
      <w:r>
        <w:rPr>
          <w:rFonts w:ascii="Arial" w:cs="Arial" w:eastAsia="Arial" w:hAnsi="Arial"/>
          <w:sz w:val="18"/>
          <w:szCs w:val="18"/>
          <w:color w:val="auto"/>
        </w:rPr>
        <w:t>Autodesk new and adjacent products include Autodesk's new product offerings as well as products that are not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flagship or suites. New and adjacent includes the following services and products: Autodesk Alias Design products, Autodesk Consulting, Autodesk Buzzsaw, Autodesk Constructware, Autodesk consumer products, Autodesk Creative Finishing products, Autodesk Moldflow products, Autodesk Navisworks, Autodesk Simulation, Autodesk Vault products, Autodesk 360 and all other products.</w:t>
      </w:r>
    </w:p>
    <w:p>
      <w:pPr>
        <w:spacing w:after="0" w:line="180" w:lineRule="exact"/>
        <w:rPr>
          <w:sz w:val="20"/>
          <w:szCs w:val="20"/>
          <w:color w:val="auto"/>
        </w:rPr>
      </w:pPr>
    </w:p>
    <w:p>
      <w:pPr>
        <w:ind w:right="100" w:firstLine="405"/>
        <w:spacing w:after="0" w:line="258" w:lineRule="auto"/>
        <w:rPr>
          <w:sz w:val="20"/>
          <w:szCs w:val="20"/>
          <w:color w:val="auto"/>
        </w:rPr>
      </w:pPr>
      <w:r>
        <w:rPr>
          <w:rFonts w:ascii="Arial" w:cs="Arial" w:eastAsia="Arial" w:hAnsi="Arial"/>
          <w:sz w:val="18"/>
          <w:szCs w:val="18"/>
          <w:b w:val="1"/>
          <w:bCs w:val="1"/>
          <w:color w:val="auto"/>
        </w:rPr>
        <w:t>Suites—</w:t>
      </w:r>
      <w:r>
        <w:rPr>
          <w:rFonts w:ascii="Arial" w:cs="Arial" w:eastAsia="Arial" w:hAnsi="Arial"/>
          <w:sz w:val="18"/>
          <w:szCs w:val="18"/>
          <w:color w:val="auto"/>
        </w:rPr>
        <w:t>Autodesk design suites are a combination of products that target a specific user objective (product design, building design, etc.) and support a</w:t>
      </w:r>
      <w:r>
        <w:rPr>
          <w:rFonts w:ascii="Arial" w:cs="Arial" w:eastAsia="Arial" w:hAnsi="Arial"/>
          <w:sz w:val="18"/>
          <w:szCs w:val="18"/>
          <w:b w:val="1"/>
          <w:bCs w:val="1"/>
          <w:color w:val="auto"/>
        </w:rPr>
        <w:t xml:space="preserve"> </w:t>
      </w:r>
      <w:r>
        <w:rPr>
          <w:rFonts w:ascii="Arial" w:cs="Arial" w:eastAsia="Arial" w:hAnsi="Arial"/>
          <w:sz w:val="18"/>
          <w:szCs w:val="18"/>
          <w:color w:val="auto"/>
        </w:rPr>
        <w:t>set of workflows for that objective. Our new design and creation suites include: Autodesk Design Suite, Autodesk Building Design Suite, Autodesk Educational/academic Suites, Autodesk Entertainment Creation Suite, Autodesk Factory Design Suite, Autodesk Infrastructure Design Suite, Autodesk Plant Design Suite, and Autodesk Product Design Suite. Our previously established suites include: Autodesk Inventor family suites, Autodesk Revit family suites, and education solutions suites.</w:t>
      </w:r>
    </w:p>
    <w:p>
      <w:pPr>
        <w:spacing w:after="0" w:line="184" w:lineRule="exact"/>
        <w:rPr>
          <w:sz w:val="20"/>
          <w:szCs w:val="20"/>
          <w:color w:val="auto"/>
        </w:rPr>
      </w:pPr>
    </w:p>
    <w:p>
      <w:pPr>
        <w:ind w:right="20" w:firstLine="405"/>
        <w:spacing w:after="0" w:line="277" w:lineRule="auto"/>
        <w:rPr>
          <w:sz w:val="20"/>
          <w:szCs w:val="20"/>
          <w:color w:val="auto"/>
        </w:rPr>
      </w:pPr>
      <w:r>
        <w:rPr>
          <w:rFonts w:ascii="Arial" w:cs="Arial" w:eastAsia="Arial" w:hAnsi="Arial"/>
          <w:sz w:val="17"/>
          <w:szCs w:val="17"/>
          <w:b w:val="1"/>
          <w:bCs w:val="1"/>
          <w:color w:val="auto"/>
        </w:rPr>
        <w:t>Upgrade—</w:t>
      </w:r>
      <w:r>
        <w:rPr>
          <w:rFonts w:ascii="Arial" w:cs="Arial" w:eastAsia="Arial" w:hAnsi="Arial"/>
          <w:sz w:val="17"/>
          <w:szCs w:val="17"/>
          <w:color w:val="auto"/>
        </w:rPr>
        <w:t>Upgrades allow customers to pay an incremental fee at currently available prices toward the purchase of the latest version of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Upgrades are available only for licenses of software that are up to three versions prior to the latest version available; an upgrade terminates the license to the previous version of the product. A similar exchange and termination of a previous version of a product that is four versions prior to the latest version available is recorded as commercial new revenue. Upgrades also includes crossgrades where a customer pays an incremental fee at currently available prices toward the purchase of a different product. The license to the previous product is terminated.</w:t>
      </w:r>
    </w:p>
    <w:p>
      <w:pPr>
        <w:spacing w:after="0" w:line="3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10-K,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10-K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conditions may further impact our business, financial results and financial condition.</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As our business has expanded globally, we have increasingly become subject to risks arising from adverse changes in global economic and political conditions. The past several years have been characterized by weak global economic conditions, a tightening in the credit markets, relatively high unemployment, a low level of liquidity in many financial markets, increased government deficit spending and debt levels, uncertainty about certain governments' abilities to repay such debt or to address certain fiscal issues (such as the “fiscal cliff” and “sequestration” in the United States), and volatility in many financial instrument markets. There are a number of mixed indicators and it is not yet clear whether a sustainable recovery is occurring or a renewed slow-down is taking place.</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have caused many countries to reduce spending and in some cases have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In addition, these factors are causing, and over the past several years have caused, us to restructure our business and in turn we have and will incur restructuring charges. Moreover, our financial performance may be negatively impacted by:</w:t>
      </w:r>
    </w:p>
    <w:p>
      <w:pPr>
        <w:spacing w:after="0" w:line="18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which may impair our distribution channels and cash flows;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decreased borrowing and spending by our end users on small and large projects in the industries we serve, thereby reducing demand for our products.</w:t>
      </w:r>
    </w:p>
    <w:p>
      <w:pPr>
        <w:spacing w:after="0" w:line="248"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Even if economic conditions in the U.S. and foreign markets improve generally, a slower economic recovery in industries important to our business, such as the architecture, engineering and construction, manufacturing and digital media and entertainment industries, may adversely affect our business, financial results and financial condition. If a macro-economic recovery does not occur as rapidly as anticipated, our ability to meet our long-term financial targets may also be adversely affected.</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The actions that we are taking to reorganize our business in alignment with our current operating strategy and in response to our related business slowdown may be costly and may not be as effective as anticipated.</w:t>
      </w:r>
    </w:p>
    <w:p>
      <w:pPr>
        <w:spacing w:after="0" w:line="170" w:lineRule="exact"/>
        <w:rPr>
          <w:sz w:val="20"/>
          <w:szCs w:val="20"/>
          <w:color w:val="auto"/>
        </w:rPr>
      </w:pPr>
    </w:p>
    <w:p>
      <w:pPr>
        <w:ind w:right="560" w:firstLine="405"/>
        <w:spacing w:after="0" w:line="291" w:lineRule="auto"/>
        <w:rPr>
          <w:sz w:val="20"/>
          <w:szCs w:val="20"/>
          <w:color w:val="auto"/>
        </w:rPr>
      </w:pPr>
      <w:r>
        <w:rPr>
          <w:rFonts w:ascii="Arial" w:cs="Arial" w:eastAsia="Arial" w:hAnsi="Arial"/>
          <w:sz w:val="16"/>
          <w:szCs w:val="16"/>
          <w:color w:val="auto"/>
        </w:rPr>
        <w:t>During the first quarter of fiscal year 2013, we undertook a number of important organizational changes to drive the success of our business. The reorganization included changes to the structure and alignment of our product development and marketing teams and re-organization of our sales</w:t>
      </w:r>
    </w:p>
    <w:p>
      <w:pPr>
        <w:ind w:right="100"/>
        <w:spacing w:after="0" w:line="290" w:lineRule="auto"/>
        <w:rPr>
          <w:sz w:val="20"/>
          <w:szCs w:val="20"/>
          <w:color w:val="auto"/>
        </w:rPr>
      </w:pPr>
      <w:r>
        <w:rPr>
          <w:rFonts w:ascii="Arial" w:cs="Arial" w:eastAsia="Arial" w:hAnsi="Arial"/>
          <w:sz w:val="16"/>
          <w:szCs w:val="16"/>
          <w:color w:val="auto"/>
        </w:rPr>
        <w:t>teams. While these changes were intended to better serve our customers and drive future growth, we encountered challenges in the execution of these efforts which impacted our financial results in the short term. In order to achieve these organizational changes and to further our strategy, including our continuing shift to cloud and mobile computing, in the third quarter of fiscal year 2013, we commenced a company-wide restructuring plan. If we are unable to realize the outcomes from the restructuring efforts as planned, we may need to undertake additional restructuring efforts, and our business and operating results may be harmed. In taking any future restructuring actions, we may incur additional costs that negatively impact our operating margins. Additionally, a prolonged and slow economic recovery or a renewed recession in U.S. or foreign markets could also lead to additional restructuring actions and associated costs.</w:t>
      </w:r>
    </w:p>
    <w:p>
      <w:pPr>
        <w:spacing w:after="0" w:line="164"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We have taken actions to reduce our cost structure to more closely align our costs with our revenue levels. In taking these actions, we have attempted to balance the cost of such initiatives against their longer term benefits. As a result of these actions, we have incurred and will incur additional costs in the short term that have the effect of reducing our operating margins. If we do not achieve the proper balance of these cost reduction initiatives, we may eliminate critical elements of our operations, the loss of which could negatively impact our ability to benefit from an economic recovery. We cannot assure that our cost cutting efforts will achieve appropriate levels of expenses, and we may take additional actions in the future.</w:t>
      </w:r>
    </w:p>
    <w:p>
      <w:pPr>
        <w:spacing w:after="0" w:line="17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In addition, we are taking actions to stimulate demand for our products through a number of programs. Although we are attempting to balance the cost of these programs against their longer term benefits, it is possible that we will make such</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investments without a corresponding increase in demand for our products. This would further reduce our operating margins and have a negative impact on our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6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believe that our future results largely depend upon our ability to offer products that compete favorably with respect to reliability, performance, ease of use, range of useful features, continuing product enhancements, reputation and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In addition to the other factors described in this Part I, Item 1A, some of the factors that could cause our financial results to fluctuate include:</w:t>
      </w:r>
    </w:p>
    <w:p>
      <w:pPr>
        <w:spacing w:after="0" w:line="18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market, economic, business and political conditions in particular geographies, including Europe and emerging economies,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growth or contraction of our upgrade or maintenance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achieve and maintain planned cost reductions and productivity increases,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internal business reorganization,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expand our AutoCAD and AutoCAD LT products customer base to related design products,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and new computing platforms,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maintain our revenue growth and profitability,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weak or negative growth in the industries we serve, including architecture, engineering and construction, manufacturing and digital media and entertainment markets,</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right="3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pressure or changes in product pricing or product mix,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platform and business model changes,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170" w:lineRule="exact"/>
        <w:rPr>
          <w:rFonts w:ascii="Arial" w:cs="Arial" w:eastAsia="Arial" w:hAnsi="Arial"/>
          <w:sz w:val="18"/>
          <w:szCs w:val="18"/>
          <w:color w:val="auto"/>
        </w:rPr>
      </w:pPr>
    </w:p>
    <w:p>
      <w:pPr>
        <w:jc w:val="both"/>
        <w:ind w:left="66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 and the potential requirement that U.S. registrants prepare financial statements in accordance with International Financial Reporting Standards (“IFRS”),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catastrophic events or natural disasters, such as the earthquakes and tsunami in Japan in March 2011 and Superstorm Sandy in October 2012,</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security breaches and potential financial penalties to customers and government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associated with acquisitions of companies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adjustments arising from ongoing or future state and local sales tax examinations.</w:t>
      </w:r>
    </w:p>
    <w:p>
      <w:pPr>
        <w:spacing w:after="0" w:line="22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conditions. In particular, our financial results in Europe during our third quarter are usually</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16</w:t>
      </w:r>
    </w:p>
    <w:p>
      <w:pPr>
        <w:sectPr>
          <w:pgSz w:w="11900" w:h="16838" w:orient="portrait"/>
          <w:cols w:equalWidth="0" w:num="1">
            <w:col w:w="11360"/>
          </w:cols>
          <w:pgMar w:left="240" w:top="125" w:right="29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affected by a slower summer period, and our Asia Pacific operations typically experience seasonal slowing in our third and fourth quarters.</w:t>
      </w:r>
    </w:p>
    <w:p>
      <w:pPr>
        <w:spacing w:after="0" w:line="23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have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is negatively impacted by the 2011 consolidation between two important distributors, or is not provided the right mix of incentives to sell our products, our ability to generate revenue will be adversely affected.</w:t>
      </w:r>
    </w:p>
    <w:p>
      <w:pPr>
        <w:spacing w:after="0" w:line="18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the fiscal year ended January 31, 2013, approximately 83%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Corporation and its global affiliates (“Tech Data”). Tech Data accounted for 23%, 17% and 16% of our total net revenue for the fiscal years ended January 31, 2013, 2012 and 2011, respectively.</w:t>
      </w:r>
    </w:p>
    <w:p>
      <w:pPr>
        <w:spacing w:after="0" w:line="18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On October 27, 2011, Tech Data purchased certain assets of Mensch und Maschine Software (“MuM”) in Europe. MuM had been a European distributor of our products in that region. The acquisition concentrates additional sales through Tech Data. On a consolidated basis, combined sales of the two entities would have accounted for 21% and 22% of our net revenue for fiscal 2012 and 2011, respectively, if the acquisition had taken place at the beginning of fiscal 2011. Although we believe that we are not substantially dependent on Tech Data, including following the acquisition of certain assets of MuM,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65"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would negatively impact our future revenue and financial results.</w:t>
      </w:r>
    </w:p>
    <w:p>
      <w:pPr>
        <w:spacing w:after="0" w:line="1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the overall global economy, the health of their businesses, and the perceived value of the maintenance program. If our customers do not attach maintenance to their initial license or renew their maintenance contract for our products, our maintenance revenue will decline and our financial results will suffer.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181"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net maintenance billings will negatively impact future maintenance revenue, however future maintenance revenue will also be impacted by other factors such as the amount, timing and mix of contract terms of future billings.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dependent on our international operations for a significant portion of our revenue. International net revenue represented 71% and 72% of our net revenue in fiscal 2013 and fiscal 2012,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These factors have recently adversely impacted and may in the future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 Our intent is that amounts related to foreign earnings permanently reinvested outside the U.S. will remain outside the U.S., and we will meet our U.S. liquidity needs through ongoing cash flows, external borrowings (such as our Senior Notes), or both. However, if, in the future, amounts held by foreign subsidiaries are needed to fund our operations in the U.S., or to service our external borrowings, the repatriation of such amounts to the U.S. could result in a significant incremental tax liability in the period in which the decision to repatriate occurs and payment of any such tax liability would reduce the cash available to fund our operations.</w:t>
      </w:r>
    </w:p>
    <w:p>
      <w:pPr>
        <w:spacing w:after="0" w:line="180"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particularly in emerging economies, increasing enforcement by the U.S. under the Foreign Corrupt Practices Act, adoption of stricter anti-corruption laws in certain countries, including the United Kingdom, difficulties in staffing and managing foreign sales and development operations, longer collection cycles for accounts receivable, potential changes in tax laws, including possible U.S. tax law changes that, if enacted, could significantly impact how U.S. multinational companies are taxed on foreign subsidiary earnings, tax arrangements with foreign governments, including our ability to meet and review the terms of those tax arrangements, and laws regarding the management of and access to data and public networks, possible future limitations upon foreign owned businesses, increased financial accounting and reporting burdens and complexities, inadequate local infrastructure, greater difficulty in protecting intellectual property, and other factors beyond our control, including popular uprisings, terrorism, war, natural disasters and diseases.</w:t>
      </w:r>
    </w:p>
    <w:p>
      <w:pPr>
        <w:spacing w:after="0" w:line="169"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Some of our business partners also have international operations and are subject to the risks described above. Even if we are able to successfully</w:t>
      </w:r>
    </w:p>
    <w:p>
      <w:pPr>
        <w:spacing w:after="0" w:line="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manage the risks of international operations, our business may be adversely affected if our business partners are not able to successfully manage these risks.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225"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regularly acquire or invest in businesses, software products and technologies that are complementary to our business through acquisitions, strategic alliances or equity or debt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 Our recent increase in the number of</w:t>
      </w: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acquisitions further exacerbates these risks.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retain customers, vendors, distributors, business partners, and other entities associated with the acquired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any one or multiple of the investments become impaired in a given reporting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225"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 Item 1A and the following:</w:t>
      </w:r>
    </w:p>
    <w:p>
      <w:pPr>
        <w:spacing w:after="0" w:line="14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earnings or key performance metrics;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w:t>
      </w: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19</w:t>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Historically, after periods of volatility in the market price of a company's securities, a company becomes more susceptible to securities class action litigation.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type of litigation is often expensive and diverts management's attention and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47" w:lineRule="exact"/>
        <w:rPr>
          <w:sz w:val="20"/>
          <w:szCs w:val="20"/>
          <w:color w:val="auto"/>
        </w:rPr>
      </w:pPr>
    </w:p>
    <w:p>
      <w:pPr>
        <w:jc w:val="both"/>
        <w:ind w:right="14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Our strategy to develop and introduce new products and services, including our increased emphasis on cloud and mobile computing strategies, exposes us to risks such as limited customer acceptance, costs related to product defects and large expenditures that may not result in additional net revenue.</w:t>
      </w:r>
    </w:p>
    <w:p>
      <w:pPr>
        <w:spacing w:after="0" w:line="124"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In response, we are focused on providing cloud-based services and delivery of our solutions on mobile devices and new hardware platforms to enable our customers to be more agile and collaborative on their projects. We are also developing consumer products for digital art, personal design and creativity, and home design. We devote significant resources to the development of new technologies, such as our cloud-based and mobile services, design and entertainment products, digital prototyping and collaboration products and consumer products. In addition, we frequently introduce new business models or methods that require a considerable investment of technical and financial resources such as an increase in our portfolio of, and focus on, suites. We are making such investments through our internal reorganization efforts and further development and enhancement of our existing products, as well as through acquisitions of new product lines. Such investments may not result in sufficient revenue generation to justify their costs. Market acceptance of these new technologies, business models or methods will be dependent on our ability to (1) include functionality and usability in such releases that address certain customer requirements with which our operating history is not extensive, and (2) to optimally price our products in light of marketplace conditions, our costs and customer demand. Customer adoption of our cloud, mobile, and social computing services may not occur as rapidly as anticipated, or competitors may introduce new products and services that achieve acceptance among our current customers, adversely affecting our competitive position. In addition, our cloud, mobile, and social computing offerings price and deliver our products and services in a way that differs from our historical pricing and delivery methods.</w:t>
      </w:r>
    </w:p>
    <w:p>
      <w:pPr>
        <w:spacing w:after="0" w:line="197" w:lineRule="exact"/>
        <w:rPr>
          <w:sz w:val="20"/>
          <w:szCs w:val="20"/>
          <w:color w:val="auto"/>
        </w:rPr>
      </w:pPr>
    </w:p>
    <w:p>
      <w:pPr>
        <w:ind w:firstLine="432"/>
        <w:spacing w:after="0" w:line="287" w:lineRule="auto"/>
        <w:rPr>
          <w:sz w:val="20"/>
          <w:szCs w:val="20"/>
          <w:color w:val="auto"/>
        </w:rPr>
      </w:pPr>
      <w:r>
        <w:rPr>
          <w:rFonts w:ascii="Arial" w:cs="Arial" w:eastAsia="Arial" w:hAnsi="Arial"/>
          <w:sz w:val="17"/>
          <w:szCs w:val="17"/>
          <w:color w:val="auto"/>
        </w:rPr>
        <w:t>In particular, a critical component of our growth strategy is to have customers of our AutoCAD and AutoCAD LT products expand their portfolios to include our suites and cloud-based services. Over time, we aim to migrate customers using standalone Autodesk products to expand their portfolio with our suites and cloud-based offerings. Should sales of licenses of our AutoCAD and AutoCAD LT or standalone Autodesk flagship products decrease without a corresponding increase in suites product or cloud-based services revenue or without purchases of customer seats to our suites, our results of operations will be adversely affected. Also, adoption of our cloud and mobile computing offerings and changes in the delivery of our software and services to our customers may change the way in which we recognize revenue relating to our software and services, with a potential negative impact on our financial performance. 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Further, given the rapid speed of changing customer expectations and advancement of technology inherent in the software industry, the extensive and complex efforts required to create useful and widely accepted products and the rapid evolution of cloud computing, mobile devices, new computing platforms and other technologies, such as consumer products, our executive management team must act quickly, continuously and with vision. Although we have articulated a strategy that we believe will fulfill these challenges, if we fail to execute properly on that strategy, adapt that strategy as market conditions evolve or fail to internalize and execute on that strategy,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As part of our effort to accommodate our customers' needs and demands and the rapid evolution of technology, we from time to time evolve our business and sales initiatives such as realigning our development and marketing organizations, and expanding our portfolio of suites and our offering of software as a service, and realigning our internal resources in an effort to improve efficiency. Specifically, last year we undertook organizational changes in order to address major business initiatives, including our desire to accelerate our move to the cloud, transform our customers' experience, increase industry focus to meet customer demands, and develop more effective marketing. These reorganizational efforts included changes to the structure and alignment of our product development and marketing teams and re-organization of our sales teams by industry.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8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including suites, if these products are not successful, our revenue will be adversely affected.</w:t>
      </w:r>
    </w:p>
    <w:p>
      <w:pPr>
        <w:spacing w:after="0" w:line="1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derive a substantial portion of our net revenue from sales of licenses of a limited number of our products, including AutoCAD software, products based on AutoCAD, which includes our suites that serve specific markets, upgrades to those products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fiscal year ended January 31, 2013, combined revenue from our AutoCAD and AutoCAD LT products, not including suites having AutoCAD or AutoCAD LT as a component, represented 33% of our total net revenue.</w:t>
      </w:r>
    </w:p>
    <w:p>
      <w:pPr>
        <w:spacing w:after="0" w:line="2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 breach of security in our products or computer systems may compromise the integrity of our products, harm our reputation, create additional liability and adversely impact our financial results.</w:t>
      </w:r>
    </w:p>
    <w:p>
      <w:pPr>
        <w:spacing w:after="0" w:line="184" w:lineRule="exact"/>
        <w:rPr>
          <w:sz w:val="20"/>
          <w:szCs w:val="20"/>
          <w:color w:val="auto"/>
        </w:rPr>
      </w:pPr>
    </w:p>
    <w:p>
      <w:pPr>
        <w:ind w:right="20" w:firstLine="432"/>
        <w:spacing w:after="0" w:line="303" w:lineRule="auto"/>
        <w:rPr>
          <w:sz w:val="20"/>
          <w:szCs w:val="20"/>
          <w:color w:val="auto"/>
        </w:rPr>
      </w:pPr>
      <w:r>
        <w:rPr>
          <w:rFonts w:ascii="Arial" w:cs="Arial" w:eastAsia="Arial" w:hAnsi="Arial"/>
          <w:sz w:val="16"/>
          <w:szCs w:val="16"/>
          <w:color w:val="auto"/>
        </w:rPr>
        <w:t xml:space="preserve">We make significant efforts to maintain the security and integrity of our product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and computer systems. Despite significant efforts to create security barriers to such programs, it is virtually impossible for us to entirely eliminate this risk. Like all software products, our software is vulnerable to such cyber attacks. In the past, hackers have targeted our software, and they may do so in the future. The impact of cyber attacks could disrupt the proper functioning of our software products, cause errors in the output of our customers' work, allow unauthorized access to sensitive, proprietary or confidential information of ours or our customers, and other destructive outcomes. </w:t>
      </w:r>
      <w:r>
        <w:rPr>
          <w:rFonts w:ascii="Arial" w:cs="Arial" w:eastAsia="Arial" w:hAnsi="Arial"/>
          <w:sz w:val="17"/>
          <w:szCs w:val="17"/>
          <w:color w:val="auto"/>
        </w:rPr>
        <w:t>M</w:t>
      </w:r>
      <w:r>
        <w:rPr>
          <w:rFonts w:ascii="Arial" w:cs="Arial" w:eastAsia="Arial" w:hAnsi="Arial"/>
          <w:sz w:val="16"/>
          <w:szCs w:val="16"/>
          <w:color w:val="auto"/>
        </w:rPr>
        <w:t>oreover, as we continue to invest in new lines of consumer products and services we are exposed to increased security risks and the potential for unauthorized access to, or improper use of, the information of our consumer users. If any of the foregoing were to occur, our reputation may suffer, customers may stop buying our products, we could face lawsuits and potential liability, and our financial performance could be negatively impacted.</w:t>
      </w:r>
    </w:p>
    <w:p>
      <w:pPr>
        <w:spacing w:after="0" w:line="1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certain of our customer services and other operations; any interruption or delay in service from these third parties, breaches of security or</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or failures in data collection could expose us to liability, harm our reputation and adversely impact our financial performance.</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Unauthorized access to this data may be obtained through break-ins, breaches of our secure networks by unauthorized parties, employee theft or misuse, or other misconduct. 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we expect that software piracy will remain a persistent problem. Furthermore, our means of protecting our proprietary rights may not be adequate.</w:t>
      </w:r>
    </w:p>
    <w:p>
      <w:pPr>
        <w:spacing w:after="0" w:line="193"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further decline, this could cause the credit ratings of our investments to deteriorate, illiquidity in the financial marketplace, and we may continue to experience a decline in interest income, and an inability to sell our investments, leading to impairment in the value of our investments.</w:t>
      </w:r>
    </w:p>
    <w:p>
      <w:pPr>
        <w:spacing w:after="0" w:line="18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w:t>
      </w: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and earnings per share.</w:t>
      </w:r>
    </w:p>
    <w:p>
      <w:pPr>
        <w:spacing w:after="0" w:line="18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73"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If we were to experience a loss on any of our investments that loss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 for our securities.</w:t>
      </w:r>
    </w:p>
    <w:p>
      <w:pPr>
        <w:spacing w:after="0" w:line="18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Although outcomes of such actions vary,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Although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8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Although we have determined that our internal control over financial reporting was effective as of January 31, 2013, as indicated in our Management Report on Internal Control over Financial Reporting, included in this Annual Report on Form 10-K, we must continue to monitor and assess our internal control over financial reporting. If our management identifies one or more material weaknesses in our internal control over financial reporting and such weakness remains uncorrected at fiscal year-end, we will be unable to assert such internal control is effective at fiscal year-end.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6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66"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the SEC has not yet made a determination regarding how or if IFRS will be incorporated into the financial reporting system for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companies. A change in accounting principles from GAAP to IFRS may have a material impact on the way in which we report financial results.</w:t>
      </w:r>
    </w:p>
    <w:p>
      <w:pPr>
        <w:spacing w:after="0" w:line="21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 sales models, we are currently unable to determine how these potential changes may impact our new models, particularly in the area of revenue recognition.</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Changes in laws and/or regulations related to the Internet or related to privacy and data security concerns or changes in the Internet infrastructure itself may cause our business to suffer.</w:t>
      </w:r>
    </w:p>
    <w:p>
      <w:pPr>
        <w:spacing w:after="0" w:line="170"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 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 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 over the Internet and for failing to comply with privacy-related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Several other countries, including Canada and several Latin American and Asian countries, have constitutional protections for, or have adopted legislation protecting, individuals' personal information. Additionally, some federal, state, or foreign governmental bodies have established laws which seek to censor the transmission of certain types of content over the Internet or require that individuals be provided with the ability to permanently delete all electronic personal information, such as the German Multimedia Law of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 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implementation of additional technological safeguards.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successfully challenged by tax authorities.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partner with certain independent firms and contractors to perform some of our product development activities. We believe our partnering strategy allows us to, among other things, achieve efficiencies in developing new products and</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17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9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i w:val="1"/>
          <w:iCs w:val="1"/>
          <w:color w:val="auto"/>
        </w:rPr>
        <w:t>We issued $750.0 million aggregate principal amount of senior unsecured notes in a debt offering in December 2013 and have an existing $400.0 million revolving credit facility, and may incur other debt in the future, which may adversely affect our financial condition and future financial results.</w:t>
      </w:r>
    </w:p>
    <w:p>
      <w:pPr>
        <w:spacing w:after="0" w:line="147"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In December 2012, we issued 1.95% notes due December 15, 2017 in an aggregate principal amount of $400.0 million and 3.6% notes due December 15, 2022 in an aggregate principal amount of $350.0 million. As the December 2017 and December 2022 debt matures, we will have to expend significant resources to either repay or refinance these notes. If we decide to refinance the notes, we may be required to do so on different or less favorable terms or we may be unable to refinance the notes at all, both of which may adversely affect our financial condition.</w:t>
      </w:r>
    </w:p>
    <w:p>
      <w:pPr>
        <w:spacing w:after="0" w:line="171"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We also have a $400.0 million revolving credit facility. As of January 31, 2013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8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are required to comply with the covenants set forth in our senior unsecured notes and revolving credit facility. Our ability to comply with these covenants may be affected by events beyond our control. If we breach any of the covenants and do not obtain a waiver from the noteholders or lenders, then, subject to applicable cure periods, any outstanding indebtedness may be declared immediately due and payable. In addition, changes by any rating agency to our credit rating may negatively impact</w:t>
      </w: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have received no written comments regarding our periodic or current reports from the staff of the SEC that were issued 180 days or more preceding the end of our 2013 fiscal year that remain unresolved.</w:t>
      </w:r>
    </w:p>
    <w:p>
      <w:pPr>
        <w:spacing w:after="0" w:line="2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lease 1,834,000 square feet of office space in 112 locations in the United States and internationally through our foreign subsidiaries. In addition, we own 25,000 square feet of office space in two locations internationally through our foreign subsidiaries. Our executive offices and corporate headquarters are located in leased office space in San Rafael, California. Our San Rafael facilities consist of 265,000 square feet under leases that have expiration dates ranging from December 2016 to December 2019. We and our foreign subsidiaries lease additional space in various locations throughout the world for local sales, product development and technical support personnel.</w:t>
      </w:r>
    </w:p>
    <w:p>
      <w:pPr>
        <w:spacing w:after="0" w:line="188"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All facilities are in good condition. Our facilities, excluding those in restructuring, are operating at capacities averaging 82% occupancy worldwide as of January 31, 2013. We believe that our existing facilities and offices are adequate to meet our requirements for the foreseeable future. See Note 8, “Commitments and Contingencies,” in the Notes to Consolidated Financial Statements for more information about our lease commitments.</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27</w:t>
      </w:r>
    </w:p>
    <w:p>
      <w:pPr>
        <w:sectPr>
          <w:pgSz w:w="11900" w:h="16838" w:orient="portrait"/>
          <w:cols w:equalWidth="0" w:num="1">
            <w:col w:w="11340"/>
          </w:cols>
          <w:pgMar w:left="240" w:top="125" w:right="31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ADSK. The following table lists the high and low sales prices for each quarter in the last two fiscal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Low</w:t>
            </w:r>
          </w:p>
        </w:tc>
      </w:tr>
      <w:tr>
        <w:trPr>
          <w:trHeight w:val="21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2013</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60"/>
        </w:trPr>
        <w:tc>
          <w:tcPr>
            <w:tcW w:w="83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First Quarter</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42.69</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35.55</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Second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41.28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28.52</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Third Quarter</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36.21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27.70</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Fourth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30.22</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Fiscal 2012</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First Quarter</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45.55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38.47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Second Quarter</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45.99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34.34</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Third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35.83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23.41</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Fourth Quarter</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36.60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29.80</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did not declare any cash or stock dividends in either fiscal 2013 or fiscal 2012. We anticipate that, for the foreseeable future, we will not pay any cash or stock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As of January 31, 2013, the number of common stockholders of record was 510. Because many of our shares of common stock are held by brokers or other institutions on behalf of stockholders, we are unable to estimate the total number of stockholders represented by the record 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The purpose of our stock repurchase program is to offset dilution from the issuance of stock under our employee stock plans, reduce shares over time as facts and circumstances warrant and for such other purposes as may be in our interests and the interests of our stockholders, which has the effect of returning excess cash generated from our business to stockholders. The number of shares acquired and the timing of the purchases are based on several factors, including general market conditions, the volume of employee stock option exercises, stock issuances, the trading price of our common stock, cash on hand and available in the U.S., and company defined trading windows. In December 2010, the Board of Directors approved a plan which authorized the repurchase of an additional 20.0 million shares; at January 31, 2013, 17.8 million shares have been repurchased under the plan. In June 2012, the Board of Directors approved an additional plan, which authorized the repurchase of an additional 30.0 million shares; as of January 31, 2013, no shares have been repurchased under this plan. Neither of these plans have a fixed expiration date. During the three and twelve months ended January 31, 2013, we repurchased 2.6 million and 12.5 million shares of our common stock, respectively. At January 31, 2013, 32.2 million shares remained available for repurchase under the existing repurchase authorizations. See Note 9, “Stockholders' Equity,” in the Notes to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following table provides information about the repurchase of our common stock under the stock repurchase programs in open-market transactions during the quarter ended January 31, 2013:</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Average</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 Purchased</w:t>
            </w:r>
          </w:p>
        </w:tc>
        <w:tc>
          <w:tcPr>
            <w:tcW w:w="120" w:type="dxa"/>
            <w:vAlign w:val="bottom"/>
          </w:tcPr>
          <w:p>
            <w:pPr>
              <w:spacing w:after="0"/>
              <w:rPr>
                <w:sz w:val="14"/>
                <w:szCs w:val="14"/>
                <w:color w:val="auto"/>
              </w:rPr>
            </w:pPr>
          </w:p>
        </w:tc>
        <w:tc>
          <w:tcPr>
            <w:tcW w:w="2260" w:type="dxa"/>
            <w:vAlign w:val="bottom"/>
          </w:tcPr>
          <w:p>
            <w:pPr>
              <w:jc w:val="right"/>
              <w:ind w:right="28"/>
              <w:spacing w:after="0"/>
              <w:rPr>
                <w:sz w:val="20"/>
                <w:szCs w:val="20"/>
                <w:color w:val="auto"/>
              </w:rPr>
            </w:pPr>
            <w:r>
              <w:rPr>
                <w:rFonts w:ascii="Arial" w:cs="Arial" w:eastAsia="Arial" w:hAnsi="Arial"/>
                <w:sz w:val="14"/>
                <w:szCs w:val="14"/>
                <w:b w:val="1"/>
                <w:bCs w:val="1"/>
                <w:color w:val="auto"/>
                <w:w w:val="97"/>
              </w:rPr>
              <w:t>Maximum Number of Shares that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Price Paid</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 Plans or</w:t>
            </w:r>
          </w:p>
        </w:tc>
        <w:tc>
          <w:tcPr>
            <w:tcW w:w="120" w:type="dxa"/>
            <w:vAlign w:val="bottom"/>
          </w:tcPr>
          <w:p>
            <w:pPr>
              <w:spacing w:after="0"/>
              <w:rPr>
                <w:sz w:val="12"/>
                <w:szCs w:val="12"/>
                <w:color w:val="auto"/>
              </w:rPr>
            </w:pPr>
          </w:p>
        </w:tc>
        <w:tc>
          <w:tcPr>
            <w:tcW w:w="22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6"/>
              </w:rPr>
              <w:t>May Yet Be Purchased Under the</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thousands)</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b w:val="1"/>
                <w:bCs w:val="1"/>
                <w:color w:val="auto"/>
                <w:w w:val="92"/>
              </w:rPr>
              <w:t>per Share</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Programs(1)</w:t>
            </w:r>
          </w:p>
        </w:tc>
        <w:tc>
          <w:tcPr>
            <w:tcW w:w="1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Plans or Programs(2)</w:t>
            </w:r>
          </w:p>
        </w:tc>
        <w:tc>
          <w:tcPr>
            <w:tcW w:w="0" w:type="dxa"/>
            <w:vAlign w:val="bottom"/>
          </w:tcPr>
          <w:p>
            <w:pPr>
              <w:spacing w:after="0"/>
              <w:rPr>
                <w:sz w:val="1"/>
                <w:szCs w:val="1"/>
                <w:color w:val="auto"/>
              </w:rPr>
            </w:pPr>
          </w:p>
        </w:tc>
      </w:tr>
      <w:tr>
        <w:trPr>
          <w:trHeight w:val="23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November 1- November 30</w:t>
            </w:r>
          </w:p>
        </w:tc>
        <w:tc>
          <w:tcPr>
            <w:tcW w:w="17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3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34,801.1</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December 1 - December 31</w:t>
            </w:r>
          </w:p>
        </w:tc>
        <w:tc>
          <w:tcPr>
            <w:tcW w:w="1740" w:type="dxa"/>
            <w:vAlign w:val="bottom"/>
          </w:tcPr>
          <w:p>
            <w:pPr>
              <w:jc w:val="right"/>
              <w:ind w:right="63"/>
              <w:spacing w:after="0"/>
              <w:rPr>
                <w:sz w:val="20"/>
                <w:szCs w:val="20"/>
                <w:color w:val="auto"/>
              </w:rPr>
            </w:pPr>
            <w:r>
              <w:rPr>
                <w:rFonts w:ascii="Arial" w:cs="Arial" w:eastAsia="Arial" w:hAnsi="Arial"/>
                <w:sz w:val="16"/>
                <w:szCs w:val="16"/>
                <w:color w:val="auto"/>
              </w:rPr>
              <w:t>2,426.5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23"/>
              <w:spacing w:after="0"/>
              <w:rPr>
                <w:sz w:val="20"/>
                <w:szCs w:val="20"/>
                <w:color w:val="auto"/>
              </w:rPr>
            </w:pPr>
            <w:r>
              <w:rPr>
                <w:rFonts w:ascii="Arial" w:cs="Arial" w:eastAsia="Arial" w:hAnsi="Arial"/>
                <w:sz w:val="16"/>
                <w:szCs w:val="16"/>
                <w:color w:val="auto"/>
              </w:rPr>
              <w:t>35.44</w:t>
            </w:r>
          </w:p>
        </w:tc>
        <w:tc>
          <w:tcPr>
            <w:tcW w:w="120" w:type="dxa"/>
            <w:vAlign w:val="bottom"/>
          </w:tcPr>
          <w:p>
            <w:pPr>
              <w:spacing w:after="0"/>
              <w:rPr>
                <w:sz w:val="20"/>
                <w:szCs w:val="20"/>
                <w:color w:val="auto"/>
              </w:rPr>
            </w:pPr>
          </w:p>
        </w:tc>
        <w:tc>
          <w:tcPr>
            <w:tcW w:w="2720" w:type="dxa"/>
            <w:vAlign w:val="bottom"/>
          </w:tcPr>
          <w:p>
            <w:pPr>
              <w:jc w:val="right"/>
              <w:ind w:right="23"/>
              <w:spacing w:after="0"/>
              <w:rPr>
                <w:sz w:val="20"/>
                <w:szCs w:val="20"/>
                <w:color w:val="auto"/>
              </w:rPr>
            </w:pPr>
            <w:r>
              <w:rPr>
                <w:rFonts w:ascii="Arial" w:cs="Arial" w:eastAsia="Arial" w:hAnsi="Arial"/>
                <w:sz w:val="16"/>
                <w:szCs w:val="16"/>
                <w:color w:val="auto"/>
              </w:rPr>
              <w:t>2,426.5</w:t>
            </w:r>
          </w:p>
        </w:tc>
        <w:tc>
          <w:tcPr>
            <w:tcW w:w="2380" w:type="dxa"/>
            <w:vAlign w:val="bottom"/>
            <w:gridSpan w:val="2"/>
          </w:tcPr>
          <w:p>
            <w:pPr>
              <w:jc w:val="right"/>
              <w:ind w:right="28"/>
              <w:spacing w:after="0"/>
              <w:rPr>
                <w:sz w:val="20"/>
                <w:szCs w:val="20"/>
                <w:color w:val="auto"/>
              </w:rPr>
            </w:pPr>
            <w:r>
              <w:rPr>
                <w:rFonts w:ascii="Arial" w:cs="Arial" w:eastAsia="Arial" w:hAnsi="Arial"/>
                <w:sz w:val="16"/>
                <w:szCs w:val="16"/>
                <w:color w:val="auto"/>
              </w:rPr>
              <w:t>32,374.6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1 - January 31</w:t>
            </w:r>
          </w:p>
        </w:tc>
        <w:tc>
          <w:tcPr>
            <w:tcW w:w="17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130.2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36.43</w:t>
            </w:r>
          </w:p>
        </w:tc>
        <w:tc>
          <w:tcPr>
            <w:tcW w:w="12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130.2</w:t>
            </w:r>
          </w:p>
        </w:tc>
        <w:tc>
          <w:tcPr>
            <w:tcW w:w="23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32,244.4</w:t>
            </w:r>
          </w:p>
        </w:tc>
        <w:tc>
          <w:tcPr>
            <w:tcW w:w="0" w:type="dxa"/>
            <w:vAlign w:val="bottom"/>
          </w:tcPr>
          <w:p>
            <w:pPr>
              <w:spacing w:after="0"/>
              <w:rPr>
                <w:sz w:val="1"/>
                <w:szCs w:val="1"/>
                <w:color w:val="auto"/>
              </w:rPr>
            </w:pPr>
          </w:p>
        </w:tc>
      </w:tr>
      <w:tr>
        <w:trPr>
          <w:trHeight w:val="244"/>
        </w:trPr>
        <w:tc>
          <w:tcPr>
            <w:tcW w:w="2640" w:type="dxa"/>
            <w:vAlign w:val="bottom"/>
          </w:tcPr>
          <w:p>
            <w:pPr>
              <w:ind w:left="4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rPr>
              <w:t>2,556.7</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
              <w:spacing w:after="0"/>
              <w:rPr>
                <w:sz w:val="20"/>
                <w:szCs w:val="20"/>
                <w:color w:val="auto"/>
              </w:rPr>
            </w:pPr>
            <w:r>
              <w:rPr>
                <w:rFonts w:ascii="Arial" w:cs="Arial" w:eastAsia="Arial" w:hAnsi="Arial"/>
                <w:sz w:val="16"/>
                <w:szCs w:val="16"/>
                <w:color w:val="auto"/>
              </w:rPr>
              <w:t>35.50</w:t>
            </w:r>
          </w:p>
        </w:tc>
        <w:tc>
          <w:tcPr>
            <w:tcW w:w="120" w:type="dxa"/>
            <w:vAlign w:val="bottom"/>
          </w:tcPr>
          <w:p>
            <w:pPr>
              <w:spacing w:after="0"/>
              <w:rPr>
                <w:sz w:val="21"/>
                <w:szCs w:val="21"/>
                <w:color w:val="auto"/>
              </w:rPr>
            </w:pPr>
          </w:p>
        </w:tc>
        <w:tc>
          <w:tcPr>
            <w:tcW w:w="27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2,556.7</w:t>
            </w:r>
          </w:p>
        </w:tc>
        <w:tc>
          <w:tcPr>
            <w:tcW w:w="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programs approved by the Board of Directors.</w:t>
      </w:r>
    </w:p>
    <w:p>
      <w:pPr>
        <w:spacing w:after="0" w:line="9" w:lineRule="exact"/>
        <w:rPr>
          <w:rFonts w:ascii="Arial" w:cs="Arial" w:eastAsia="Arial" w:hAnsi="Arial"/>
          <w:sz w:val="16"/>
          <w:szCs w:val="16"/>
          <w:color w:val="auto"/>
        </w:rPr>
      </w:pPr>
    </w:p>
    <w:p>
      <w:pPr>
        <w:ind w:left="420" w:right="420" w:hanging="412"/>
        <w:spacing w:after="0" w:line="257" w:lineRule="auto"/>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These amounts correspond to the plans approved by the Board of Directors in June 2012 and December 2010 that authorize the repurchase of 30.0 million and 20.0 million shares, respectively. The plans do not have fixed expiration dates.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January 31,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 Performance</w:t>
      </w:r>
    </w:p>
    <w:p>
      <w:pPr>
        <w:spacing w:after="0" w:line="22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graph shows a five-year comparison of cumulative total return (equal to dividends plus stock appreciation) for our Common Stock, the Standard &amp; Poor’s 500 Stock Index and the Dow Jones U.S. Software Index.</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 Year Cumulative Total Stockholder Return(1)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17145</wp:posOffset>
            </wp:positionV>
            <wp:extent cx="4751070" cy="3567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1070"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40" w:hanging="412"/>
        <w:spacing w:after="0" w:line="263" w:lineRule="auto"/>
        <w:tabs>
          <w:tab w:leader="none" w:pos="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Assumes $100 invested on January 31, 2008, in Autodesk’s stock, the Standard &amp; Poor’s 500 Stock Index, and the Dow Jones U.S. Software Index, with reinvestment of all dividends. Total stockholder returns for prior periods are not an indication of future investment returns.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260" w:firstLine="432"/>
        <w:spacing w:after="0" w:line="273" w:lineRule="auto"/>
        <w:rPr>
          <w:sz w:val="20"/>
          <w:szCs w:val="20"/>
          <w:color w:val="auto"/>
        </w:rPr>
      </w:pPr>
      <w:r>
        <w:rPr>
          <w:rFonts w:ascii="Arial" w:cs="Arial" w:eastAsia="Arial" w:hAnsi="Arial"/>
          <w:sz w:val="17"/>
          <w:szCs w:val="17"/>
          <w:color w:val="auto"/>
        </w:rPr>
        <w:t>The following selected consolidated financial data is not necessarily indicative of results of future operations, and should be read in conjunction with Item 7, “Management's Discussion and Analysis of Financial Condition and Results of Operations,” and the consolidated financial statements and related notes thereto included in Item 8 of this Form 10-K to fully understand factors that may affect the comparability of the information presented below. The financial data for the years ended January 31, 2013, 2012 and 2011 are derived from, and are qualified by reference to, the audited consolidated financial statements that are included in this Form 10-K. The financial data for the years ended January 31, 2010 and 2009 are derived from audited, consolidated financial statements which are not included in this Form 10-K.</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Fiscal year ended January 31,</w:t>
            </w: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2009</w:t>
            </w:r>
          </w:p>
        </w:tc>
      </w:tr>
      <w:tr>
        <w:trPr>
          <w:trHeight w:val="196"/>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Fiscal Year:</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Net 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2,312.2</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2,215.6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1,951.8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1,713.7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2,315.2</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305.9</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355.6</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271.4</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65.6</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244.5</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(62.6)</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(77.6)</w:t>
            </w: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(60.0)</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(26.7)</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(68.9)</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income(1)</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247.4</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285.3</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212.0</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58.0</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183.6</w:t>
            </w:r>
          </w:p>
        </w:tc>
      </w:tr>
      <w:tr>
        <w:trPr>
          <w:trHeight w:val="237"/>
        </w:trPr>
        <w:tc>
          <w:tcPr>
            <w:tcW w:w="4700" w:type="dxa"/>
            <w:vAlign w:val="bottom"/>
          </w:tcPr>
          <w:p>
            <w:pPr>
              <w:ind w:left="360"/>
              <w:spacing w:after="0"/>
              <w:rPr>
                <w:sz w:val="20"/>
                <w:szCs w:val="20"/>
                <w:color w:val="auto"/>
              </w:rPr>
            </w:pPr>
            <w:r>
              <w:rPr>
                <w:rFonts w:ascii="Arial" w:cs="Arial" w:eastAsia="Arial" w:hAnsi="Arial"/>
                <w:sz w:val="16"/>
                <w:szCs w:val="16"/>
                <w:color w:val="auto"/>
              </w:rPr>
              <w:t>Cash flow from operations</w:t>
            </w:r>
          </w:p>
        </w:tc>
        <w:tc>
          <w:tcPr>
            <w:tcW w:w="3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559.1</w:t>
            </w:r>
          </w:p>
        </w:tc>
        <w:tc>
          <w:tcPr>
            <w:tcW w:w="3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573.5</w:t>
            </w:r>
          </w:p>
        </w:tc>
        <w:tc>
          <w:tcPr>
            <w:tcW w:w="3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540.8</w:t>
            </w:r>
          </w:p>
        </w:tc>
        <w:tc>
          <w:tcPr>
            <w:tcW w:w="460" w:type="dxa"/>
            <w:vAlign w:val="bottom"/>
          </w:tcPr>
          <w:p>
            <w:pPr>
              <w:spacing w:after="0"/>
              <w:rPr>
                <w:sz w:val="20"/>
                <w:szCs w:val="20"/>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246.8</w:t>
            </w:r>
          </w:p>
        </w:tc>
        <w:tc>
          <w:tcPr>
            <w:tcW w:w="3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593.9</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Data:</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Basic net income per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1.25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0.93</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0.25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0.81</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 net income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1.22</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0.90</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0.25</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0.80</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Dividends paid per share</w:t>
            </w:r>
          </w:p>
        </w:tc>
        <w:tc>
          <w:tcPr>
            <w:tcW w:w="3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 includes the following items(2):</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156.3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108.8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80.7</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93.6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89.5</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81.8</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70.3</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55.9</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58.4</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Restructuring charges (benefits), net</w:t>
            </w:r>
          </w:p>
        </w:tc>
        <w:tc>
          <w:tcPr>
            <w:tcW w:w="3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43.9</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3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10.8</w:t>
            </w:r>
          </w:p>
        </w:tc>
        <w:tc>
          <w:tcPr>
            <w:tcW w:w="460" w:type="dxa"/>
            <w:vAlign w:val="bottom"/>
          </w:tcPr>
          <w:p>
            <w:pPr>
              <w:spacing w:after="0"/>
              <w:rPr>
                <w:sz w:val="20"/>
                <w:szCs w:val="20"/>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48.2</w:t>
            </w:r>
          </w:p>
        </w:tc>
        <w:tc>
          <w:tcPr>
            <w:tcW w:w="3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40.2</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21.0</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128.9</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In-process research and development</w:t>
            </w:r>
          </w:p>
        </w:tc>
        <w:tc>
          <w:tcPr>
            <w:tcW w:w="3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26.9</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 includes the following item:</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Establishment of valuation allowance on deferred tax assets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21.0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 Year End: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4,308.4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3,227.8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2,787.6</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2,447.2</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2,420.7</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1,221.5</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390.8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308.5</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269.7</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309.9</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2,043.2</w:t>
            </w:r>
          </w:p>
        </w:tc>
        <w:tc>
          <w:tcPr>
            <w:tcW w:w="3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1,882.9</w:t>
            </w:r>
          </w:p>
        </w:tc>
        <w:tc>
          <w:tcPr>
            <w:tcW w:w="3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1,609.3</w:t>
            </w:r>
          </w:p>
        </w:tc>
        <w:tc>
          <w:tcPr>
            <w:tcW w:w="460" w:type="dxa"/>
            <w:vAlign w:val="bottom"/>
          </w:tcPr>
          <w:p>
            <w:pPr>
              <w:spacing w:after="0"/>
              <w:rPr>
                <w:sz w:val="20"/>
                <w:szCs w:val="20"/>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1,473.5</w:t>
            </w:r>
          </w:p>
        </w:tc>
        <w:tc>
          <w:tcPr>
            <w:tcW w:w="3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1,310.7</w:t>
            </w:r>
          </w:p>
        </w:tc>
      </w:tr>
      <w:tr>
        <w:trPr>
          <w:trHeight w:val="249"/>
        </w:trPr>
        <w:tc>
          <w:tcPr>
            <w:tcW w:w="4700" w:type="dxa"/>
            <w:vAlign w:val="bottom"/>
          </w:tcPr>
          <w:p>
            <w:pPr>
              <w:ind w:left="60"/>
              <w:spacing w:after="0"/>
              <w:rPr>
                <w:sz w:val="20"/>
                <w:szCs w:val="20"/>
                <w:color w:val="auto"/>
              </w:rPr>
            </w:pPr>
            <w:r>
              <w:rPr>
                <w:rFonts w:ascii="Arial" w:cs="Arial" w:eastAsia="Arial" w:hAnsi="Arial"/>
                <w:sz w:val="18"/>
                <w:szCs w:val="18"/>
                <w:color w:val="auto"/>
              </w:rPr>
              <w:t>____________________</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ind w:left="420" w:hanging="412"/>
        <w:spacing w:after="0"/>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Net income includes the items identified below in “Income from operations” net of tax.</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These items are recorded on a pre-tax basis.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The discussion in our MD&amp;A contains trend analyses and other forward-looking statements within the meaning of Section 27A of the Securities Act of</w:t>
      </w:r>
    </w:p>
    <w:p>
      <w:pPr>
        <w:spacing w:after="0" w:line="46"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1933 and Section 21E of the Securities Exchange Act of 1934. Forward-looking statements are any statements that look to future events and consist of, among other things, our business strategies, including those discussed in “Strategy” below; anticipated future net revenue; future operating margin and other future financial results (by product type and geography) and operating expenses; the effect of unemployment and availability of credit; the effects of the U.S. credit downgrade and weak global economic conditions; our backlog; expected trends in certain financial metrics; expected market trends, including the growth of cloud, mobile and social computing; the impact of acquisitions and investment activities; the effect of fluctuations in exchange rates and our hedging activities on our financial results; our abilities to successfully expand adoption of our products; our ability to gain market acceptance of new businesses and sales initiatives; our ability to successfully increase sales of product suites as part of our overall sales strategy; the impact of economic volatility and geopolitical activities in certain countries, particularly emerging economy countries, and the resulting effect on our financial results; and the impact of our restructuring activities. In addition, forward-looking statements also consist of statements involving expectations regarding product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the factors set forth above in Item 1A, “Risk Factors,” and in our other reports filed with the U.S. Securities and Exchange Commission. We assume no obligation to update the forward-looking statements to reflect events that occur or circumstances that exist after the date on which they were made.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Autodesk’s vision is to help people imagine, design and create a better world. We do this by developing software for the world’s designers, architects, engineers, and digital artists—the people who create the world's products, buildings, infrastructure, films, and games. Autodesk serves customers in three primary markets: architecture, engineering and construction; manufacturing; and digital media and entertainment.</w:t>
      </w:r>
    </w:p>
    <w:p>
      <w:pPr>
        <w:spacing w:after="0" w:line="16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goal is to provide our customers with the world’s most innovative, and engaging design software and services. Our product and services portfolio allows our customers to digitally visualize, simulate, and analyze their projects, helping them to better understand the consequences of their design decisions; save time, money, and resources; and become more innovative.</w:t>
      </w:r>
    </w:p>
    <w:p>
      <w:pPr>
        <w:spacing w:after="0" w:line="181"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87"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By innovating in existing technology categories, we bring powerful new design capabilities to volume markets. Our products are designed to be easy-to-learn and use, and to provide customers with a low cost of deployment, a low total cost of ownership,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78"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In addition to the competitive advantages afforded by our technology, our large global network of distributors, resellers, third-party developers, customers, educational institutions, faculty and students is a key competitive advantage. This network of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Autodesk products and extend them for a variety of specialized applications. Users with expertise in our products are broadly and globally available from educational institutions and in the existing workforce. We offer extensive educational programs, including student versions of software, curricula and faculty development. We have an extensive global community of students who are experienced with our software and poised to become the next generation of professional users – thus reducing the cost of training and providing fresh talent for our customers. Our global network of distributors, resellers, third party developers,</w:t>
      </w: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customers, educational institutions and students has been developed over our thirty year history. We believe it is an enduring competitive advantage that is difficult for others to replicate.</w:t>
      </w:r>
    </w:p>
    <w:p>
      <w:pPr>
        <w:spacing w:after="0" w:line="17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continually strive to increase the business value of our design tools to our customers in a number of ways. First, we seek to address an increasing portion of our customers' workflow with products that extend the value of our customers' digital design information into visualization, analysis and simulation. Second, we seek to improve our product interoperability and usability, thus improving our customers' productivity and effectiveness. Third, we continue to develop new ways to deliver capability and value to our customers, such as product suites, cloud and social-based services, and delivery of our solutions on mobile devices and new hardware platforms. Fourth, we extend our customers' workflow with products for adjacent users and for the “customers of our customers,” thus increasing the value of the design information our customers produce. Finally, we continue to develop new lines of consumer products and services that are delivered and experienced through the Web, tablets, and other mobile devices providing our advanced visualization technologies to consumers—a whole new category of Autodesk customer.</w:t>
      </w:r>
    </w:p>
    <w:p>
      <w:pPr>
        <w:spacing w:after="0" w:line="179" w:lineRule="exact"/>
        <w:rPr>
          <w:sz w:val="20"/>
          <w:szCs w:val="20"/>
          <w:color w:val="auto"/>
        </w:rPr>
      </w:pPr>
    </w:p>
    <w:p>
      <w:pPr>
        <w:ind w:right="260" w:firstLine="432"/>
        <w:spacing w:after="0" w:line="276" w:lineRule="auto"/>
        <w:rPr>
          <w:sz w:val="20"/>
          <w:szCs w:val="20"/>
          <w:color w:val="auto"/>
        </w:rPr>
      </w:pPr>
      <w:r>
        <w:rPr>
          <w:rFonts w:ascii="Arial" w:cs="Arial" w:eastAsia="Arial" w:hAnsi="Arial"/>
          <w:sz w:val="17"/>
          <w:szCs w:val="17"/>
          <w:color w:val="auto"/>
        </w:rPr>
        <w:t>Autodesk was founded during the platform transition from mainframes and engineering workstations to personal computers. We developed and sustained a compelling value proposition based upon desktop software for the personal computer. Just as the transition from mainframes to personal computers transformed the industry thirty years ago, we believe our industry is undergoing a similar transition from the personal computer to cloud, social, and mobile computing. To address this shift, our major business initiatives include our desire to accelerate the business' move to the cloud, transform our customers' experience, increase industry focus to meet customer demands, and develop more effective marketing.</w:t>
      </w:r>
    </w:p>
    <w:p>
      <w:pPr>
        <w:spacing w:after="0" w:line="173" w:lineRule="exact"/>
        <w:rPr>
          <w:sz w:val="20"/>
          <w:szCs w:val="20"/>
          <w:color w:val="auto"/>
        </w:rPr>
      </w:pPr>
    </w:p>
    <w:p>
      <w:pPr>
        <w:ind w:right="540" w:firstLine="432"/>
        <w:spacing w:after="0" w:line="291" w:lineRule="auto"/>
        <w:rPr>
          <w:sz w:val="20"/>
          <w:szCs w:val="20"/>
          <w:color w:val="auto"/>
        </w:rPr>
      </w:pPr>
      <w:r>
        <w:rPr>
          <w:rFonts w:ascii="Arial" w:cs="Arial" w:eastAsia="Arial" w:hAnsi="Arial"/>
          <w:sz w:val="16"/>
          <w:szCs w:val="16"/>
          <w:color w:val="auto"/>
        </w:rPr>
        <w:t>During the first quarter of fiscal year 2013, we undertook a number of important organizational changes to drive the success of our business. The reorganization included changes to the structure and alignment of our product development and marketing teams and re-organization of our sales</w:t>
      </w:r>
    </w:p>
    <w:p>
      <w:pPr>
        <w:ind w:right="20"/>
        <w:spacing w:after="0" w:line="288" w:lineRule="auto"/>
        <w:rPr>
          <w:sz w:val="20"/>
          <w:szCs w:val="20"/>
          <w:color w:val="auto"/>
        </w:rPr>
      </w:pPr>
      <w:r>
        <w:rPr>
          <w:rFonts w:ascii="Arial" w:cs="Arial" w:eastAsia="Arial" w:hAnsi="Arial"/>
          <w:sz w:val="16"/>
          <w:szCs w:val="16"/>
          <w:color w:val="auto"/>
        </w:rPr>
        <w:t>teams. While these changes were intended to better serve our customers and drive future growth, we have encountered challenges in the execution of these efforts which have impacted our financial results in the short term. In order to achieve these organizational changes and to further our strategy, including our continuing shift to cloud and mobile computing, in the third quarter of fiscal year 2013, we commenced a company-wide restructuring plan. The plan included a reduction of approximately 500 positions and the consolidation of eight leased facilities with a total cost of up to $52.0 million ("Fiscal 2013 Plan"), of which $43.9 million was incurred during fiscal 2013. The termination benefits and facility related liabilities have been substantially paid as of fiscal year ended January 31, 2013. Autodesk expects to pay the remainder of the termination benefits and facility related liabilities through the fourth quarter of fiscal 2019. For further discussion see Note 15, “ Restructuring Reserves,” in the Notes to the Consolidated Financial Statements.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growth strategy is predicated upon leading the transition in the industries we serve into the cloud in three ways:</w:t>
      </w:r>
    </w:p>
    <w:p>
      <w:pPr>
        <w:spacing w:after="0" w:line="225" w:lineRule="exact"/>
        <w:rPr>
          <w:sz w:val="20"/>
          <w:szCs w:val="20"/>
          <w:color w:val="auto"/>
        </w:rPr>
      </w:pPr>
    </w:p>
    <w:p>
      <w:pPr>
        <w:ind w:left="660" w:right="200" w:hanging="328"/>
        <w:spacing w:after="0" w:line="279"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Grow. We believe sufficient opportunity remains in our PC-based software business, and we intend to continue to grow this business. In particular, we are offering product suites with improved interoperability and usability to enhance our customers' productivity. We are continuing to drive maintenance and new licensing models to better match the business needs of our customers. We will continue to emphasize developing direct relationships with large, global customers and pursuing opportunities in emerging economies.</w:t>
      </w:r>
    </w:p>
    <w:p>
      <w:pPr>
        <w:spacing w:after="0" w:line="171" w:lineRule="exact"/>
        <w:rPr>
          <w:rFonts w:ascii="Arial" w:cs="Arial" w:eastAsia="Arial" w:hAnsi="Arial"/>
          <w:sz w:val="17"/>
          <w:szCs w:val="17"/>
          <w:color w:val="auto"/>
        </w:rPr>
      </w:pPr>
    </w:p>
    <w:p>
      <w:pPr>
        <w:ind w:left="660" w:right="12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Transform. At the same time we grow our desktop software business, we are migrating many of our products to the cloud. This entails development of new cloud computing infrastructure and redesigning our applications to leverage the cloud. We are also developing new capabilities that are enabled by the cloud such as collaborative Product Lifecycle Management ("PLM") and on line simulation. Our goal is to lead our industry in transitioning to the cloud.</w:t>
      </w:r>
    </w:p>
    <w:p>
      <w:pPr>
        <w:spacing w:after="0" w:line="186"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 We believe that the combination of cloud, social and mobile computing affords us the opportunity to expand our business into new markets. For example, we have added new customers through our consumer products. We intend to continue to develop our business to both add new customers and find new capabilities to incorporate in our core business.</w:t>
      </w:r>
    </w:p>
    <w:p>
      <w:pPr>
        <w:spacing w:after="0" w:line="18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We believe that expanding our customers' portfolios to include our suites presents a meaningful growth opportunity and is an important part of our overall strategy. As our customers in all industries adopt our design suites, we believe they will experience an increase in their productivity and the value of their design data. For fiscal 2013, revenue from suites increased 16%, as compared to the prior fiscal year. As a percentage of revenue, suites increased to 30% in fiscal 2013 as compared to 27% in fiscal 2012.</w:t>
      </w:r>
    </w:p>
    <w:p>
      <w:pPr>
        <w:spacing w:after="0" w:line="18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Expanding our geographic coverage is another key element of our growth strategy. Much of the growth in the world’s construction and manufacturing is happening in emerging economies. Further, emerging economies face many of the</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challenges that our design technology can help address, for example infrastructure build-out. Although revenue from emerging countries decreased 4% during fiscal 2013 as compared to fiscal 2012, we believe that emerging economies continue to present long-term growth opportunities for us. Revenue from emerging countries represented 14% and 16% of fiscal 2013 and fiscal 2012 net revenue, respectively. While we believe there are long-term growth opportunities in emerging economies, conducting business in these countries presents significant challenges, including economic volatility, geopolitical risk, local competition, intellectual property protection, poorly developed business infrastructure, scarcity of talent and software piracy.</w:t>
      </w:r>
    </w:p>
    <w:p>
      <w:pPr>
        <w:spacing w:after="0" w:line="173"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acquire products, technology and businesses as compelling opportunities become available.</w:t>
      </w:r>
    </w:p>
    <w:p>
      <w:pPr>
        <w:spacing w:after="0" w:line="18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leverage our large global network of distributors, resellers, third-party developers, customers, educational institutions, and students; improve the performance and functionality of our products; and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 Item 1A,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Consolidated Financial Statements are prepared in conformity with U.S. generally accepted accounting principles. In preparing our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We believe that of all our significant accounting policies, the following policies involve a higher degree of judgment and complexity. Accordingly, these are the policies we believe are the most critical to aid in fully understanding and evaluating our financial condition and results of operations.</w:t>
      </w:r>
    </w:p>
    <w:p>
      <w:pPr>
        <w:spacing w:after="0" w:line="179" w:lineRule="exact"/>
        <w:rPr>
          <w:sz w:val="20"/>
          <w:szCs w:val="20"/>
          <w:color w:val="auto"/>
        </w:rPr>
      </w:pPr>
    </w:p>
    <w:p>
      <w:pPr>
        <w:ind w:right="340" w:firstLine="432"/>
        <w:spacing w:after="0" w:line="28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We recognize revenue when persuasive evidence of an arrangement exists, delivery has occurred or services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rendered, the price is fixed or determinable and collection is probable. However, determining whether and when some of these criteria have been satisfied often involves assumptions and judgments that can have a significant impact on the timing and amount of revenue we report.</w:t>
      </w:r>
    </w:p>
    <w:p>
      <w:pPr>
        <w:spacing w:after="0" w:line="16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For multiple element arrangements containing only software and software-related elements, we allocate the sales price among each of the deliverables using the residual method, under which revenue is allocated to undelivered elements based on their vendor-specific objective evidence (“VSOE”) of fair value. VSOE is the price charged when an element is sold separately or a price set by management with the relevant authority. If we do not have VSOE of an undelivered software license, we defer revenue recognition on the entire sales arrangement until all elements for which we do not have VSOE are delivered. If we do not have VSOE for undelivered maintenance or services, the revenue for the arrangement is recognized over the longest contractual service period in the arrangement. We are required to exercise judgment in determining whether VSOE exists for each undelivered element based on whether our pricing for these elements is sufficiently consistent.</w:t>
      </w:r>
    </w:p>
    <w:p>
      <w:pPr>
        <w:spacing w:after="0" w:line="18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 xml:space="preserve">For multiple elements arrangements involving non-software elements, including cloud subscription services, our revenue recognition policy is based upon the accounting guidance contained in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For these arrangements, we first allocate the total arrangement consideration based on the relative selling prices of the software group of elements as a whole and to the non-software elements. We then further allocate consideration within the software group to the respective elements within that group using the residual method as described above. We exercise judgment and use estimates in connection with the determination of the amount of revenue to be recognized in each accounting period.</w:t>
      </w:r>
    </w:p>
    <w:p>
      <w:pPr>
        <w:spacing w:after="0" w:line="17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assessment of likelihood of collection is also a critical factor in determining the timing of revenue recognition. If we do not believe that collection is probable, the revenue will be deferred until the earlier of when collection is deemed probable or payment is received.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indirect channel model includes both a two-tiered distribution structure, where distributors sell to resellers, and a</w:t>
      </w: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one-tiered structure where Autodesk sells directly to resellers. Our product license revenue from distributors and resellers are generally recognized at the time title to our product passes to the distributor, in a two-tiered structure, or reseller, in a one-tiered structure, provided all other criteria for revenue recognition are met. This policy is predicated on our ability to estimate sales returns, among other criteria. We are also required to evaluate whether our distributors and resellers have the ability to honor their commitment to make fixed or determinable payments, regardless of whether they collect payment from their customers. Our policy also presumes that we have no significant performance obligations in connection with the sale of our product licenses by our distributors and resellers to their customers. If we were to change any of these assumptions or judgments, it could cause a material increase or decrease in the amount of revenue that we report in a particular period.</w:t>
      </w:r>
    </w:p>
    <w:p>
      <w:pPr>
        <w:spacing w:after="0" w:line="189" w:lineRule="exact"/>
        <w:rPr>
          <w:sz w:val="20"/>
          <w:szCs w:val="20"/>
          <w:color w:val="auto"/>
        </w:rPr>
      </w:pPr>
    </w:p>
    <w:p>
      <w:pPr>
        <w:ind w:right="180" w:firstLine="432"/>
        <w:spacing w:after="0" w:line="288" w:lineRule="auto"/>
        <w:rPr>
          <w:sz w:val="20"/>
          <w:szCs w:val="20"/>
          <w:color w:val="auto"/>
        </w:rPr>
      </w:pPr>
      <w:r>
        <w:rPr>
          <w:rFonts w:ascii="Arial" w:cs="Arial" w:eastAsia="Arial" w:hAnsi="Arial"/>
          <w:sz w:val="16"/>
          <w:szCs w:val="16"/>
          <w:i w:val="1"/>
          <w:iCs w:val="1"/>
          <w:color w:val="auto"/>
        </w:rPr>
        <w:t xml:space="preserve">Marketable Securities. </w:t>
      </w:r>
      <w:r>
        <w:rPr>
          <w:rFonts w:ascii="Arial" w:cs="Arial" w:eastAsia="Arial" w:hAnsi="Arial"/>
          <w:sz w:val="16"/>
          <w:szCs w:val="16"/>
          <w:color w:val="auto"/>
        </w:rPr>
        <w:t>At January 31, 2013 we had $753.2 million of short and long-term marketable securities. Marketable securities are stated at</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As described in Note 2, “Financial Instruments,” in the Notes to the Consolidated Financial Statements, we estimate the fair value of our marketable securities each quarter. Fair value is defined as an exit price, representing the amount that would be received from the sale of an asset or paid to transfer a liability in the principal or most advantageous market for the asset or liability in an orderly transaction between market participants at the measurement date. When identical or similar assets are traded in active markets, the level of judgment required to estimate their fair value is relatively low. This is generally true for our cash and cash equivalents and the majority of our marketable securities, which we consider to be Level 1 assets and Level 2 assets. However, determining the fair value of marketable securities when observable inputs are not available (Level 3) requires significant judgment. For example we use a discounted cash flow model to estimate the fair value of our auction rate securities; because we have determined that the market for those securities is inactive. These assumptions are inherently subjective and involve significant management judgment. Whenever possible, we use observable market data and rely on unobservable inputs only when observable market data is not available, when determining fair value.</w:t>
      </w:r>
    </w:p>
    <w:p>
      <w:pPr>
        <w:spacing w:after="0" w:line="16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We allocate the purchase price of acquired companies to assets and liabilities, as well as to in-process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based upon their estimated fair values at the acquisition date. The purchase price allocation process requires us to make significant estimates and assumptions, especially at the acquisition date with respect to intangible assets and deferred revenue obligations.</w:t>
      </w:r>
    </w:p>
    <w:p>
      <w:pPr>
        <w:spacing w:after="0" w:line="18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Although we believe the assumptions and estimates we have made are reasonable, they are based in part on historical experience and information obtained from the management of the acquired companies and are inherently uncertain. Examples of critical estimates used in valuing certain of the intangible assets we have acquired or may acquire in the future include but are not limited to: future expected cash flows from sales, maintenance agreements and acquired developed technologies; the acquired company’s trade name and customer relationships as well as assumptions about the period of time the acquired trade name and customer relationships will continue to be used in the combined company’s product portfolio; expected costs to develop the in-process research and development into commercially viable products and estimated cash flows from the projects when completed; and discount rates.</w:t>
      </w:r>
    </w:p>
    <w:p>
      <w:pPr>
        <w:spacing w:after="0" w:line="165"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We test goodwill for impairment annually in our fourth fiscal quarter or sooner should events or changes in circumstances indicate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When assessing goodwill for impairment, we assess qualitative factors to determine whether the existence of events or circumstances leads to a determination that it is more likely than not that the fair value of a reporting unit is less than its carrying amount. Qualitative factors considered in this assessment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two-step impairment test is unnecessary. If the two-step impairment test is necessary, we use discounted cash flow models which include assumptions regarding projected cash flows. Variances in these assumptions could have a significant impact on our conclusion as to whether goodwill is impaired, or the amount of any impairment charge. Impairment charges, if any, result from instances where the fair values of net assets associated with goodwill are less than their carrying values. As changes in business conditions and our assumptions occur, we may be required to record impairment charges.</w:t>
      </w:r>
    </w:p>
    <w:p>
      <w:pPr>
        <w:spacing w:after="0" w:line="169" w:lineRule="exact"/>
        <w:rPr>
          <w:sz w:val="20"/>
          <w:szCs w:val="20"/>
          <w:color w:val="auto"/>
        </w:rPr>
      </w:pPr>
    </w:p>
    <w:p>
      <w:pPr>
        <w:jc w:val="both"/>
        <w:ind w:right="160" w:firstLine="432"/>
        <w:spacing w:after="0" w:line="259" w:lineRule="auto"/>
        <w:rPr>
          <w:sz w:val="20"/>
          <w:szCs w:val="20"/>
          <w:color w:val="auto"/>
        </w:rPr>
      </w:pPr>
      <w:r>
        <w:rPr>
          <w:rFonts w:ascii="Arial" w:cs="Arial" w:eastAsia="Arial" w:hAnsi="Arial"/>
          <w:sz w:val="18"/>
          <w:szCs w:val="18"/>
          <w:color w:val="auto"/>
        </w:rPr>
        <w:t>For our annual impairment assessment in fiscal 2013, based on a review of the qualitative factors described above, we determined that for each of our Platform Solutions and Emerging Business, Manufacturing ("MFG") and Architecture, Engineering and Construction ("AEC") reporting units, it was more likely than not that the fair vale of the reporting units exceeded the carrying amount. As a result, we concluded that performing the two-step impairment test was not necessary for these reporting units.</w:t>
      </w:r>
    </w:p>
    <w:p>
      <w:pPr>
        <w:spacing w:after="0" w:line="18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For the Media and Entertainment (“M&amp;E”) reporting unit, Autodesk deemed the two-step impairment test was necessary and used a discounted cash flow model which included assumptions regarding projected cash flows. Based on this testing,</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Autodesk determined that there was no impairment of goodwill for the M&amp;E reporting unit during the year ended January 31, 2013.</w:t>
      </w:r>
    </w:p>
    <w:p>
      <w:pPr>
        <w:spacing w:after="0" w:line="225"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i w:val="1"/>
          <w:iCs w:val="1"/>
          <w:color w:val="auto"/>
        </w:rPr>
        <w:t xml:space="preserve">Realizability of Long-Lived Assets. </w:t>
      </w:r>
      <w:r>
        <w:rPr>
          <w:rFonts w:ascii="Arial" w:cs="Arial" w:eastAsia="Arial" w:hAnsi="Arial"/>
          <w:sz w:val="16"/>
          <w:szCs w:val="16"/>
          <w:color w:val="auto"/>
        </w:rPr>
        <w:t>We assess the realizability of our long-lived assets and related intangible assets, other than goodwill, annually</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fourth fiscal quarter, or sooner should events or changes in circumstances indicate the carrying values of such assets may not be recoverable. We consider the following factors important in determining when to perform an impairment review: significant under-performance of a business or product line relative to budget; shifts in business strategies which affect the continued uses of the assets; significant negative industry or economic trends; and the results of past impairment reviews. When such events or changes in circumstances occur, we assess recoverability of these assets.</w:t>
      </w:r>
    </w:p>
    <w:p>
      <w:pPr>
        <w:spacing w:after="0" w:line="15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assess recoverability of these assets by comparing the carrying amounts to the future undiscounted cash flows the assets are expected to generate. If impairment indicators were present based on our undiscounted cash flow models, which include assumptions regarding projected cash flows, we would perform a discounted cash flow analysis to assess impairments on long-lived assets. Variances in these assumptions could have a significant impact on our conclusion as to whether an asset is impaired or the amount of any impairment charge. Impairment charges, if any, result in situations where any fair values of these assets are less than their carrying values.</w:t>
      </w:r>
    </w:p>
    <w:p>
      <w:pPr>
        <w:spacing w:after="0" w:line="188"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In addition to our recoverability assessments, we routinely review the remaining estimated useful lives of our long-lived assets. Any reduction in the useful life assumption will result in increased depreciation and amortization expense in the quarter when such determinations are made, as well as in subsequent quarters.</w:t>
      </w:r>
    </w:p>
    <w:p>
      <w:pPr>
        <w:spacing w:after="0" w:line="18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will continue to evaluate the values of our long-lived assets in accordance with applicable accounting rules. As changes in business conditions and our assumptions occur, we may be required to record impairment charges.</w:t>
      </w:r>
    </w:p>
    <w:p>
      <w:pPr>
        <w:spacing w:after="0" w:line="170"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currently have $165.0 million of net deferred tax assets, primarily a result of tax credits, net operating losses, and timing</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differences for reserves, accrued liabilities, stock options, deferred revenue, purchased technologies and capitalized intangibles, partially offset by the establishment of U.S. deferred tax liabilities on unremitted earnings from certain foreign subsidiaries, deferred tax liabilities associated with tax method change on advanced payments and valuation allowances against U.S. and Canadian deferred tax assets. We perform a quarterly assessment of the recoverability of these net deferred tax assets and believe that we will generate sufficient future taxable income in appropriate tax jurisdictions to realize the net deferred tax assets. Our judgments regarding future profitability may change due to future market conditions and other factors, including intercompany transfer pricing adjustments. Any change in future profitability may require material adjustments to these net deferred tax assets, resulting in a reduction in net income in the period when such determination is made.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178" w:lineRule="exact"/>
        <w:rPr>
          <w:sz w:val="20"/>
          <w:szCs w:val="20"/>
          <w:color w:val="auto"/>
        </w:rPr>
      </w:pPr>
    </w:p>
    <w:p>
      <w:pPr>
        <w:jc w:val="both"/>
        <w:ind w:right="20" w:firstLine="432"/>
        <w:spacing w:after="0" w:line="288"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measure stock-based compensation cost at the grant date fair value of the award, and recognize expense on a straight-line basis over the requisite service period, which is generally the vesting period. We estimate the fair value of certain stock-based payment awards (including grants of stock options and employee stock purchases related to the employee stock purchase plan) using the Black-Scholes-Merton option-pricing model.</w:t>
      </w:r>
    </w:p>
    <w:p>
      <w:pPr>
        <w:ind w:right="60"/>
        <w:spacing w:after="0" w:line="270" w:lineRule="auto"/>
        <w:rPr>
          <w:sz w:val="20"/>
          <w:szCs w:val="20"/>
          <w:color w:val="auto"/>
        </w:rPr>
      </w:pPr>
      <w:r>
        <w:rPr>
          <w:rFonts w:ascii="Arial" w:cs="Arial" w:eastAsia="Arial" w:hAnsi="Arial"/>
          <w:sz w:val="17"/>
          <w:szCs w:val="17"/>
          <w:color w:val="auto"/>
        </w:rPr>
        <w:t>The determination of the fair value of a stock-based award on the date of grant using the Black-Scholes-Merton option-pricing model is affected by our stock price on the date of grant as well as assumptions regarding a number of complex and subjective variables. These variables include our expected stock price volatility over the expected term of the award, actual and projected employee stock option exercise behaviors, the risk-free interest rate for the expected term of the award and expected dividends. The variables used in the model are reviewed on a quarterly basis and adjusted, as needed. Share-based compensation cost for restricted stock is measured on the closing fair market value of our commons stock on the date of grant. The value of the portion of the award that is ultimately expected to vest is recognized as expense in our Consolidated Statements of Operations.</w:t>
      </w:r>
    </w:p>
    <w:p>
      <w:pPr>
        <w:spacing w:after="0" w:line="179"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i w:val="1"/>
          <w:iCs w:val="1"/>
          <w:color w:val="auto"/>
        </w:rPr>
        <w:t>Legal Contingencies</w:t>
      </w:r>
      <w:r>
        <w:rPr>
          <w:rFonts w:ascii="Arial" w:cs="Arial" w:eastAsia="Arial" w:hAnsi="Arial"/>
          <w:sz w:val="17"/>
          <w:szCs w:val="17"/>
          <w:color w:val="auto"/>
        </w:rPr>
        <w:t>. As described in Part I, Item 3, “Legal Proceedings” and Part II, Item 8, Note 8, “Commitments and Contingencies,” in the Notes</w:t>
      </w:r>
      <w:r>
        <w:rPr>
          <w:rFonts w:ascii="Arial" w:cs="Arial" w:eastAsia="Arial" w:hAnsi="Arial"/>
          <w:sz w:val="17"/>
          <w:szCs w:val="17"/>
          <w:i w:val="1"/>
          <w:iCs w:val="1"/>
          <w:color w:val="auto"/>
        </w:rPr>
        <w:t xml:space="preserve"> </w:t>
      </w:r>
      <w:r>
        <w:rPr>
          <w:rFonts w:ascii="Arial" w:cs="Arial" w:eastAsia="Arial" w:hAnsi="Arial"/>
          <w:sz w:val="17"/>
          <w:szCs w:val="17"/>
          <w:color w:val="auto"/>
        </w:rPr>
        <w:t>to Consolidated Financial Statements, we are periodically involved in various legal claims and proceedings. We routinely review the status of each significant matter and assess our potential financial exposure. If the potential loss from any matter is considered probable and the amount can be reasonably estimated, we record a liability for the estimated loss. Because of inherent uncertainties related to these legal matters, we base our loss accruals on the best information available at the time. As additional information becomes available, we reassess our potential liability and may revise our estimates. Such revisions could have a material impact on future quarterly or annual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See Part II, Item 8, Note 1, “Business and Summary of Significant Accounting Policies,” in the Notes to Consolidated Financial Statements for a full description of recent accounting pronouncements, including the expected dates of adoption and estimated effects on results of operations and financial condition, which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Fiscal 2013</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82"/>
              <w:spacing w:after="0"/>
              <w:rPr>
                <w:sz w:val="20"/>
                <w:szCs w:val="20"/>
                <w:color w:val="auto"/>
              </w:rPr>
            </w:pPr>
            <w:r>
              <w:rPr>
                <w:rFonts w:ascii="Arial" w:cs="Arial" w:eastAsia="Arial" w:hAnsi="Arial"/>
                <w:sz w:val="14"/>
                <w:szCs w:val="14"/>
                <w:b w:val="1"/>
                <w:bCs w:val="1"/>
                <w:color w:val="auto"/>
                <w:w w:val="94"/>
              </w:rPr>
              <w:t>Fiscal Year Ended</w:t>
            </w:r>
          </w:p>
        </w:tc>
        <w:tc>
          <w:tcPr>
            <w:tcW w:w="162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As a % of Net</w:t>
            </w:r>
          </w:p>
        </w:tc>
        <w:tc>
          <w:tcPr>
            <w:tcW w:w="140" w:type="dxa"/>
            <w:vAlign w:val="bottom"/>
          </w:tcPr>
          <w:p>
            <w:pPr>
              <w:spacing w:after="0"/>
              <w:rPr>
                <w:sz w:val="16"/>
                <w:szCs w:val="16"/>
                <w:color w:val="auto"/>
              </w:rPr>
            </w:pPr>
          </w:p>
        </w:tc>
        <w:tc>
          <w:tcPr>
            <w:tcW w:w="1320" w:type="dxa"/>
            <w:vAlign w:val="bottom"/>
          </w:tcPr>
          <w:p>
            <w:pPr>
              <w:jc w:val="right"/>
              <w:ind w:right="82"/>
              <w:spacing w:after="0"/>
              <w:rPr>
                <w:sz w:val="20"/>
                <w:szCs w:val="20"/>
                <w:color w:val="auto"/>
              </w:rPr>
            </w:pPr>
            <w:r>
              <w:rPr>
                <w:rFonts w:ascii="Arial" w:cs="Arial" w:eastAsia="Arial" w:hAnsi="Arial"/>
                <w:sz w:val="14"/>
                <w:szCs w:val="14"/>
                <w:b w:val="1"/>
                <w:bCs w:val="1"/>
                <w:color w:val="auto"/>
                <w:w w:val="94"/>
              </w:rPr>
              <w:t>Fiscal Year Ended</w:t>
            </w:r>
          </w:p>
        </w:tc>
        <w:tc>
          <w:tcPr>
            <w:tcW w:w="152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As a % of Net</w:t>
            </w:r>
          </w:p>
        </w:tc>
        <w:tc>
          <w:tcPr>
            <w:tcW w:w="0" w:type="dxa"/>
            <w:vAlign w:val="bottom"/>
          </w:tcPr>
          <w:p>
            <w:pPr>
              <w:spacing w:after="0"/>
              <w:rPr>
                <w:sz w:val="1"/>
                <w:szCs w:val="1"/>
                <w:color w:val="auto"/>
              </w:rPr>
            </w:pPr>
          </w:p>
        </w:tc>
      </w:tr>
      <w:tr>
        <w:trPr>
          <w:trHeight w:val="84"/>
        </w:trPr>
        <w:tc>
          <w:tcPr>
            <w:tcW w:w="5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8"/>
              </w:rPr>
              <w:t>January 31, 2013</w:t>
            </w:r>
          </w:p>
        </w:tc>
        <w:tc>
          <w:tcPr>
            <w:tcW w:w="1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8"/>
              </w:rPr>
              <w:t>January 31, 2012</w:t>
            </w: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Revenue</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80" w:type="dxa"/>
            <w:vAlign w:val="bottom"/>
            <w:gridSpan w:val="3"/>
          </w:tcPr>
          <w:p>
            <w:pPr>
              <w:jc w:val="right"/>
              <w:ind w:right="1042"/>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2,312.2</w:t>
            </w:r>
          </w:p>
        </w:tc>
        <w:tc>
          <w:tcPr>
            <w:tcW w:w="1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2,215.6</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7"/>
        </w:trPr>
        <w:tc>
          <w:tcPr>
            <w:tcW w:w="536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4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238.5</w:t>
            </w:r>
          </w:p>
        </w:tc>
        <w:tc>
          <w:tcPr>
            <w:tcW w:w="1620" w:type="dxa"/>
            <w:vAlign w:val="bottom"/>
          </w:tcPr>
          <w:p>
            <w:pPr>
              <w:jc w:val="right"/>
              <w:ind w:right="42"/>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229.1</w:t>
            </w:r>
          </w:p>
        </w:tc>
        <w:tc>
          <w:tcPr>
            <w:tcW w:w="15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2,073.7</w:t>
            </w:r>
          </w:p>
        </w:tc>
        <w:tc>
          <w:tcPr>
            <w:tcW w:w="1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90%</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1,986.5</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536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1,767.8</w:t>
            </w:r>
          </w:p>
        </w:tc>
        <w:tc>
          <w:tcPr>
            <w:tcW w:w="1620" w:type="dxa"/>
            <w:vAlign w:val="bottom"/>
          </w:tcPr>
          <w:p>
            <w:pPr>
              <w:jc w:val="right"/>
              <w:ind w:right="42"/>
              <w:spacing w:after="0"/>
              <w:rPr>
                <w:sz w:val="20"/>
                <w:szCs w:val="20"/>
                <w:color w:val="auto"/>
              </w:rPr>
            </w:pPr>
            <w:r>
              <w:rPr>
                <w:rFonts w:ascii="Arial" w:cs="Arial" w:eastAsia="Arial" w:hAnsi="Arial"/>
                <w:sz w:val="16"/>
                <w:szCs w:val="16"/>
                <w:color w:val="auto"/>
              </w:rPr>
              <w:t>76%</w:t>
            </w:r>
          </w:p>
        </w:tc>
        <w:tc>
          <w:tcPr>
            <w:tcW w:w="14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1,630.9</w:t>
            </w:r>
          </w:p>
        </w:tc>
        <w:tc>
          <w:tcPr>
            <w:tcW w:w="152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5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305.9</w:t>
            </w:r>
          </w:p>
        </w:tc>
        <w:tc>
          <w:tcPr>
            <w:tcW w:w="1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355.6</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We experienced mixed results in fiscal 2013. During fiscal 2013, as compared to fiscal 2012, net revenue increased 4% and gross profit increased 4%, while income from operations decreased 14%. Contributing to the year over year increases in revenue during fiscal 2013 were increases in revenue from maintenance and new seat license revenue. We experienced increases in revenue for many of our major products, reportable segments and geographic areas during fiscal 2013 as compared to the same period in the prior fiscal year. The reasons for these increases are discussed below under the heading "Results from Operations."</w:t>
      </w:r>
    </w:p>
    <w:p>
      <w:pPr>
        <w:spacing w:after="0" w:line="188"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Revenue from flagship products was 56% of total net revenue during fiscal 2013, an increase of 1% as compared to fiscal 2012. Revenue from suites was 30% of total net revenue for fiscal 2013, an increase of 16% as compared to fiscal 2012. Revenue from new and adjacent products was 15% of total net revenue during the fiscal 2013, a decreased of 3% as compared to fiscal 2012. We anticipate that, as our new and existing customers migrate from our stand-alone products, our revenue from suites will increase as a percentage of revenue and that our revenue from our flagship and new and adjacent products will decline as a percentage of revenue.</w:t>
      </w:r>
    </w:p>
    <w:p>
      <w:pPr>
        <w:spacing w:after="0" w:line="188"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While net revenue increased $96.6 million or 4% for fiscal 2013, as compared to fiscal 2012, our operating expenses increased $136.9 million or 8% for fiscal 2013. The increase in operating expenses was primarily due to higher employee related costs and restructuring charges incurred in fiscal 2013 as a result of the Fiscal 2013 Plan. Similarly, income from operations decreased 14% in fiscal 2013, as compared to fiscal 2012, and our total operating margin decreased from 16% for fiscal 2012 to 13% for fiscal 2013 primarily due to higher employee related costs and restructuring charges during fiscal 2013.</w:t>
      </w:r>
    </w:p>
    <w:p>
      <w:pPr>
        <w:spacing w:after="0" w:line="15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We believe net revenue for fiscal 2014 will increase by approximately 6% compared to fiscal 2013. We anticipate fiscal 2014 operating margin will increase by approximately 455 to 480 basis points compared to fiscal 2013.</w:t>
      </w:r>
    </w:p>
    <w:p>
      <w:pPr>
        <w:spacing w:after="0" w:line="170"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We generate a significant amount of our revenue in the U.S., Japan, Germany, Canada, and the United Kingdom. Our revenue was negatively impacted from foreign exchange rate changes during fiscal 2013, as compared to fiscal 2012. Had applicable exchange rates from fiscal 2012 been in effect during fiscal 2013 and had we excluded foreign exchange hedge gains and losses from fiscal 2013, (“on a constant currency basis”), net revenue would have increased 5% compared to the prior fiscal year. During fiscal 2013, total spend, defined as cost of revenue plus operating expenses, increased 8% both as reported and on a constant currency basis compared to the prior fiscal year. 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 of such foreign currency against the U.S. dollar.</w:t>
      </w:r>
    </w:p>
    <w:p>
      <w:pPr>
        <w:spacing w:after="0" w:line="16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Tech Data Corporation and its global affiliates (collectively, “Tech Data”). Tech Data accounted for 23% and 17% of our consolidated net revenue during fiscal year 2013 and 2012, respectively. On October 27, 2011, Tech Data purchased certain assets of Mensch und Maschine Software (“MuM”), which has been a distributor of our products in Europe. The acquisition concentrates additional sales through Tech Data, which on a consolidated basis would have accounted for 21% of our net revenue for fiscal years 2012 if the acquisition had taken place at the beginning of fiscal 2012.We believe our business is not substantially</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dependent on Tech Data. Our customers through Tech Data are the resellers and end users who purchase our software licenses and services. Should any of the agreements between Tech Data and us be terminated for any reason, we believe the resellers and end users who currently purchase our products through Tech Data would be able to continue to do so under substantially the same terms from one of our many other distributors without substantial disruption to our revenue.</w:t>
      </w:r>
    </w:p>
    <w:p>
      <w:pPr>
        <w:spacing w:after="0" w:line="187" w:lineRule="exact"/>
        <w:rPr>
          <w:sz w:val="20"/>
          <w:szCs w:val="20"/>
          <w:color w:val="auto"/>
        </w:rPr>
      </w:pPr>
    </w:p>
    <w:p>
      <w:pPr>
        <w:jc w:val="both"/>
        <w:ind w:right="240" w:firstLine="405"/>
        <w:spacing w:after="0" w:line="273" w:lineRule="auto"/>
        <w:rPr>
          <w:sz w:val="20"/>
          <w:szCs w:val="20"/>
          <w:color w:val="auto"/>
        </w:rPr>
      </w:pPr>
      <w:r>
        <w:rPr>
          <w:rFonts w:ascii="Arial" w:cs="Arial" w:eastAsia="Arial" w:hAnsi="Arial"/>
          <w:sz w:val="17"/>
          <w:szCs w:val="17"/>
          <w:color w:val="auto"/>
        </w:rPr>
        <w:t>Our primary goals for fiscal 2014 are to grow revenue from our current levels consistent with seasonal trends, manage our operating margin, and to invest in product functionality and new product lines, including suites offerings, while controlling our operating expenses. In addition, we will continue to look closely at our cost structure to find ways to improve our operating margin while allowing continued investment in growth and productivity initiatives. There can be no assurance that we will achieve our financial goals and improve our financial results. Additionally, we believe that unemployment rates and the availability of credit to major industries we serve are important indicators for our business. If we are unable to successfully achieve our major business initiatives or if global economic conditions deteriorate, we may not achieve our financial goals.</w:t>
      </w:r>
    </w:p>
    <w:p>
      <w:pPr>
        <w:spacing w:after="0" w:line="178"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At January 31, 2013, we had $2,365.4 million in cash and marketable securities. This amount includes the aggregate net proceeds of $739.3 million, after deducting the underwriting discounts and related offering expenses, from our December 2012 registered underwritten public offering of $400.0 million aggregate principal amount of 1.95% senior notes due December 15, 2017 and $350.0 million aggregate principal amount of 3.6% senior notes due December 15, 2022.</w:t>
      </w:r>
    </w:p>
    <w:p>
      <w:pPr>
        <w:spacing w:after="0" w:line="18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completed fiscal 2013 with a higher deferred revenue balance and a higher accounts receivable balance as compared to fiscal 2012. Our deferred revenue balance at January 31, 2013 included $733.5 million of customer maintenance contracts, which will be recognized as revenue ratably over the life of the contracts. The term of our maintenance contracts is typically one year but may be two or three year, or occasionally as long as five years. We repurchased 12.5 million shares of our common stock for $431.2 million during fiscal 2013. Comparatively, we repurchased 9.7 million shares of our common stock for $327.4 million during fiscal 2012.</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Increase (decrease) compared to</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Increase (decrease)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compared to</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080" w:type="dxa"/>
            <w:vAlign w:val="bottom"/>
          </w:tcPr>
          <w:p>
            <w:pPr>
              <w:spacing w:after="0"/>
              <w:rPr>
                <w:sz w:val="4"/>
                <w:szCs w:val="4"/>
                <w:color w:val="auto"/>
              </w:rPr>
            </w:pPr>
          </w:p>
        </w:tc>
        <w:tc>
          <w:tcPr>
            <w:tcW w:w="1240" w:type="dxa"/>
            <w:vAlign w:val="bottom"/>
            <w:gridSpan w:val="3"/>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3"/>
              </w:rPr>
              <w:t>Ended January</w:t>
            </w: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3"/>
              </w:rPr>
              <w:t>Ended January</w:t>
            </w:r>
          </w:p>
        </w:tc>
        <w:tc>
          <w:tcPr>
            <w:tcW w:w="2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restart"/>
          </w:tcPr>
          <w:p>
            <w:pPr>
              <w:jc w:val="center"/>
              <w:spacing w:after="0" w:line="126" w:lineRule="exact"/>
              <w:rPr>
                <w:sz w:val="20"/>
                <w:szCs w:val="20"/>
                <w:color w:val="auto"/>
              </w:rPr>
            </w:pPr>
            <w:r>
              <w:rPr>
                <w:rFonts w:ascii="Arial" w:cs="Arial" w:eastAsia="Arial" w:hAnsi="Arial"/>
                <w:sz w:val="14"/>
                <w:szCs w:val="14"/>
                <w:b w:val="1"/>
                <w:bCs w:val="1"/>
                <w:color w:val="auto"/>
                <w:w w:val="95"/>
              </w:rPr>
              <w:t>Ended January</w:t>
            </w:r>
          </w:p>
        </w:tc>
        <w:tc>
          <w:tcPr>
            <w:tcW w:w="0" w:type="dxa"/>
            <w:vAlign w:val="bottom"/>
          </w:tcPr>
          <w:p>
            <w:pPr>
              <w:spacing w:after="0"/>
              <w:rPr>
                <w:sz w:val="1"/>
                <w:szCs w:val="1"/>
                <w:color w:val="auto"/>
              </w:rPr>
            </w:pPr>
          </w:p>
        </w:tc>
      </w:tr>
      <w:tr>
        <w:trPr>
          <w:trHeight w:val="52"/>
        </w:trPr>
        <w:tc>
          <w:tcPr>
            <w:tcW w:w="308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31, 2013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31, 2012</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8"/>
              </w:rPr>
              <w:t>31, 2011</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1,390.6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33.0</w:t>
            </w:r>
          </w:p>
        </w:tc>
        <w:tc>
          <w:tcPr>
            <w:tcW w:w="124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1,357.6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185.5</w:t>
            </w:r>
          </w:p>
        </w:tc>
        <w:tc>
          <w:tcPr>
            <w:tcW w:w="7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1,172.1</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Maintenance</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858.0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78.3</w:t>
            </w:r>
          </w:p>
        </w:tc>
        <w:tc>
          <w:tcPr>
            <w:tcW w:w="7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779.7</w:t>
            </w:r>
          </w:p>
        </w:tc>
        <w:tc>
          <w:tcPr>
            <w:tcW w:w="0" w:type="dxa"/>
            <w:vAlign w:val="bottom"/>
          </w:tcPr>
          <w:p>
            <w:pPr>
              <w:spacing w:after="0"/>
              <w:rPr>
                <w:sz w:val="1"/>
                <w:szCs w:val="1"/>
                <w:color w:val="auto"/>
              </w:rPr>
            </w:pPr>
          </w:p>
        </w:tc>
      </w:tr>
      <w:tr>
        <w:trPr>
          <w:trHeight w:val="284"/>
        </w:trPr>
        <w:tc>
          <w:tcPr>
            <w:tcW w:w="30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2,312.2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96.6</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2,215.6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263.8</w:t>
            </w:r>
          </w:p>
        </w:tc>
        <w:tc>
          <w:tcPr>
            <w:tcW w:w="7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1,951.8</w:t>
            </w:r>
          </w:p>
        </w:tc>
        <w:tc>
          <w:tcPr>
            <w:tcW w:w="0" w:type="dxa"/>
            <w:vAlign w:val="bottom"/>
          </w:tcPr>
          <w:p>
            <w:pPr>
              <w:spacing w:after="0"/>
              <w:rPr>
                <w:sz w:val="1"/>
                <w:szCs w:val="1"/>
                <w:color w:val="auto"/>
              </w:rPr>
            </w:pPr>
          </w:p>
        </w:tc>
      </w:tr>
      <w:tr>
        <w:trPr>
          <w:trHeight w:val="184"/>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 by Geographic Area:</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0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836.2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37.7</w:t>
            </w:r>
          </w:p>
        </w:tc>
        <w:tc>
          <w:tcPr>
            <w:tcW w:w="1240" w:type="dxa"/>
            <w:vAlign w:val="bottom"/>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798.5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97.0</w:t>
            </w:r>
          </w:p>
        </w:tc>
        <w:tc>
          <w:tcPr>
            <w:tcW w:w="7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701.5</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Europe, Middle East and Africa</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79.4</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782.8</w:t>
            </w:r>
          </w:p>
        </w:tc>
        <w:tc>
          <w:tcPr>
            <w:tcW w:w="0" w:type="dxa"/>
            <w:vAlign w:val="bottom"/>
          </w:tcPr>
          <w:p>
            <w:pPr>
              <w:spacing w:after="0"/>
              <w:rPr>
                <w:sz w:val="1"/>
                <w:szCs w:val="1"/>
                <w:color w:val="auto"/>
              </w:rPr>
            </w:pP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607.5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52.6</w:t>
            </w:r>
          </w:p>
        </w:tc>
        <w:tc>
          <w:tcPr>
            <w:tcW w:w="124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554.9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87.4</w:t>
            </w:r>
          </w:p>
        </w:tc>
        <w:tc>
          <w:tcPr>
            <w:tcW w:w="7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467.5</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2,312.2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96.6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2,215.6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263.8</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1,951.8</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Net Revenue by Operating Segment:</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Platform Solutions and Emerging</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Business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849.7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833.1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116.9</w:t>
            </w:r>
          </w:p>
        </w:tc>
        <w:tc>
          <w:tcPr>
            <w:tcW w:w="7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716.2</w:t>
            </w: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rPr>
              <w:t>Architecture, Engineering and</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80" w:type="dxa"/>
            <w:vAlign w:val="bottom"/>
          </w:tcPr>
          <w:p>
            <w:pPr>
              <w:ind w:left="540"/>
              <w:spacing w:after="0"/>
              <w:rPr>
                <w:sz w:val="20"/>
                <w:szCs w:val="20"/>
                <w:color w:val="auto"/>
              </w:rPr>
            </w:pPr>
            <w:r>
              <w:rPr>
                <w:rFonts w:ascii="Arial" w:cs="Arial" w:eastAsia="Arial" w:hAnsi="Arial"/>
                <w:sz w:val="16"/>
                <w:szCs w:val="16"/>
                <w:color w:val="auto"/>
              </w:rPr>
              <w:t>Construction</w:t>
            </w:r>
          </w:p>
        </w:tc>
        <w:tc>
          <w:tcPr>
            <w:tcW w:w="18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694.3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67.9</w:t>
            </w:r>
          </w:p>
        </w:tc>
        <w:tc>
          <w:tcPr>
            <w:tcW w:w="124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626.4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58.4</w:t>
            </w:r>
          </w:p>
        </w:tc>
        <w:tc>
          <w:tcPr>
            <w:tcW w:w="7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568.0</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70.3</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470.0</w:t>
            </w:r>
          </w:p>
        </w:tc>
        <w:tc>
          <w:tcPr>
            <w:tcW w:w="0" w:type="dxa"/>
            <w:vAlign w:val="bottom"/>
          </w:tcPr>
          <w:p>
            <w:pPr>
              <w:spacing w:after="0"/>
              <w:rPr>
                <w:sz w:val="1"/>
                <w:szCs w:val="1"/>
                <w:color w:val="auto"/>
              </w:rPr>
            </w:pP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Media and Entertainment</w:t>
            </w: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194.4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(21.4)</w:t>
            </w: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215.8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18.2</w:t>
            </w:r>
          </w:p>
        </w:tc>
        <w:tc>
          <w:tcPr>
            <w:tcW w:w="7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2,312.2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96.6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2,215.6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263.8</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1,951.8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2013 Net Revenue Compared to Fiscal 2012 Net Revenue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License and other revenue is comprised of two components: all forms of product license revenue and other revenue. Product license revenue includes: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software license revenue from the sale of new seat licenses, upgrades, product revenue for</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Creative Finishing and revenue from on-demand software and services. Other revenue includes revenue from consulting, training, Autodesk Developers Network and Creative Finishing customer support, and is recognized over time, as the services are performed.</w:t>
      </w:r>
    </w:p>
    <w:p>
      <w:pPr>
        <w:spacing w:after="0" w:line="17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Total license and other revenue increased 2% during fiscal 2013 as compared to fiscal 2012. This increase was primarily due to the 6% increase in revenue from commercial new seat licenses during fiscal 2013 as compared to fiscal 2012. During fiscal 2013, all of the 6% increase was due to the increase in the number of seats sold. Average net revenue per seat was flat in fiscal 2013 as compared to fiscal 2012. Commercial new seat revenue, as a percentage of license and other revenue, was 69% for fiscal 2013 and 67% for fiscal 2012.</w:t>
      </w:r>
    </w:p>
    <w:p>
      <w:pPr>
        <w:spacing w:after="0" w:line="18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Offsetting the increase in commercial new seat license revenue during fiscal 2013, as compared to fiscal 2012, was the 3% decrease in upgrade revenue. Upgrade revenue decreased during fiscal 2013 in comparison to fiscal 2012 primarily due to more successful upgrade promotions run during fiscal 2012 than in fiscal 2013.</w:t>
      </w:r>
    </w:p>
    <w:p>
      <w:pPr>
        <w:spacing w:after="0" w:line="18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Backlog related to current software license product orders that had not shipped at the end of the quarter decreased by $7.1 million during fiscal 2013 from $27.1 million at January 31, 2012 to $20.0 million at January 31, 2013. 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18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Revenue from the sales of our services, training and support, included in “License and other revenue,” represented less than 5% of net revenue for all periods presented.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Maintenance Revenue</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maintenance revenue relates to a program known by our user community as the Subscription Program. Our maintenance program provides our commercial and educational customers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maintenance contract periods.</w:t>
      </w:r>
    </w:p>
    <w:p>
      <w:pPr>
        <w:spacing w:after="0" w:line="15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Maintenance revenue increased 7% during fiscal 2013, as compared to fiscal 2012, primarily due to a 7% increase in commercial maintenance revenue. The 7% increase in commercial maintenance revenue was due to a 6 percentage point increase in commercial enrollment during the corresponding maintenance contract term and a 1 percentage point increase in average net revenue per maintenance seat. Commercial maintenance revenue represented 98% of maintenance revenue for both fiscal 2013 and 2012.</w:t>
      </w:r>
    </w:p>
    <w:p>
      <w:pPr>
        <w:spacing w:after="0" w:line="187"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Changes in maintenance revenue lag changes in net billings for maintenance contracts because we recognize the revenue from those contracts ratably over their contract terms. The term of our maintenance contracts is predominantly one year but may be two or three years or occasionally as long as five years. Net maintenance billings increased 4% during fiscal 2013 as compared to fiscal 2012. Net maintenance billings increased due to early maintenance renewals in advance of a price increase and due to new multi-year maintenance contracts.</w:t>
      </w:r>
    </w:p>
    <w:p>
      <w:pPr>
        <w:spacing w:after="0" w:line="171"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Our deferred revenue balance at January 31, 2013 and January 31, 2012 was $834.6 million and $719.2 million, respectively, primarily related to customer maintenance contracts, which will be recognized as revenue ratably over the life of the contracts.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25"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Net revenue in the Americas geography increased by 5% both as reported and on a constant currency basis, during fiscal 2013, as compared to fiscal 2012. This increase was primarily due to an 8% increase in maintenance revenue during fiscal 2013 as compared to fiscal 2012. Revenue from new seats was flat during fiscal 2013 as compared to fiscal 2012. The increase in our revenue in this geography was led by the U.S. and Canada.</w:t>
      </w:r>
    </w:p>
    <w:p>
      <w:pPr>
        <w:spacing w:after="0" w:line="166"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Net revenue in the EMEA geography increased by 1%, or 3% on a constant currency basis, during fiscal 2013 as compared to fiscal 2012. The increase was primarily due to a 5% increase in maintenance revenue, partially offset by a 6% decrease in new seat revenue. The increase in our revenue in this geography was led by Ireland, Finland and Germany, partially offset by a decrease in revenue from Sweden and the United Kingdom.</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Net revenue in the APAC geography increased by 9%, or 8% on a constant currency basis, during fiscal 2013, as compared to fiscal 2012, primarily due to an 18% increase in new seat revenue and a 12% increase in maintenance revenue. Net revenue expansion in the APAC geography during fiscal 2013 was led by Japan, followed by China and South Korea.</w:t>
      </w:r>
    </w:p>
    <w:p>
      <w:pPr>
        <w:spacing w:after="0" w:line="181"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Net revenue in emerging economies decreased by 4%, or 2% on a constant currency basis, during fiscal 2013 as compared to fiscal 2012, primarily due to a decrease in revenue from Brazil, Poland and India, partially offset by an increase in revenue from China. Revenue from emerging economies represented 14% of net revenue for fiscal 2013 and 16% for fiscal 2012.</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International net revenue represented 71% and 72% of our net revenue in fiscal 2013 and fiscal 2012, respectively. We believe that international revenue will continue to comprise a majority of our total net revenue. Unfavorable economic conditions in the countries that contribute a significant portion of our net revenue, including in emerging economies,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Additionally, the U.S. credit-rating downgrade and weak global economic conditions that have been characterized by restructuring of sovereign debt, high unemployment, and volatility in the financial markets may impact our future financial results.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four reportable segments: PSEB, AEC, MFG and M&amp;E. We have no material inter-segment revenue.</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Net revenue for PSEB, which includes our Autodesk Design Suite, increased 2% during fiscal 2013, as compared to fiscal 2012, primarily due to a 4% increase in revenue from our flagship AutoCAD and AutoCAD LT products.</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Net revenue for AEC increased 11% during fiscal 2013, as compared to fiscal 2012, primarily due to a 26% increase in revenue from our AEC suites, which includes our Autodesk Building Design Suite.</w:t>
      </w:r>
    </w:p>
    <w:p>
      <w:pPr>
        <w:spacing w:after="0" w:line="1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Net revenue for MFG increased 6% during fiscal 2013, as compared to fiscal 2012, primarily due to an 8% increase in revenue from our MFG suites, which includes the Autodesk Product Design Suite.</w:t>
      </w:r>
    </w:p>
    <w:p>
      <w:pPr>
        <w:spacing w:after="0" w:line="17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Net revenue for M&amp;E decreased 10% during fiscal 2013, as compared to fiscal 2012, primarily due to an 8% decrease in revenue from our Animation product group, which includes our Autodesk Entertainment Creation Suite, and a 16% decrease in revenue from Creative Finishing. The decrease in Animation revenue was primarily due to a 22% decrease in revenue from our flagship product, 3Ds Max, partially offset by a 26% increase in revenue from our animation suites, which includes our Autodesk Entertainment Creation Suite. The overall decrease in M&amp;E revenue is related to a general decrease in the M&amp;E industry end-market demand, as well as the inclusion of our M&amp;E products in other Autodesk industry suites.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2012 Net Revenue Compared to Fiscal 2011 Net Revenue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License and other revenue is comprised of two components: all forms of product license revenue and other revenue. Product license revenue includes: software license revenue from the sale of new seat licenses, upgrades, product revenue for Creative Finishing and revenue from on-demand software and services. Other revenue includes revenue from consulting, training, Autodesk Developers Network and Creative Finishing customer support, and is recognized over time, as the services are performed.</w:t>
      </w:r>
    </w:p>
    <w:p>
      <w:pPr>
        <w:spacing w:after="0" w:line="18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Total license and other revenue increased 16% during fiscal 2012 as compared to fiscal 2011 primarily due to a 16% increase in revenue from commercial new seat licenses. During fiscal 2012, 13 percentage points of the 16% increase was due to an increase in the number of seats sold, and 3 percentage points was due to an increase in the average net revenue per seat. Commercial new seat revenue, as a percentage of license and other revenue, was 67% for both fiscal 2012 and 2011.</w:t>
      </w:r>
    </w:p>
    <w:p>
      <w:pPr>
        <w:spacing w:after="0" w:line="18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Also contributing to the increase in license and other revenue during fiscal 2012, as compared to fiscal 2011, was a 14% increase in upgrade revenue. Upgrade revenue increased during fiscal 2012 in comparison to fiscal 2011 primarily due to an ACAD LT upgrade promotion during the first quarter of fiscal 2012, an increase in large enterprise transactions, customers migrating from stand-alone products to suites and a promotion that was run related to the education solutions suites.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Backlog related to current software license product orders that had not shipped at the end of the quarter decreased by $0.4 million during fiscal 2012 from $27.5 million at January 31, 2011 to $27.1 million at January 31, 2012. 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18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Revenue from the sales of our services, training and support, included in “License and other revenue,” represented less than 5% of net revenue for all periods presented.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Maintenance Revenue</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Our maintenance revenue relates to a program known by our user community as the Subscription Program. Our maintenance program provides our commercial and educational customers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maintenance contract periods.</w:t>
      </w:r>
    </w:p>
    <w:p>
      <w:pPr>
        <w:spacing w:after="0" w:line="15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Maintenance revenue increased 10% during fiscal 2012, as compared to fiscal 2011, primarily due to a 10% increase in commercial maintenance revenue. The 10% increase in commercial maintenance revenue was due to an 8 percentage point increase in commercial enrollment during the corresponding maintenance contract term and a 2 percentage point increase in net revenue per maintenance seat. Commercial maintenance revenue represented 98% of maintenance revenue for both fiscal 2012 and 2011.</w:t>
      </w:r>
    </w:p>
    <w:p>
      <w:pPr>
        <w:spacing w:after="0" w:line="187"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Changes in maintenance revenue lag changes in net billings for maintenance contracts because we recognize the revenue from those contracts ratably over their contract terms. Our maintenance contracts are for a term of predominantly one year, but may be two or three year, or occasionally as long as five year, terms. Net maintenance billings increased 19% during fiscal 2012 as compared to fiscal 2011. This increase was due to an increase in maintenance renewals, new multi-year maintenance contracts, and the impact from the upgrade promotions mentioned above in "License and Other Revenue."</w:t>
      </w:r>
    </w:p>
    <w:p>
      <w:pPr>
        <w:spacing w:after="0" w:line="154"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Our deferred revenue balance at January 31, 2012 and January 31, 2011 was $719.2 million and $587.9 million, respectively, related to customer maintenance contracts, which will be recognized as revenue ratably over the life of the contracts.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revenue in the Americas geography increased by 14% both as reported and on a constant currency basis, during fiscal 2012, as compared to fiscal</w:t>
      </w:r>
    </w:p>
    <w:p>
      <w:pPr>
        <w:spacing w:after="0" w:line="46"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2011. This increase was primarily due to a 14% increase in revenue from new seats during fiscal 2012 as compared to fiscal 2011. Maintenance revenue increased 10% during fiscal 2012 as compared to fiscal 2011. The increase in our revenue in this geography was led by the U.S. and Canada.</w:t>
      </w:r>
    </w:p>
    <w:p>
      <w:pPr>
        <w:spacing w:after="0" w:line="13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Net revenue in the EMEA geography increased by 10% both as reported and on a constant currency basis, during fiscal 2012 as compared to fiscal 2011. The increase was primarily due to a 14% increase in new seat revenue and a 6% increase in maintenance revenue. The increase in our revenue in this geography was led by the Russian Federation, Belgium, United Kingdom and Germany.</w:t>
      </w:r>
    </w:p>
    <w:p>
      <w:pPr>
        <w:spacing w:after="0" w:line="18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Net revenue in the APAC geography increased by 19%, or 12% on a constant currency basis, during fiscal 2012, as compared to fiscal 2011, primarily due to a 20% increase in new seat revenue and a 21% increase in maintenance revenue. Net revenue expansion in the APAC geography during fiscal 2012 occurred in virtually all countries, led by Japan, followed by Australia and South Korea.</w:t>
      </w:r>
    </w:p>
    <w:p>
      <w:pPr>
        <w:spacing w:after="0" w:line="181"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Net revenue in emerging economies increased by 16%, or 13% on a constant currency basis, during fiscal 2012 as compared to fiscal 2011, primarily due to revenue from the Russian Federation, India, Mexico, and Brazil. This growth was a significant factor in our international sales growth during fiscal 2012. Revenue from emerging economies represented 16% of net revenue for fiscal 2012 and 15% for fiscal 2011.</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International net revenue represented 72% and 71% of our net revenue in fiscal 2012 and fiscal 2011, respectively. We believe that international revenue will continue to comprise a majority of our total net revenue. Unfavorable economic conditions in the countries that contribute a significant portion of our net revenue may have an adverse effect on our business in</w:t>
      </w: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Additionally, the U.S. credit-rating downgrade and weak global economic conditions that have been characterized by restructuring of sovereign debt, high unemployment, and volatility in the financial markets may impact our future financial results.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225"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We have four reportable segments: PSEB, AEC, MFG and M&amp;E. We have no material inter-segment revenue. Note, we have conformed our explanation of the increases within the individual segments to align with current period presentation.</w:t>
      </w:r>
    </w:p>
    <w:p>
      <w:pPr>
        <w:spacing w:after="0" w:line="17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Net revenue for PSEB, which includes our Autodesk Design Suite, increased 16% during fiscal 2012, as compared to fiscal 2011, primarily due to a 11% increase in revenue from our flagship AutoCAD LT and AutoCAD products.</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Net revenue for AEC increased 10% during fiscal 2012, as compared to fiscal 2011, primarily due to a 37% increase in revenue from our AEC suites, which includes our Autodesk Building Design Suite.</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Net revenue for MFG increased 15% during fiscal 2012, as compared to fiscal 2011, primarily due to a 16% increase in revenue from our MFG suites, which includes the Autodesk Product Design Suite.</w:t>
      </w:r>
    </w:p>
    <w:p>
      <w:pPr>
        <w:spacing w:after="0" w:line="170"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Net revenue for M&amp;E increased 9% during fiscal 2012, as compared to fiscal 2011, primarily due to a 15% increase in revenue from our Animation product group, which includes our Autodesk Entertainment Creation Suite, offset by a 3% decrease in revenue from Creative Finishing. The increase in Animation revenue was primarily due to a 13% increase in revenue from our flagship Autodesk Maya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 and 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Increase (decrease) compared to</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Increase compared to</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Pr>
          <w:p>
            <w:pPr>
              <w:spacing w:after="0"/>
              <w:rPr>
                <w:sz w:val="16"/>
                <w:szCs w:val="16"/>
                <w:color w:val="auto"/>
              </w:rPr>
            </w:pPr>
          </w:p>
        </w:tc>
        <w:tc>
          <w:tcPr>
            <w:tcW w:w="2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prior fiscal year</w:t>
            </w:r>
          </w:p>
        </w:tc>
        <w:tc>
          <w:tcPr>
            <w:tcW w:w="14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prior fiscal year</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w w:val="97"/>
              </w:rPr>
              <w:t>Fiscal Year Ended</w:t>
            </w:r>
          </w:p>
        </w:tc>
        <w:tc>
          <w:tcPr>
            <w:tcW w:w="0" w:type="dxa"/>
            <w:vAlign w:val="bottom"/>
          </w:tcPr>
          <w:p>
            <w:pPr>
              <w:spacing w:after="0"/>
              <w:rPr>
                <w:sz w:val="1"/>
                <w:szCs w:val="1"/>
                <w:color w:val="auto"/>
              </w:rPr>
            </w:pPr>
          </w:p>
        </w:tc>
      </w:tr>
      <w:tr>
        <w:trPr>
          <w:trHeight w:val="58"/>
        </w:trPr>
        <w:tc>
          <w:tcPr>
            <w:tcW w:w="234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20" w:type="dxa"/>
            <w:vAlign w:val="bottom"/>
            <w:tcBorders>
              <w:top w:val="single" w:sz="8" w:color="auto"/>
            </w:tcBorders>
            <w:vMerge w:val="restart"/>
          </w:tcPr>
          <w:p>
            <w:pPr>
              <w:jc w:val="right"/>
              <w:ind w:right="543"/>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tcBorders>
            <w:vMerge w:val="restart"/>
          </w:tcPr>
          <w:p>
            <w:pPr>
              <w:jc w:val="right"/>
              <w:ind w:right="56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January 31, 2013</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January 31, 2012</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0"/>
              </w:rPr>
              <w:t>January 31, 2011</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198.1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11.0</w:t>
            </w:r>
          </w:p>
        </w:tc>
        <w:tc>
          <w:tcPr>
            <w:tcW w:w="1320" w:type="dxa"/>
            <w:vAlign w:val="bottom"/>
          </w:tcPr>
          <w:p>
            <w:pPr>
              <w:jc w:val="right"/>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187.1</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20"/>
                <w:szCs w:val="20"/>
                <w:color w:val="auto"/>
              </w:rPr>
            </w:pPr>
          </w:p>
        </w:tc>
        <w:tc>
          <w:tcPr>
            <w:tcW w:w="580" w:type="dxa"/>
            <w:vAlign w:val="bottom"/>
          </w:tcPr>
          <w:p>
            <w:pPr>
              <w:jc w:val="right"/>
              <w:ind w:right="23"/>
              <w:spacing w:after="0"/>
              <w:rPr>
                <w:sz w:val="20"/>
                <w:szCs w:val="20"/>
                <w:color w:val="auto"/>
              </w:rPr>
            </w:pPr>
            <w:r>
              <w:rPr>
                <w:rFonts w:ascii="Arial" w:cs="Arial" w:eastAsia="Arial" w:hAnsi="Arial"/>
                <w:sz w:val="16"/>
                <w:szCs w:val="16"/>
                <w:color w:val="auto"/>
              </w:rPr>
              <w:t>24.9</w:t>
            </w:r>
          </w:p>
        </w:tc>
        <w:tc>
          <w:tcPr>
            <w:tcW w:w="8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162.2</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Maintenance</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7.6</w:t>
            </w:r>
          </w:p>
        </w:tc>
        <w:tc>
          <w:tcPr>
            <w:tcW w:w="8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84"/>
        </w:trPr>
        <w:tc>
          <w:tcPr>
            <w:tcW w:w="23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238.5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9.4</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rPr>
              <w:t>229.1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32.5</w:t>
            </w:r>
          </w:p>
        </w:tc>
        <w:tc>
          <w:tcPr>
            <w:tcW w:w="8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196.6</w:t>
            </w:r>
          </w:p>
        </w:tc>
        <w:tc>
          <w:tcPr>
            <w:tcW w:w="0" w:type="dxa"/>
            <w:vAlign w:val="bottom"/>
          </w:tcPr>
          <w:p>
            <w:pPr>
              <w:spacing w:after="0"/>
              <w:rPr>
                <w:sz w:val="1"/>
                <w:szCs w:val="1"/>
                <w:color w:val="auto"/>
              </w:rPr>
            </w:pPr>
          </w:p>
        </w:tc>
      </w:tr>
      <w:tr>
        <w:trPr>
          <w:trHeight w:val="224"/>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2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Cost of license and other revenue includes labor costs of order fulfillment and costs of fulfilling consulting and training services contracts and collaborative project management services contracts. Cost of license and other revenue also includes stock-based compensation expense, direct material and overhead charges, amortization of purchased technology, professional services fees and royalties. Direct material and overhead charges include the cost of hardware sold (mainly PC-based workstations for Creative Finishing in the M&amp;E segment), costs associated with transferring our software to electronic media, printing of user manuals and packaging materials, and shipping and handling costs.</w:t>
      </w:r>
    </w:p>
    <w:p>
      <w:pPr>
        <w:spacing w:after="0" w:line="17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Cost of license and other revenue increased 6% during fiscal 2013, as compared to fiscal 2012, primarily due to an increase in cloud services-related expenses. Cost of license and other revenue increased 15% during fiscal 2012, as compared to fiscal 2011, primarily due to increased support costs and lower margin consulting engagements.</w:t>
      </w:r>
    </w:p>
    <w:p>
      <w:pPr>
        <w:spacing w:after="0" w:line="18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Cost of maintenance revenue includes labor costs of providing product support to our maintenance customers, including stock-based compensation expense for these employees, rent and occupancy, shipping and handling costs, and professional services fees. Cost of maintenance revenue decreased 4% during fiscal 2013 as compared to fiscal 2012 primarily due to an increase in electronic fulfillment. Cost of maintenance revenue increased 22% during fiscal 2012 as compared to fiscal 2011 due to an increase in maintenance support headcount and increased annual fulfillment costs related to supplying USB flash drives of our suites products.</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expect cost of revenue to increase in absolute dollars and slightly increase as a percentage of net revenue during fiscal 2014, as compared to fiscal 2013, primarily due to an increase in costs associated with meeting our major business initiatives.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Marketing and Sales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4"/>
                <w:szCs w:val="14"/>
                <w:b w:val="1"/>
                <w:bCs w:val="1"/>
                <w:color w:val="auto"/>
                <w:w w:val="95"/>
              </w:rPr>
              <w:t>Increase compared to</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1"/>
              </w:rPr>
              <w:t>Increase compared to</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138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w w:val="97"/>
              </w:rPr>
              <w:t>Fiscal Year Ended</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prior fiscal year</w:t>
            </w:r>
          </w:p>
        </w:tc>
        <w:tc>
          <w:tcPr>
            <w:tcW w:w="340" w:type="dxa"/>
            <w:vAlign w:val="bottom"/>
            <w:tcBorders>
              <w:bottom w:val="single" w:sz="8" w:color="auto"/>
            </w:tcBorders>
          </w:tcPr>
          <w:p>
            <w:pPr>
              <w:spacing w:after="0"/>
              <w:rPr>
                <w:sz w:val="16"/>
                <w:szCs w:val="16"/>
                <w:color w:val="auto"/>
              </w:rPr>
            </w:pPr>
          </w:p>
        </w:tc>
        <w:tc>
          <w:tcPr>
            <w:tcW w:w="1480" w:type="dxa"/>
            <w:vAlign w:val="bottom"/>
            <w:gridSpan w:val="2"/>
            <w:vMerge w:val="restart"/>
          </w:tcPr>
          <w:p>
            <w:pPr>
              <w:jc w:val="right"/>
              <w:ind w:right="103"/>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3"/>
              </w:rPr>
              <w:t>prior fiscal year</w:t>
            </w:r>
          </w:p>
        </w:tc>
        <w:tc>
          <w:tcPr>
            <w:tcW w:w="300" w:type="dxa"/>
            <w:vAlign w:val="bottom"/>
            <w:tcBorders>
              <w:bottom w:val="single" w:sz="8" w:color="auto"/>
            </w:tcBorders>
          </w:tcPr>
          <w:p>
            <w:pPr>
              <w:spacing w:after="0"/>
              <w:rPr>
                <w:sz w:val="16"/>
                <w:szCs w:val="16"/>
                <w:color w:val="auto"/>
              </w:rPr>
            </w:pPr>
          </w:p>
        </w:tc>
        <w:tc>
          <w:tcPr>
            <w:tcW w:w="140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9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vMerge w:val="restart"/>
          </w:tcPr>
          <w:p>
            <w:pPr>
              <w:jc w:val="right"/>
              <w:ind w:right="125"/>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0"/>
              </w:rPr>
              <w:t>January 31, 2013</w:t>
            </w:r>
          </w:p>
        </w:tc>
        <w:tc>
          <w:tcPr>
            <w:tcW w:w="4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0"/>
              </w:rPr>
              <w:t>January 31, 2012</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0"/>
              </w:rPr>
              <w:t>January 31, 2011</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32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875.5</w:t>
            </w:r>
          </w:p>
        </w:tc>
        <w:tc>
          <w:tcPr>
            <w:tcW w:w="44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32.9</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2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842.6</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85"/>
              <w:spacing w:after="0"/>
              <w:rPr>
                <w:sz w:val="20"/>
                <w:szCs w:val="20"/>
                <w:color w:val="auto"/>
              </w:rPr>
            </w:pPr>
            <w:r>
              <w:rPr>
                <w:rFonts w:ascii="Arial" w:cs="Arial" w:eastAsia="Arial" w:hAnsi="Arial"/>
                <w:sz w:val="16"/>
                <w:szCs w:val="16"/>
                <w:color w:val="auto"/>
              </w:rPr>
              <w:t>66.6</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776.0</w:t>
            </w:r>
          </w:p>
        </w:tc>
        <w:tc>
          <w:tcPr>
            <w:tcW w:w="0" w:type="dxa"/>
            <w:vAlign w:val="bottom"/>
          </w:tcPr>
          <w:p>
            <w:pPr>
              <w:spacing w:after="0"/>
              <w:rPr>
                <w:sz w:val="1"/>
                <w:szCs w:val="1"/>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38%</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and the expense of travel, entertainment and training for such personnel, and the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w:t>
      </w:r>
    </w:p>
    <w:p>
      <w:pPr>
        <w:spacing w:after="0" w:line="18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Marketing and sales expenses increased 4% during fiscal 2013, as compared to fiscal 2012, primarily due to higher employee-related costs from salaries and fringe benefits and stock-based compensation primarily associated with increased headcount and merit increases in fiscal 2013. These costs were partially offset by a decrease in professional fees and advertising costs. Marketing and sales expenses increased 9% during fiscal 2012, as compared to fiscal 2011, primarily due to higher employee-related costs related to salaries and fringe benefits primarily associated with increased head count and the reinstatement of merit increases in fiscal 2012.</w:t>
      </w:r>
    </w:p>
    <w:p>
      <w:pPr>
        <w:spacing w:after="0" w:line="188"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We expect to balance our need to invest in the marketing and sales of our products with our desire to actively manage our sales and marketing operating expenses. As a result, we expect marketing and sales expense to increase in absolute dollars but remain relatively consistent as a percentage of net revenue in fiscal 2014 as compared to fiscal 2013, primarily due to an increase in costs as we work towards meeting our major business initiatives.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Increase compared to</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6"/>
              <w:spacing w:after="0"/>
              <w:rPr>
                <w:sz w:val="20"/>
                <w:szCs w:val="20"/>
                <w:color w:val="auto"/>
              </w:rPr>
            </w:pPr>
            <w:r>
              <w:rPr>
                <w:rFonts w:ascii="Arial" w:cs="Arial" w:eastAsia="Arial" w:hAnsi="Arial"/>
                <w:sz w:val="14"/>
                <w:szCs w:val="14"/>
                <w:b w:val="1"/>
                <w:bCs w:val="1"/>
                <w:color w:val="auto"/>
                <w:w w:val="87"/>
              </w:rPr>
              <w:t>Increase</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compared to</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400" w:type="dxa"/>
            <w:vAlign w:val="bottom"/>
            <w:gridSpan w:val="2"/>
            <w:vMerge w:val="restart"/>
          </w:tcPr>
          <w:p>
            <w:pPr>
              <w:jc w:val="right"/>
              <w:ind w:right="122"/>
              <w:spacing w:after="0"/>
              <w:rPr>
                <w:sz w:val="20"/>
                <w:szCs w:val="20"/>
                <w:color w:val="auto"/>
              </w:rPr>
            </w:pPr>
            <w:r>
              <w:rPr>
                <w:rFonts w:ascii="Arial" w:cs="Arial" w:eastAsia="Arial" w:hAnsi="Arial"/>
                <w:sz w:val="14"/>
                <w:szCs w:val="14"/>
                <w:b w:val="1"/>
                <w:bCs w:val="1"/>
                <w:color w:val="auto"/>
                <w:w w:val="97"/>
              </w:rPr>
              <w:t>Fiscal Year Ended</w:t>
            </w:r>
          </w:p>
        </w:tc>
        <w:tc>
          <w:tcPr>
            <w:tcW w:w="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500" w:type="dxa"/>
            <w:vAlign w:val="bottom"/>
            <w:gridSpan w:val="2"/>
            <w:vMerge w:val="restart"/>
          </w:tcPr>
          <w:p>
            <w:pPr>
              <w:jc w:val="right"/>
              <w:ind w:right="103"/>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440" w:type="dxa"/>
            <w:vAlign w:val="bottom"/>
            <w:tcBorders>
              <w:bottom w:val="single" w:sz="8" w:color="auto"/>
            </w:tcBorders>
          </w:tcPr>
          <w:p>
            <w:pPr>
              <w:spacing w:after="0"/>
              <w:rPr>
                <w:sz w:val="16"/>
                <w:szCs w:val="16"/>
                <w:color w:val="auto"/>
              </w:rPr>
            </w:pPr>
          </w:p>
        </w:tc>
        <w:tc>
          <w:tcPr>
            <w:tcW w:w="140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5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tcPr>
          <w:p>
            <w:pPr>
              <w:jc w:val="right"/>
              <w:ind w:right="46"/>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0"/>
              </w:rPr>
              <w:t>January 31, 2013</w:t>
            </w:r>
          </w:p>
        </w:tc>
        <w:tc>
          <w:tcPr>
            <w:tcW w:w="50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2"/>
              </w:rPr>
              <w:t>January 31, 2012</w:t>
            </w: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0"/>
              </w:rPr>
              <w:t>January 31, 2011</w:t>
            </w:r>
          </w:p>
        </w:tc>
        <w:tc>
          <w:tcPr>
            <w:tcW w:w="0" w:type="dxa"/>
            <w:vAlign w:val="bottom"/>
          </w:tcPr>
          <w:p>
            <w:pPr>
              <w:spacing w:after="0"/>
              <w:rPr>
                <w:sz w:val="1"/>
                <w:szCs w:val="1"/>
                <w:color w:val="auto"/>
              </w:rPr>
            </w:pPr>
          </w:p>
        </w:tc>
      </w:tr>
      <w:tr>
        <w:trPr>
          <w:trHeight w:val="250"/>
        </w:trPr>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38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600.0</w:t>
            </w:r>
          </w:p>
        </w:tc>
        <w:tc>
          <w:tcPr>
            <w:tcW w:w="500" w:type="dxa"/>
            <w:vAlign w:val="bottom"/>
            <w:tcBorders>
              <w:bottom w:val="single" w:sz="8" w:color="CCEEFF"/>
            </w:tcBorders>
            <w:shd w:val="clear" w:color="auto" w:fill="CCEEFF"/>
          </w:tcPr>
          <w:p>
            <w:pPr>
              <w:jc w:val="right"/>
              <w:ind w:right="323"/>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33.5</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28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566.5</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66"/>
              <w:spacing w:after="0"/>
              <w:rPr>
                <w:sz w:val="20"/>
                <w:szCs w:val="20"/>
                <w:color w:val="auto"/>
              </w:rPr>
            </w:pPr>
            <w:r>
              <w:rPr>
                <w:rFonts w:ascii="Arial" w:cs="Arial" w:eastAsia="Arial" w:hAnsi="Arial"/>
                <w:sz w:val="16"/>
                <w:szCs w:val="16"/>
                <w:color w:val="auto"/>
              </w:rPr>
              <w:t>70.3</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496.2</w:t>
            </w:r>
          </w:p>
        </w:tc>
        <w:tc>
          <w:tcPr>
            <w:tcW w:w="0" w:type="dxa"/>
            <w:vAlign w:val="bottom"/>
          </w:tcPr>
          <w:p>
            <w:pPr>
              <w:spacing w:after="0"/>
              <w:rPr>
                <w:sz w:val="1"/>
                <w:szCs w:val="1"/>
                <w:color w:val="auto"/>
              </w:rPr>
            </w:pPr>
          </w:p>
        </w:tc>
      </w:tr>
      <w:tr>
        <w:trPr>
          <w:trHeight w:val="237"/>
        </w:trPr>
        <w:tc>
          <w:tcPr>
            <w:tcW w:w="256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26%</w:t>
            </w: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and professional services, such as fees paid to software development firms and independent contractors.</w:t>
      </w:r>
    </w:p>
    <w:p>
      <w:pPr>
        <w:spacing w:after="0" w:line="18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Research and development expenses increased 6% during fiscal 2013, as compared to fiscal 2012, primarily due to an increase in stock-based compensation expense associated with the acquisition of Socialcam in the third quarter of fiscal 2013 and an increase in salaries and fringe benefits primarily due to merit increases in fiscal 2013. Research and development expenses increased 14% during fiscal 2012, as compared to fiscal 2011, primarily due to an increase in salaries and fringe benefits primarily associated with increased headcount and the reinstatement of merit increases in fiscal 2012 and an increase in professional service fees in fiscal 2012 as compared to fiscal 2011.</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We expect research and development expense to increase in absolute dollars, but remain relatively consistent as a percentage of net revenue during fiscal 2014, as compared to fiscal 2013, as we continue to invest in product development in fiscal 2014.</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Increase compared to</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26"/>
              <w:spacing w:after="0"/>
              <w:rPr>
                <w:sz w:val="20"/>
                <w:szCs w:val="20"/>
                <w:color w:val="auto"/>
              </w:rPr>
            </w:pPr>
            <w:r>
              <w:rPr>
                <w:rFonts w:ascii="Arial" w:cs="Arial" w:eastAsia="Arial" w:hAnsi="Arial"/>
                <w:sz w:val="14"/>
                <w:szCs w:val="14"/>
                <w:b w:val="1"/>
                <w:bCs w:val="1"/>
                <w:color w:val="auto"/>
                <w:w w:val="91"/>
              </w:rPr>
              <w:t>Increase</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compared to</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138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w w:val="97"/>
              </w:rPr>
              <w:t>Fiscal Year Ended</w:t>
            </w: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480" w:type="dxa"/>
            <w:vAlign w:val="bottom"/>
            <w:gridSpan w:val="2"/>
            <w:vMerge w:val="restart"/>
          </w:tcPr>
          <w:p>
            <w:pPr>
              <w:jc w:val="right"/>
              <w:ind w:right="103"/>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400" w:type="dxa"/>
            <w:vAlign w:val="bottom"/>
            <w:tcBorders>
              <w:bottom w:val="single" w:sz="8" w:color="auto"/>
            </w:tcBorders>
          </w:tcPr>
          <w:p>
            <w:pPr>
              <w:spacing w:after="0"/>
              <w:rPr>
                <w:sz w:val="16"/>
                <w:szCs w:val="16"/>
                <w:color w:val="auto"/>
              </w:rPr>
            </w:pPr>
          </w:p>
        </w:tc>
        <w:tc>
          <w:tcPr>
            <w:tcW w:w="140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9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vMerge w:val="restart"/>
          </w:tcPr>
          <w:p>
            <w:pPr>
              <w:jc w:val="right"/>
              <w:ind w:right="126"/>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vMerge w:val="restart"/>
          </w:tcPr>
          <w:p>
            <w:pPr>
              <w:jc w:val="right"/>
              <w:ind w:right="26"/>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0"/>
              </w:rPr>
              <w:t>January 31, 2013</w:t>
            </w:r>
          </w:p>
        </w:tc>
        <w:tc>
          <w:tcPr>
            <w:tcW w:w="4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0"/>
              </w:rPr>
              <w:t>January 31, 2012</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0"/>
              </w:rPr>
              <w:t>January 31, 2011</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32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248.4</w:t>
            </w:r>
          </w:p>
        </w:tc>
        <w:tc>
          <w:tcPr>
            <w:tcW w:w="44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25.3</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223.1</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686"/>
              <w:spacing w:after="0"/>
              <w:rPr>
                <w:sz w:val="20"/>
                <w:szCs w:val="20"/>
                <w:color w:val="auto"/>
              </w:rPr>
            </w:pPr>
            <w:r>
              <w:rPr>
                <w:rFonts w:ascii="Arial" w:cs="Arial" w:eastAsia="Arial" w:hAnsi="Arial"/>
                <w:sz w:val="16"/>
                <w:szCs w:val="16"/>
                <w:color w:val="auto"/>
              </w:rPr>
              <w:t>22.3</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60" w:firstLine="432"/>
        <w:spacing w:after="0" w:line="286" w:lineRule="auto"/>
        <w:rPr>
          <w:sz w:val="20"/>
          <w:szCs w:val="20"/>
          <w:color w:val="auto"/>
        </w:rPr>
      </w:pPr>
      <w:r>
        <w:rPr>
          <w:rFonts w:ascii="Arial" w:cs="Arial" w:eastAsia="Arial" w:hAnsi="Arial"/>
          <w:sz w:val="17"/>
          <w:szCs w:val="17"/>
          <w:color w:val="auto"/>
        </w:rPr>
        <w:t>General and administrative expenses include salaries, bonuses, benefits and stock-based compensation expense for our finance, human resources and legal employees, as well as professional fees for legal and accounting services, expenses related to our operating expense hedge activity, amortization of acquisition related customer relationships and trade names, and expense of travel, entertainment and training.</w:t>
      </w:r>
    </w:p>
    <w:p>
      <w:pPr>
        <w:spacing w:after="0" w:line="166"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General and administrative expenses increased 11% from fiscal 2012 to fiscal 2013 primarily due to an increase in amortization of acquisition related customer relationships and trade names and fluctuations in our operating expense hedge activity in fiscal 2013. Also contributing to the increase was an increase in salaries primarily due to merit increases in fiscal 2013 as compared to fiscal 2012. General and administrative expenses increased 11% from fiscal 2011 to fiscal 2012, primarily due to an increase in amortization of acquisition related customer relationships and trade names and the increase in salaries primarily associated with increased head count and the reinstatement of merit increases in fiscal 2012.</w:t>
      </w:r>
    </w:p>
    <w:p>
      <w:pPr>
        <w:spacing w:after="0" w:line="173"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color w:val="auto"/>
        </w:rPr>
        <w:t>We expect general and administrative expense to increase in absolute dollars but remain relatively consistent as a percentage of net revenue during fiscal 2014, as compared to fiscal 2013, primarily due to an increase in costs associated with supporting our major business initiatives.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 Charges (Benefits), Net</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center"/>
              <w:ind w:right="123"/>
              <w:spacing w:after="0"/>
              <w:rPr>
                <w:sz w:val="20"/>
                <w:szCs w:val="20"/>
                <w:color w:val="auto"/>
              </w:rPr>
            </w:pPr>
            <w:r>
              <w:rPr>
                <w:rFonts w:ascii="Arial" w:cs="Arial" w:eastAsia="Arial" w:hAnsi="Arial"/>
                <w:sz w:val="14"/>
                <w:szCs w:val="14"/>
                <w:b w:val="1"/>
                <w:bCs w:val="1"/>
                <w:color w:val="auto"/>
                <w:w w:val="91"/>
              </w:rPr>
              <w:t>Increase compared to</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2"/>
          </w:tcPr>
          <w:p>
            <w:pPr>
              <w:jc w:val="center"/>
              <w:ind w:right="319"/>
              <w:spacing w:after="0"/>
              <w:rPr>
                <w:sz w:val="20"/>
                <w:szCs w:val="20"/>
                <w:color w:val="auto"/>
              </w:rPr>
            </w:pPr>
            <w:r>
              <w:rPr>
                <w:rFonts w:ascii="Arial" w:cs="Arial" w:eastAsia="Arial" w:hAnsi="Arial"/>
                <w:sz w:val="14"/>
                <w:szCs w:val="14"/>
                <w:b w:val="1"/>
                <w:bCs w:val="1"/>
                <w:color w:val="auto"/>
                <w:w w:val="90"/>
              </w:rPr>
              <w:t>Decrease compared to</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36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w w:val="96"/>
              </w:rPr>
              <w:t>Fiscal Year Ended</w:t>
            </w: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103"/>
              <w:spacing w:after="0"/>
              <w:rPr>
                <w:sz w:val="20"/>
                <w:szCs w:val="20"/>
                <w:color w:val="auto"/>
              </w:rPr>
            </w:pPr>
            <w:r>
              <w:rPr>
                <w:rFonts w:ascii="Arial" w:cs="Arial" w:eastAsia="Arial" w:hAnsi="Arial"/>
                <w:sz w:val="14"/>
                <w:szCs w:val="14"/>
                <w:b w:val="1"/>
                <w:bCs w:val="1"/>
                <w:color w:val="auto"/>
                <w:w w:val="93"/>
              </w:rPr>
              <w:t>prior fiscal year</w:t>
            </w:r>
          </w:p>
        </w:tc>
        <w:tc>
          <w:tcPr>
            <w:tcW w:w="1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left="46"/>
              <w:spacing w:after="0"/>
              <w:rPr>
                <w:sz w:val="20"/>
                <w:szCs w:val="20"/>
                <w:color w:val="auto"/>
              </w:rPr>
            </w:pPr>
            <w:r>
              <w:rPr>
                <w:rFonts w:ascii="Arial" w:cs="Arial" w:eastAsia="Arial" w:hAnsi="Arial"/>
                <w:sz w:val="14"/>
                <w:szCs w:val="14"/>
                <w:b w:val="1"/>
                <w:bCs w:val="1"/>
                <w:color w:val="auto"/>
                <w:w w:val="93"/>
              </w:rPr>
              <w:t>prior fiscal year</w:t>
            </w:r>
          </w:p>
        </w:tc>
        <w:tc>
          <w:tcPr>
            <w:tcW w:w="540" w:type="dxa"/>
            <w:vAlign w:val="bottom"/>
            <w:tcBorders>
              <w:bottom w:val="single" w:sz="8" w:color="auto"/>
            </w:tcBorders>
          </w:tcPr>
          <w:p>
            <w:pPr>
              <w:spacing w:after="0"/>
              <w:rPr>
                <w:sz w:val="16"/>
                <w:szCs w:val="16"/>
                <w:color w:val="auto"/>
              </w:rPr>
            </w:pPr>
          </w:p>
        </w:tc>
        <w:tc>
          <w:tcPr>
            <w:tcW w:w="140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88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646"/>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w:t>
            </w:r>
          </w:p>
        </w:tc>
        <w:tc>
          <w:tcPr>
            <w:tcW w:w="1540" w:type="dxa"/>
            <w:vAlign w:val="bottom"/>
            <w:gridSpan w:val="2"/>
            <w:vMerge w:val="continue"/>
          </w:tcPr>
          <w:p>
            <w:pPr>
              <w:spacing w:after="0"/>
              <w:rPr>
                <w:sz w:val="5"/>
                <w:szCs w:val="5"/>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2"/>
              </w:rPr>
              <w:t>January 31, 2013</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4"/>
              </w:rPr>
              <w:t>January 31, 2012</w:t>
            </w:r>
          </w:p>
        </w:tc>
        <w:tc>
          <w:tcPr>
            <w:tcW w:w="4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0"/>
              </w:rPr>
              <w:t>January 31, 2011</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223"/>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 (benefits),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43.9</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6"/>
                <w:szCs w:val="16"/>
                <w:color w:val="auto"/>
              </w:rPr>
              <w:t>45.2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(1.3)</w:t>
            </w:r>
          </w:p>
        </w:tc>
        <w:tc>
          <w:tcPr>
            <w:tcW w:w="44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646"/>
              <w:spacing w:after="0"/>
              <w:rPr>
                <w:sz w:val="20"/>
                <w:szCs w:val="20"/>
                <w:color w:val="auto"/>
              </w:rPr>
            </w:pPr>
            <w:r>
              <w:rPr>
                <w:rFonts w:ascii="Arial" w:cs="Arial" w:eastAsia="Arial" w:hAnsi="Arial"/>
                <w:sz w:val="16"/>
                <w:szCs w:val="16"/>
                <w:color w:val="auto"/>
              </w:rPr>
              <w:t>(12.1)</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0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63"/>
              <w:spacing w:after="0"/>
              <w:rPr>
                <w:sz w:val="20"/>
                <w:szCs w:val="20"/>
                <w:color w:val="auto"/>
              </w:rPr>
            </w:pPr>
            <w:r>
              <w:rPr>
                <w:rFonts w:ascii="Arial" w:cs="Arial" w:eastAsia="Arial" w:hAnsi="Arial"/>
                <w:sz w:val="16"/>
                <w:szCs w:val="16"/>
                <w:color w:val="auto"/>
              </w:rPr>
              <w:t>— %</w:t>
            </w: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During the third quarter of fiscal 2013, Autodesk initiated a restructuring plan that included a reduction in force and the consolidation of certain leased facilities. During fiscal 2013, Autodesk recorded a restructuring charge of $43.9 million. Of this amount, $40.6 million was recorded for one-time termination benefits and other costs and $3.3 million was recorded for facilities-related costs. These termination benefits and facility related liabilities have been substantially paid as of fiscal year ended January 31, 2013. See Note 15, “Restructuring Reserves,” in Notes to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and Other Income,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income, net:</w:t>
      </w:r>
    </w:p>
    <w:p>
      <w:pPr>
        <w:spacing w:after="0" w:line="379"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13335</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income, net (1)</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Gain (loss) on foreign currency</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gain on strategic investments (1)</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net</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comparability, the presentation of the balances at January 31, 2012 and January 31, 2011 was adjusted to align to current year presentation.</w:t>
      </w:r>
    </w:p>
    <w:p>
      <w:pPr>
        <w:spacing w:after="0" w:line="207"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Interest and other income, net, decreased $3.2 million during fiscal 2013, as compared to fiscal 2012, primarily due to a reduction in our net interest and investment income and losses incurred due to impairment of certain strategic investments. A loss on strategic investments occurs when a net reduction in valuation occurs or an impairment is recorded. Impairment results from the determination that the value of the investment is no longer recoverable.</w:t>
      </w:r>
    </w:p>
    <w:p>
      <w:pPr>
        <w:spacing w:after="0" w:line="14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decrease in interest and investment income, net, during fiscal 2013 as compared to fiscal 2012 is primarily due to interest expense resulting from the issuance of $400.0 million aggregate principal amount of 1.95% senior notes due December 15, 2017 and $350.0 million aggregate principal amount of 3.6% senior notes due December 15, 2022, and a decrease in the fair value of our trading securities that are marked-to-market each period. Interest and investment income fluctuates based on average cash, marketable securities and debt balances, average maturities and interest rates.</w:t>
      </w:r>
    </w:p>
    <w:p>
      <w:pPr>
        <w:spacing w:after="0" w:line="171"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Interest and other income, net, increased $6.7 million during fiscal 2012, as compared to fiscal 2011, primarily due to a reduction in foreign currency losses. These losses are due to the impact of re-measuring foreign currency transactions into the functional currency of the corresponding entity. The amount of gain (loss) on foreign currency is driven by the volume of foreign currency transactions and the foreign currency exchange rates for the period.</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Our effective tax rate was 20% and 21% during fiscal 2013 and fiscal 2012, respectively. Our effective tax rate decreased one percentage point from fiscal 2012 to fiscal 2013 due to lower state tax expense and various other items, offset in part by increased non-deductible stock-based compensation expense.</w:t>
      </w:r>
    </w:p>
    <w:p>
      <w:pPr>
        <w:spacing w:after="0" w:line="18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effective tax rate was 21% and 22% during fiscal 2012 and 2011, respectively. Our effective tax rate decreased one percentage point from fiscal 2011 to fiscal 2012 primarily due to an increase in tax benefits from foreign earnings taxed at different rates in fiscal 2012 compared to fiscal 2011, partially offset by tax benefits associated with closure of audits in fiscal 2011.</w:t>
      </w:r>
    </w:p>
    <w:p>
      <w:pPr>
        <w:spacing w:after="0" w:line="18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Asia Pacific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At January 31, 2013, we had net deferred tax assets of $165.0 million. We believe that we will generate sufficient future taxable income in appropriate tax jurisdictions to realize these assets.</w:t>
      </w:r>
    </w:p>
    <w:p>
      <w:pPr>
        <w:spacing w:after="0" w:line="1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For additional information regarding our income tax provision and reconciliation of our effective rate to the federal statutory rate of 35%, see Note 4, “Income Taxes,” in the 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fiscal years ended January 31, 2013, 2012 and 2011, our gross profit, gross margin, income from operations, operating margin, net income and diluted earnings per share on a GAAP and non-GAAP basis were as follows (in millions except for gross margin, operating margin and per share data):</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6"/>
              </w:rPr>
              <w:t>January 31, 2013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2"/>
              </w:rPr>
              <w:t>January 31, 2012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6"/>
              </w:rPr>
              <w:t>January 31, 2011</w:t>
            </w:r>
          </w:p>
        </w:tc>
      </w:tr>
      <w:tr>
        <w:trPr>
          <w:trHeight w:val="250"/>
        </w:trPr>
        <w:tc>
          <w:tcPr>
            <w:tcW w:w="6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2,073.7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1,986.5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1,755.2</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2,118.6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2,028.4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1,790.0</w:t>
            </w:r>
          </w:p>
        </w:tc>
      </w:tr>
      <w:tr>
        <w:trPr>
          <w:trHeight w:val="33"/>
        </w:trPr>
        <w:tc>
          <w:tcPr>
            <w:tcW w:w="6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6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355.6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271.4</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587.9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533.4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418.8</w:t>
            </w:r>
          </w:p>
        </w:tc>
      </w:tr>
      <w:tr>
        <w:trPr>
          <w:trHeight w:val="33"/>
        </w:trPr>
        <w:tc>
          <w:tcPr>
            <w:tcW w:w="6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6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212.0</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Non-GAAP net income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405.4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310.4</w:t>
            </w:r>
          </w:p>
        </w:tc>
      </w:tr>
      <w:tr>
        <w:trPr>
          <w:trHeight w:val="33"/>
        </w:trPr>
        <w:tc>
          <w:tcPr>
            <w:tcW w:w="6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0.90</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Non-GAAP diluted earnings per share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1.32</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7" w:lineRule="exact"/>
        <w:rPr>
          <w:sz w:val="20"/>
          <w:szCs w:val="20"/>
          <w:color w:val="auto"/>
        </w:rPr>
      </w:pPr>
    </w:p>
    <w:p>
      <w:pPr>
        <w:ind w:left="420" w:right="300" w:hanging="412"/>
        <w:spacing w:after="0" w:line="279"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6"/>
          <w:szCs w:val="16"/>
          <w:color w:val="auto"/>
        </w:rPr>
        <w:t>Effective in the second quarter of fiscal 2013, Autodesk began excluding gains and losses on strategic investments for purposes of its non-GAAP financial measures. Prior period non-GAAP interest and other income (expense), net, net income and earnings per share amounts have been revised to conform to the current period presentation.</w:t>
      </w:r>
    </w:p>
    <w:p>
      <w:pPr>
        <w:spacing w:after="0" w:line="178"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For our internal budgeting and resource allocation process, we use non-GAAP measures to supplement our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In addition, these non-GAAP financial measures facilitate comparisons to our historical results and operating guidance as well as that of competitors. We also use these measures for purposes of determining company-wide incentive compensation.</w:t>
      </w:r>
    </w:p>
    <w:p>
      <w:pPr>
        <w:spacing w:after="0" w:line="173"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not meant to be considered in isolation or as a substitute for the directly comparable financial measures prepared in accordance with GAAP. The non-GAAP financial measures are meant to supplement, and be viewed in conjunction with, GAAP financial measures.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163"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13335</wp:posOffset>
            </wp:positionV>
            <wp:extent cx="3018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87" w:lineRule="exact"/>
        <w:rPr>
          <w:sz w:val="20"/>
          <w:szCs w:val="20"/>
          <w:color w:val="auto"/>
        </w:rPr>
      </w:pPr>
    </w:p>
    <w:p>
      <w:pPr>
        <w:jc w:val="both"/>
        <w:ind w:left="7280"/>
        <w:spacing w:after="0"/>
        <w:tabs>
          <w:tab w:leader="none" w:pos="8880" w:val="left"/>
          <w:tab w:leader="none" w:pos="1050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2"/>
          <w:szCs w:val="12"/>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23495</wp:posOffset>
            </wp:positionV>
            <wp:extent cx="30187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5"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profit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margin</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margin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from operations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 (benefits),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income from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margin</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 (benefits),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margin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 (benefits),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(gain) on strategic investments(2)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Discrete tax provision items</w:t>
      </w:r>
    </w:p>
    <w:p>
      <w:pPr>
        <w:spacing w:after="0" w:line="86" w:lineRule="exact"/>
        <w:rPr>
          <w:sz w:val="20"/>
          <w:szCs w:val="20"/>
          <w:color w:val="auto"/>
        </w:rPr>
      </w:pPr>
    </w:p>
    <w:p>
      <w:pPr>
        <w:jc w:val="right"/>
        <w:ind w:right="2660"/>
        <w:spacing w:after="0"/>
        <w:rPr>
          <w:sz w:val="20"/>
          <w:szCs w:val="20"/>
          <w:color w:val="auto"/>
        </w:rPr>
      </w:pPr>
      <w:r>
        <w:rPr>
          <w:rFonts w:ascii="Arial" w:cs="Arial" w:eastAsia="Arial" w:hAnsi="Arial"/>
          <w:sz w:val="16"/>
          <w:szCs w:val="16"/>
          <w:color w:val="auto"/>
        </w:rPr>
        <w:t>Income tax effect of non-GAAP adjustments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2,073.7</w:t>
            </w:r>
          </w:p>
        </w:tc>
        <w:tc>
          <w:tcPr>
            <w:tcW w:w="10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1,986.5</w:t>
            </w:r>
          </w:p>
        </w:tc>
        <w:tc>
          <w:tcPr>
            <w:tcW w:w="10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1,755.2</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2.9</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31.9</w:t>
            </w:r>
          </w:p>
        </w:tc>
      </w:tr>
      <w:tr>
        <w:trPr>
          <w:trHeight w:val="33"/>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2,118.6</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2,028.4</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1,790.0</w:t>
            </w:r>
          </w:p>
        </w:tc>
      </w:tr>
      <w:tr>
        <w:trPr>
          <w:trHeight w:val="33"/>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4"/>
        </w:trPr>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70"/>
        </w:trPr>
        <w:tc>
          <w:tcPr>
            <w:tcW w:w="500" w:type="dxa"/>
            <w:vAlign w:val="bottom"/>
          </w:tcPr>
          <w:p>
            <w:pPr>
              <w:spacing w:after="0"/>
              <w:rPr>
                <w:sz w:val="23"/>
                <w:szCs w:val="23"/>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4"/>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305.9</w:t>
            </w:r>
          </w:p>
        </w:tc>
        <w:tc>
          <w:tcPr>
            <w:tcW w:w="10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355.6</w:t>
            </w:r>
          </w:p>
        </w:tc>
        <w:tc>
          <w:tcPr>
            <w:tcW w:w="10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271.4</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156.3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80.7</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55.9</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10.8</w:t>
            </w:r>
          </w:p>
        </w:tc>
      </w:tr>
      <w:tr>
        <w:trPr>
          <w:trHeight w:val="33"/>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587.9</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533.4</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418.8</w:t>
            </w:r>
          </w:p>
        </w:tc>
      </w:tr>
      <w:tr>
        <w:trPr>
          <w:trHeight w:val="33"/>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4"/>
        </w:trPr>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70"/>
        </w:trPr>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4"/>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247.4</w:t>
            </w:r>
          </w:p>
        </w:tc>
        <w:tc>
          <w:tcPr>
            <w:tcW w:w="10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285.3</w:t>
            </w:r>
          </w:p>
        </w:tc>
        <w:tc>
          <w:tcPr>
            <w:tcW w:w="10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212.0</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156.3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80.7</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55.9</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10.8</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-3991610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-3640455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-3288665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-2936875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-2585720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-2242185</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-1882140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-1539240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-1187450</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-835660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-492760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-149860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5940" w:space="720"/>
            <w:col w:w="47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405.1</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308.4</w:t>
            </w:r>
          </w:p>
        </w:tc>
        <w:tc>
          <w:tcPr>
            <w:tcW w:w="0" w:type="dxa"/>
            <w:vAlign w:val="bottom"/>
          </w:tcPr>
          <w:p>
            <w:pPr>
              <w:spacing w:after="0"/>
              <w:rPr>
                <w:sz w:val="1"/>
                <w:szCs w:val="1"/>
                <w:color w:val="auto"/>
              </w:rPr>
            </w:pPr>
          </w:p>
        </w:tc>
      </w:tr>
      <w:tr>
        <w:trPr>
          <w:trHeight w:val="73"/>
        </w:trPr>
        <w:tc>
          <w:tcPr>
            <w:tcW w:w="666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6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income per share</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37"/>
        </w:trPr>
        <w:tc>
          <w:tcPr>
            <w:tcW w:w="66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56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33"/>
        </w:trPr>
        <w:tc>
          <w:tcPr>
            <w:tcW w:w="6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intangibles(1)</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37"/>
        </w:trPr>
        <w:tc>
          <w:tcPr>
            <w:tcW w:w="6660" w:type="dxa"/>
            <w:vAlign w:val="bottom"/>
          </w:tcPr>
          <w:p>
            <w:pPr>
              <w:ind w:left="380"/>
              <w:spacing w:after="0"/>
              <w:rPr>
                <w:sz w:val="20"/>
                <w:szCs w:val="20"/>
                <w:color w:val="auto"/>
              </w:rPr>
            </w:pPr>
            <w:r>
              <w:rPr>
                <w:rFonts w:ascii="Arial" w:cs="Arial" w:eastAsia="Arial" w:hAnsi="Arial"/>
                <w:sz w:val="16"/>
                <w:szCs w:val="16"/>
                <w:color w:val="auto"/>
              </w:rPr>
              <w:t>Impairment of goodwill</w:t>
            </w:r>
          </w:p>
        </w:tc>
        <w:tc>
          <w:tcPr>
            <w:tcW w:w="5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(benefits), net</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37"/>
        </w:trPr>
        <w:tc>
          <w:tcPr>
            <w:tcW w:w="6660" w:type="dxa"/>
            <w:vAlign w:val="bottom"/>
          </w:tcPr>
          <w:p>
            <w:pPr>
              <w:ind w:left="380"/>
              <w:spacing w:after="0"/>
              <w:rPr>
                <w:sz w:val="20"/>
                <w:szCs w:val="20"/>
                <w:color w:val="auto"/>
              </w:rPr>
            </w:pPr>
            <w:r>
              <w:rPr>
                <w:rFonts w:ascii="Arial" w:cs="Arial" w:eastAsia="Arial" w:hAnsi="Arial"/>
                <w:sz w:val="16"/>
                <w:szCs w:val="16"/>
                <w:color w:val="auto"/>
              </w:rPr>
              <w:t>Loss (gain) on strategic investments(2)</w:t>
            </w:r>
          </w:p>
        </w:tc>
        <w:tc>
          <w:tcPr>
            <w:tcW w:w="56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33"/>
        </w:trPr>
        <w:tc>
          <w:tcPr>
            <w:tcW w:w="6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provision items</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7"/>
        </w:trPr>
        <w:tc>
          <w:tcPr>
            <w:tcW w:w="6660" w:type="dxa"/>
            <w:vAlign w:val="bottom"/>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5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33"/>
        </w:trPr>
        <w:tc>
          <w:tcPr>
            <w:tcW w:w="66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diluted net income per share</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00" w:hanging="412"/>
        <w:spacing w:after="0" w:line="249" w:lineRule="auto"/>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Amortization of purchased intangibles includes amortization of purchased developed technology, customer relationships, and trade names for acquisitions subsequent to December 2005.</w:t>
      </w:r>
    </w:p>
    <w:p>
      <w:pPr>
        <w:ind w:left="420" w:right="300" w:hanging="412"/>
        <w:spacing w:after="0" w:line="252" w:lineRule="auto"/>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Effective in the second quarter of fiscal 2013, Autodesk began excluding gains and losses on strategic investments for purposes of its non-GAAP financial measures. Prior period non-GAAP interest and other income (expense), net, net income and earnings per share amounts have been revised to conform to the current period presentation.</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46</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non-GAAP financial measures as set forth in the table above exclude the following:</w:t>
      </w:r>
    </w:p>
    <w:p>
      <w:pPr>
        <w:spacing w:after="0" w:line="22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i w:val="1"/>
          <w:iCs w:val="1"/>
          <w:color w:val="auto"/>
        </w:rPr>
        <w:t>Stock-based compensation expenses</w:t>
      </w:r>
      <w:r>
        <w:rPr>
          <w:rFonts w:ascii="Arial" w:cs="Arial" w:eastAsia="Arial" w:hAnsi="Arial"/>
          <w:sz w:val="18"/>
          <w:szCs w:val="18"/>
          <w:color w:val="auto"/>
        </w:rPr>
        <w:t>. We exclude stock-based compensation expenses from non-GAAP measures primarily because they are non-cash</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i w:val="1"/>
          <w:iCs w:val="1"/>
          <w:color w:val="auto"/>
        </w:rPr>
        <w:t>Amortization of purchased intangibles</w:t>
      </w:r>
      <w:r>
        <w:rPr>
          <w:rFonts w:ascii="Arial" w:cs="Arial" w:eastAsia="Arial" w:hAnsi="Arial"/>
          <w:sz w:val="18"/>
          <w:szCs w:val="18"/>
          <w:color w:val="auto"/>
        </w:rPr>
        <w:t>. We incur amortization of acquisition-related purchased intangible assets in connection with acquisitions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businesses and technologies. The amortization of purchased intangibles varies depending on the level of acquisition activity and management finds it useful to exclude these variable charges to assess the appropriate level of various operating expenses to assist in budgeting, planning and forecasting future periods.</w:t>
      </w:r>
    </w:p>
    <w:p>
      <w:pPr>
        <w:spacing w:after="0" w:line="187"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i w:val="1"/>
          <w:iCs w:val="1"/>
          <w:color w:val="auto"/>
        </w:rPr>
        <w:t>Goodwill impairment</w:t>
      </w:r>
      <w:r>
        <w:rPr>
          <w:rFonts w:ascii="Arial" w:cs="Arial" w:eastAsia="Arial" w:hAnsi="Arial"/>
          <w:sz w:val="18"/>
          <w:szCs w:val="18"/>
          <w:color w:val="auto"/>
        </w:rPr>
        <w:t>. 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i w:val="1"/>
          <w:iCs w:val="1"/>
          <w:color w:val="auto"/>
        </w:rPr>
        <w:t>Restructuring charges (benefits), net</w:t>
      </w:r>
      <w:r>
        <w:rPr>
          <w:rFonts w:ascii="Arial" w:cs="Arial" w:eastAsia="Arial" w:hAnsi="Arial"/>
          <w:sz w:val="18"/>
          <w:szCs w:val="18"/>
          <w:color w:val="auto"/>
        </w:rPr>
        <w:t>. These expenses are associated with realigning our business strategies based on current economic conditions.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these restructuring actions, we recognize costs related to termination benefits for former employees whose positions were eliminated, and the closure of facilities and cancellation of certain contracts. We exclude these charges because these expenses are not reflective of ongoing financial results in the current period.</w:t>
      </w:r>
    </w:p>
    <w:p>
      <w:pPr>
        <w:spacing w:after="0" w:line="187"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i w:val="1"/>
          <w:iCs w:val="1"/>
          <w:color w:val="auto"/>
        </w:rPr>
        <w:t xml:space="preserve">Loss (gain) on strategic investments. </w:t>
      </w:r>
      <w:r>
        <w:rPr>
          <w:rFonts w:ascii="Arial" w:cs="Arial" w:eastAsia="Arial" w:hAnsi="Arial"/>
          <w:sz w:val="16"/>
          <w:szCs w:val="16"/>
          <w:color w:val="auto"/>
        </w:rPr>
        <w:t>We exclude gains and losses related to our strategic investments from our non-GAAP measures primarily because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finds it useful to exclude these variable gains and losses on these investments in assessing our financial results. Included in these amounts are non-cash unrealized gains and losses on the derivative components and realized gains and losses on the sale or losses on the impairment of these investments.</w:t>
      </w:r>
    </w:p>
    <w:p>
      <w:pPr>
        <w:spacing w:after="0" w:line="147" w:lineRule="exact"/>
        <w:rPr>
          <w:sz w:val="20"/>
          <w:szCs w:val="20"/>
          <w:color w:val="auto"/>
        </w:rPr>
      </w:pPr>
    </w:p>
    <w:p>
      <w:pPr>
        <w:jc w:val="both"/>
        <w:ind w:right="580" w:firstLine="405"/>
        <w:spacing w:after="0" w:line="264" w:lineRule="auto"/>
        <w:rPr>
          <w:sz w:val="20"/>
          <w:szCs w:val="20"/>
          <w:color w:val="auto"/>
        </w:rPr>
      </w:pPr>
      <w:r>
        <w:rPr>
          <w:rFonts w:ascii="Arial" w:cs="Arial" w:eastAsia="Arial" w:hAnsi="Arial"/>
          <w:sz w:val="18"/>
          <w:szCs w:val="18"/>
          <w:i w:val="1"/>
          <w:iCs w:val="1"/>
          <w:color w:val="auto"/>
        </w:rPr>
        <w:t>Establishment of a valuation allowance on certain net deferred tax assets</w:t>
      </w:r>
      <w:r>
        <w:rPr>
          <w:rFonts w:ascii="Arial" w:cs="Arial" w:eastAsia="Arial" w:hAnsi="Arial"/>
          <w:sz w:val="18"/>
          <w:szCs w:val="18"/>
          <w:color w:val="auto"/>
        </w:rPr>
        <w:t>. This is a non-cash charge to record a valuation allowance on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i w:val="1"/>
          <w:iCs w:val="1"/>
          <w:color w:val="auto"/>
        </w:rPr>
        <w:t>Discrete tax items</w:t>
      </w:r>
      <w:r>
        <w:rPr>
          <w:rFonts w:ascii="Arial" w:cs="Arial" w:eastAsia="Arial" w:hAnsi="Arial"/>
          <w:sz w:val="16"/>
          <w:szCs w:val="16"/>
          <w:color w:val="auto"/>
        </w:rPr>
        <w:t>. We exclude the GAAP tax provision, including discrete items, from the non-GAAP measure of income, and include a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w:t>
      </w:r>
    </w:p>
    <w:p>
      <w:pPr>
        <w:spacing w:after="0" w:line="16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i w:val="1"/>
          <w:iCs w:val="1"/>
          <w:color w:val="auto"/>
        </w:rPr>
        <w:t>Income tax effects on the difference between GAAP and non-GAAP costs and expenses</w:t>
      </w:r>
      <w:r>
        <w:rPr>
          <w:rFonts w:ascii="Arial" w:cs="Arial" w:eastAsia="Arial" w:hAnsi="Arial"/>
          <w:sz w:val="18"/>
          <w:szCs w:val="18"/>
          <w:color w:val="auto"/>
        </w:rPr>
        <w:t>. The income tax effects that are excluded from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relate to the tax impact on the difference between GAAP and non-GAAP costs and expenses, primarily due to stock-based compensation, purchased intangibles and restructuring for GAAP and non-GAAP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40" w:firstLine="405"/>
        <w:spacing w:after="0" w:line="279" w:lineRule="auto"/>
        <w:rPr>
          <w:sz w:val="20"/>
          <w:szCs w:val="20"/>
          <w:color w:val="auto"/>
        </w:rPr>
      </w:pPr>
      <w:r>
        <w:rPr>
          <w:rFonts w:ascii="Arial" w:cs="Arial" w:eastAsia="Arial" w:hAnsi="Arial"/>
          <w:sz w:val="17"/>
          <w:szCs w:val="17"/>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7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At January 31, 2013, our principal sources of liquidity were cash, cash equivalents and marketable securities totaling $2,365.4 million and net accounts receivable of $495.1 million.</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December 2012, we issued $400.0 million aggregate principal amount of 1.95% senior notes due December 15, 2017 and $350.0 million aggregate principal amount of 3.6% senior notes due December 15, 2022, (collectively, the "Senior Notes"). In addition, we have a line of credit facility that permits unsecured short-term borrowings of up to $400.0 million. This line of credit facility was entered into in May 2011 and expires in 2016. During fiscal 2013, we borrowed $110.0 million under the credit facility. In the fourth quarter of fiscal 2013, we re-paid the outstanding balance on our credit facility with a portion of the</w:t>
      </w: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net proceeds from the sale of the Senior Notes issued in December 2012. Borrowings under the credit facility and the remaining net proceeds from the offering of the Senior Notes are available for general corporate purposes.</w:t>
      </w:r>
    </w:p>
    <w:p>
      <w:pPr>
        <w:spacing w:after="0" w:line="170"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Our cash and cash equivalents are held by diversified financial institutions globally. Our primary commercial banking relationship is with Citibank and its global affiliates (“Citibank”). In addition, Citibank is one of the lead lenders and agent in the syndicate of our $400.0 million line of credit.</w:t>
      </w:r>
    </w:p>
    <w:p>
      <w:pPr>
        <w:spacing w:after="0" w:line="147"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increase in our cash, cash equivalents and marketable securities to $2,365.4 million at January 31, 2013 from $1,604.1 million at January 31, 2012 is principally the proceeds from the issuance of our Senior Notes and the result of cash generated from operations. These increases to cash, cash equivalents and marketable securities were partially offset by cash used for repurchases of our common stock (net of stock issuance proceeds), acquisitions including business combinations and technology purchases, capital expenditures, and other investing activities.</w:t>
      </w:r>
    </w:p>
    <w:p>
      <w:pPr>
        <w:spacing w:after="0" w:line="171"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The primary source for net cash provided by operating activities of $559.1 million for fiscal 2013 was net income of $247.4 million increased by the effect of non-cash expenses totaling $284.1 million associated with depreciation, amortization, accretion and stock-based compensation. In addition, net cash flow used by changes in operating assets and liabilities was $10.1 million. The primary source of working capital was an increase in deferred revenue due to higher maintenance billings for fiscal 2013 compared to fiscal 2012. The primary working capital uses of cash were increases in accounts receivable due to higher billings in fiscal 2013 compared to fiscal 2012. Our days sales outstanding in trade receivables was 74 at January 31, 2013 compared to 61 at January 31, 2012. The increase in days sales outstanding is due to higher billings in the last month of fiscal 2013 compared to the last month of fiscal 2012.</w:t>
      </w:r>
    </w:p>
    <w:p>
      <w:pPr>
        <w:spacing w:after="0" w:line="16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At January 31, 2013, our short-term investment portfolio had an estimated fair value of $342.1 million and a cost basis of $337.8 million. The portfolio fair value consisted of $123.0 million invested in commercial paper and corporate securities, $83.3 million invested in U.S treasury securities, $79.5 million invested in U.S. government agency securities, $35.3 million invested in mutual funds, $15.1 million invested in certificates of deposit and time deposits with remaining maturities at the date of purchase greater than 90 days and less than one year, $4.6 million invested in municipal securities, $1.0 million invested in sovereign debt and $0.3 million invested in other short-term securities.</w:t>
      </w:r>
    </w:p>
    <w:p>
      <w:pPr>
        <w:spacing w:after="0" w:line="188"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color w:val="auto"/>
        </w:rPr>
        <w:t>At January 31, 2013, $35.3 million of trading securities were invested in a defined set of mutual funds as directed by the participants in our Deferred Compensation Plan (see Note 6, “Deferred Compensation,” in the Notes to Consolidated Financial Statements for further discussion).</w:t>
      </w:r>
    </w:p>
    <w:p>
      <w:pPr>
        <w:spacing w:after="0" w:line="14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the acquisition of businesses, software products, or technologies complementary to our business; stock repurchases; and capital expenditures, including the purchase and implementation of internal-use software applications.</w:t>
      </w:r>
    </w:p>
    <w:p>
      <w:pPr>
        <w:spacing w:after="0" w:line="181" w:lineRule="exact"/>
        <w:rPr>
          <w:sz w:val="20"/>
          <w:szCs w:val="20"/>
          <w:color w:val="auto"/>
        </w:rPr>
      </w:pPr>
    </w:p>
    <w:p>
      <w:pPr>
        <w:ind w:right="320" w:firstLine="405"/>
        <w:spacing w:after="0" w:line="293" w:lineRule="auto"/>
        <w:rPr>
          <w:sz w:val="20"/>
          <w:szCs w:val="20"/>
          <w:color w:val="auto"/>
        </w:rPr>
      </w:pPr>
      <w:r>
        <w:rPr>
          <w:rFonts w:ascii="Arial" w:cs="Arial" w:eastAsia="Arial" w:hAnsi="Arial"/>
          <w:sz w:val="16"/>
          <w:szCs w:val="16"/>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acquire products, technology and businesses as compelling opportunities become available. In fiscal 2013 and 2012, we increased spend on acquisitions in comparison to previous years, but our decision to acquire businesses or technology is dependent on our business needs, the availability of suitable sellers and technology, and our own financial condition.</w:t>
      </w:r>
    </w:p>
    <w:p>
      <w:pPr>
        <w:spacing w:after="0" w:line="16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Our cash, cash equivalent and marketable securities balances are concentrated in a few locations around the world, with substantial amounts held outside of the U.S.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regularly review our capital structure and consider a variety of potential financing alternatives and planning strategies to ensure we have the proper liquidity available in the locations in which it is needed.</w:t>
      </w:r>
    </w:p>
    <w:p>
      <w:pPr>
        <w:spacing w:after="0" w:line="18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existing cash, cash equivalents and investment balances may decline in fiscal 2013 in the event of a weakening of the global economy or changes in our planned cash outlay. Cash from operations could also be affected by various risks and uncertainties, including, but not limited to the risks detailed in Part I, Item 1A titled “Risk Factors.” However, based on our current business plan and revenue prospects, we believe that our existing balances, our anticipated cash flows from operations</w:t>
      </w: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48</w:t>
      </w:r>
    </w:p>
    <w:p>
      <w:pPr>
        <w:sectPr>
          <w:pgSz w:w="11900" w:h="16838" w:orient="portrait"/>
          <w:cols w:equalWidth="0" w:num="1">
            <w:col w:w="11380"/>
          </w:cols>
          <w:pgMar w:left="240" w:top="125" w:right="27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and our available credit facility will be sufficient to meet our working capital and operating resource expenditure requirements for at least the next 12 months. Our existing credit facility at March 18, 2013 is $400.0 million of which we have no amounts outstanding. This credit facility is available for working capital and general corporate purposes. In addition, as of March 18, 2013, we have $750.0 million aggregate principal amount of Senior Notes outstanding.</w:t>
      </w:r>
    </w:p>
    <w:p>
      <w:pPr>
        <w:spacing w:after="0" w:line="147"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Our revenue, earnings, cash flows, receivables and payables are subject to fluctuations due to changes in foreign currency exchange rates. Our risk management strategy uses foreign currency contracts to manage our exposure to foreign currency volatility that exists as part of our ongoing business operations. We use hedge contracts, such as cash flow hedges. to reduce the exchange rate impact on a portion of the net revenue or operating expense of certain anticipated transactions. In addition, we use hedge contracts, such as balance sheet hedges, to reduce the exchange rate risk associated primarily with foreign currency denominated receivables and payables. As of January 31, 2013 and 2012, we had open cash flow and balance sheet related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$438.2 million and $494.7 million at January 31, 2013 and 2012,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following table summarizes our significant financial contractual obligations at January 31, 2013 and the effect such obligations are expected to have on our liquidity and cash flows in future periods.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Fiscal 2014</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Fiscal Years 2015-</w:t>
            </w:r>
          </w:p>
        </w:tc>
        <w:tc>
          <w:tcPr>
            <w:tcW w:w="10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Years 2017-</w:t>
            </w:r>
          </w:p>
        </w:tc>
        <w:tc>
          <w:tcPr>
            <w:tcW w:w="240" w:type="dxa"/>
            <w:vAlign w:val="bottom"/>
          </w:tcPr>
          <w:p>
            <w:pPr>
              <w:spacing w:after="0"/>
              <w:rPr>
                <w:sz w:val="14"/>
                <w:szCs w:val="14"/>
                <w:color w:val="auto"/>
              </w:rPr>
            </w:pPr>
          </w:p>
        </w:tc>
        <w:tc>
          <w:tcPr>
            <w:tcW w:w="112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388.7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Operating lease obligations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289.3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98.4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Deferred compensation obligations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obligations(1)</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Total(2)</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482.0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obligations include future sabbatical obligations and asset retirement obligations.</w:t>
      </w:r>
    </w:p>
    <w:p>
      <w:pPr>
        <w:spacing w:after="0" w:line="9" w:lineRule="exact"/>
        <w:rPr>
          <w:rFonts w:ascii="Arial" w:cs="Arial" w:eastAsia="Arial" w:hAnsi="Arial"/>
          <w:sz w:val="16"/>
          <w:szCs w:val="16"/>
          <w:color w:val="auto"/>
        </w:rPr>
      </w:pPr>
    </w:p>
    <w:p>
      <w:pPr>
        <w:ind w:left="420" w:right="120" w:hanging="412"/>
        <w:spacing w:after="0" w:line="252" w:lineRule="auto"/>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table generally excludes amounts already recorded on the balance sheet as current liabilities, certain purchase obligations as discussed below, long term deferred revenue and amounts related to income tax liabilities for uncertain tax positions, since we cannot predict with reasonable reliability the timing of cash settlements to the respective taxing authorities (see Note 4, “Income Taxes” to the Notes to Consolidated Financial Statements).</w:t>
      </w:r>
    </w:p>
    <w:p>
      <w:pPr>
        <w:spacing w:after="0" w:line="18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Notes consist of senior notes issued in December 2012. The notes consisted of $400.0 million aggregate principal amount of 1.95% senior notes due December 15, 2017 notes and $350.0 million aggregate principal amount of 3.6% senior notes due December 15, 2022.</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Operating lease obligations consist primarily of obligations for facilities, net of sublease income, computer equipment and other equipment leases.</w:t>
      </w:r>
    </w:p>
    <w:p>
      <w:pPr>
        <w:spacing w:after="0" w:line="237"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Purchase obligations are contractual obligations for purchase of goods or services and are defined as agreements that are enforceable and legally binding on Autodesk and that specify all significant terms, including: fixed or minimum quantities to be purchased; fixed, minimum or variable price provisions; and the approximate timing of the transaction. Purchase obligations relate primarily to hosting services agreements, IT infrastructure costs, and marketing costs.</w:t>
      </w:r>
    </w:p>
    <w:p>
      <w:pPr>
        <w:spacing w:after="0" w:line="18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Deferred compensation obligations relate to amounts held in a rabbi trust under our non-qualified deferred compensation plan. See Note 6, “Deferred Compensation,” in our Notes to Consolidated Financial Statements for further information regarding this plan.</w:t>
      </w:r>
    </w:p>
    <w:p>
      <w:pPr>
        <w:spacing w:after="0" w:line="170" w:lineRule="exact"/>
        <w:rPr>
          <w:sz w:val="20"/>
          <w:szCs w:val="20"/>
          <w:color w:val="auto"/>
        </w:rPr>
      </w:pPr>
    </w:p>
    <w:p>
      <w:pPr>
        <w:ind w:right="980" w:firstLine="432"/>
        <w:spacing w:after="0" w:line="277" w:lineRule="auto"/>
        <w:rPr>
          <w:sz w:val="20"/>
          <w:szCs w:val="20"/>
          <w:color w:val="auto"/>
        </w:rPr>
      </w:pPr>
      <w:r>
        <w:rPr>
          <w:rFonts w:ascii="Arial" w:cs="Arial" w:eastAsia="Arial" w:hAnsi="Arial"/>
          <w:sz w:val="18"/>
          <w:szCs w:val="18"/>
          <w:color w:val="auto"/>
        </w:rPr>
        <w:t>Pension obligations relate to our obligations for pension plans outside of the U.S. See Note 14, “Retirement Benefit Plans,” in our Notes to Consolidated Financial Statements for further information regarding these obligations.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Purchase orders or contracts for the purchase of supplies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 procurement or development needs and are fulfilled by our vendors within short time horizons. We do not have significant agreements for the purchase of supplies or other goods specifying minimum quantities or set prices that exceed our expected requirements for three months. In addition, we have certain software royalty commitments associated with the shipment and licensing of certain products.</w:t>
      </w:r>
    </w:p>
    <w:p>
      <w:pPr>
        <w:spacing w:after="0" w:line="193"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The expected timing of payment of the obligations discussed above is estimated based on current information. Timing of payments and actual amounts paid may be different depending on the time of receipt of goods or services or changes to agreed-upon amounts for some obligations.</w:t>
      </w:r>
    </w:p>
    <w:p>
      <w:pPr>
        <w:spacing w:after="0" w:line="147"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We provide indemnifications of varying scopes and certain guarantees, including limited product warranties. Historically, costs related to these warranties and indemnifications have not been significant, but because potential future costs are highly variable, we are unable to estimate the maximum potential impact of these guarantees on our future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Autodesk's stock repurchase program is largely to help offset the dilution from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conditions, the volume of employee stock option exercises, stock issuance, the trading price of our common stock, cash on hand and available in the U.S., and company defined trading windows. During the three and twelve months ended January 31, 2013, we repurchased 2.6 million and 12.5 million shares of our common stock, respectively. At January 31, 2013, 32.2 million shares remained available for repurchase under the existing repurchase authorizations. This program does not have a fixed expiration date. See Note 9, “Stockholders' Equity,” in the Notes to Consolidated Financial Statements for further discussion.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of January 31, 2013, we did not have any significant off-balance sheet arrangements other than operating leases, as defined in Item 303(a)(4)(ii) of Regulation S-K.</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uses foreign currency contracts to manage our exposure to foreign currency volatility that exists as part of our ongoing business operations. We use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January 31, 2013 and 2012,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$438.2 million and $494.7 million at January 31, 2013 and 2012, respectively.</w:t>
      </w:r>
    </w:p>
    <w:p>
      <w:pPr>
        <w:spacing w:after="0" w:line="17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January 31, 2013 indicated that a hypothetical 10% appreciation of the U.S. dollar from its value at January 31, 2013 and 2012 would increase the fair value of our foreign currency contracts by $29.6 million and $45.3 million, respectively. A hypothetical 10% depreciation of the dollar from its value at January 31, 2013 and 2012 would decrease the fair value of our foreign currency contracts by $33.1 million and $24.3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Interest rate movements affect both the interest income we earn on our short term investments and the market value of certain longer term securities. At January 31, 2013, we had $2,007.0 million of cash equivalents and marketable securities,</w:t>
      </w: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50</w:t>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including $342.1 million classified as short-term marketable securities and $411.1 million classified as long-term marketable securities. If interest rates were to move up or down by 50 and 100 basis points over a twelve month period, the market value change of our marketable securities would be $4.9 million and $9.8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51</w:t>
      </w:r>
    </w:p>
    <w:p>
      <w:pPr>
        <w:sectPr>
          <w:pgSz w:w="11900" w:h="16838" w:orient="portrait"/>
          <w:cols w:equalWidth="0" w:num="1">
            <w:col w:w="11360"/>
          </w:cols>
          <w:pgMar w:left="240" w:top="125" w:right="29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right="259"/>
              <w:spacing w:after="0"/>
              <w:rPr>
                <w:sz w:val="20"/>
                <w:szCs w:val="20"/>
                <w:color w:val="auto"/>
              </w:rPr>
            </w:pPr>
            <w:r>
              <w:rPr>
                <w:rFonts w:ascii="Arial" w:cs="Arial" w:eastAsia="Arial" w:hAnsi="Arial"/>
                <w:sz w:val="14"/>
                <w:szCs w:val="14"/>
                <w:b w:val="1"/>
                <w:bCs w:val="1"/>
                <w:color w:val="auto"/>
                <w:w w:val="92"/>
              </w:rPr>
              <w:t>Fiscal year ended January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60" w:type="dxa"/>
            <w:vAlign w:val="bottom"/>
            <w:gridSpan w:val="7"/>
          </w:tcPr>
          <w:p>
            <w:pPr>
              <w:jc w:val="center"/>
              <w:ind w:left="660"/>
              <w:spacing w:after="0"/>
              <w:rPr>
                <w:sz w:val="20"/>
                <w:szCs w:val="20"/>
                <w:color w:val="auto"/>
              </w:rPr>
            </w:pPr>
            <w:r>
              <w:rPr>
                <w:rFonts w:ascii="Arial" w:cs="Arial" w:eastAsia="Arial" w:hAnsi="Arial"/>
                <w:sz w:val="14"/>
                <w:szCs w:val="14"/>
                <w:b w:val="1"/>
                <w:bCs w:val="1"/>
                <w:color w:val="auto"/>
                <w:w w:val="92"/>
              </w:rPr>
              <w:t>(in millions, except per share data)</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1,390.6</w:t>
            </w:r>
          </w:p>
        </w:tc>
        <w:tc>
          <w:tcPr>
            <w:tcW w:w="5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1,357.6</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1,172.1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Maintenance</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921.6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858.0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779.7</w:t>
            </w:r>
          </w:p>
        </w:tc>
        <w:tc>
          <w:tcPr>
            <w:tcW w:w="0" w:type="dxa"/>
            <w:vAlign w:val="bottom"/>
          </w:tcPr>
          <w:p>
            <w:pPr>
              <w:spacing w:after="0"/>
              <w:rPr>
                <w:sz w:val="1"/>
                <w:szCs w:val="1"/>
                <w:color w:val="auto"/>
              </w:rPr>
            </w:pP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2,312.2</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2,215.6</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1,951.8</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Cost of license and other revenue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198.1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187.1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162.2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maintenance revenue</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cost of revenue</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238.5</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229.1</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196.6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2,073.7</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1,986.5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1,755.2</w:t>
            </w:r>
          </w:p>
        </w:tc>
        <w:tc>
          <w:tcPr>
            <w:tcW w:w="0" w:type="dxa"/>
            <w:vAlign w:val="bottom"/>
          </w:tcPr>
          <w:p>
            <w:pPr>
              <w:spacing w:after="0"/>
              <w:rPr>
                <w:sz w:val="1"/>
                <w:szCs w:val="1"/>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Marketing and sales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776.0</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566.5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496.2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Restructuring charges (benefits)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1,767.8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1,483.8</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305.9</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355.6</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271.4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and 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310.0</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362.9</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247.4</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285.3</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212.0</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54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1.07</w:t>
            </w:r>
          </w:p>
        </w:tc>
        <w:tc>
          <w:tcPr>
            <w:tcW w:w="5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basic net income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diluted net income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231.7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233.3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center"/>
              <w:ind w:right="92"/>
              <w:spacing w:after="0"/>
              <w:rPr>
                <w:sz w:val="20"/>
                <w:szCs w:val="20"/>
                <w:color w:val="auto"/>
              </w:rPr>
            </w:pPr>
            <w:r>
              <w:rPr>
                <w:rFonts w:ascii="Arial" w:cs="Arial" w:eastAsia="Arial" w:hAnsi="Arial"/>
                <w:sz w:val="14"/>
                <w:szCs w:val="14"/>
                <w:b w:val="1"/>
                <w:bCs w:val="1"/>
                <w:color w:val="auto"/>
                <w:w w:val="92"/>
              </w:rPr>
              <w:t>Fiscal year ended January 31,</w:t>
            </w:r>
          </w:p>
        </w:tc>
      </w:tr>
      <w:tr>
        <w:trPr>
          <w:trHeight w:val="264"/>
        </w:trPr>
        <w:tc>
          <w:tcPr>
            <w:tcW w:w="8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2011</w:t>
            </w:r>
          </w:p>
        </w:tc>
      </w:tr>
      <w:tr>
        <w:trPr>
          <w:trHeight w:val="250"/>
        </w:trPr>
        <w:tc>
          <w:tcPr>
            <w:tcW w:w="8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212.0</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Other comprehensive (loss) income, net of tax and reclassifications: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gain on 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8460" w:type="dxa"/>
            <w:vAlign w:val="bottom"/>
          </w:tcPr>
          <w:p>
            <w:pPr>
              <w:ind w:left="280"/>
              <w:spacing w:after="0"/>
              <w:rPr>
                <w:sz w:val="20"/>
                <w:szCs w:val="20"/>
                <w:color w:val="auto"/>
              </w:rPr>
            </w:pPr>
            <w:r>
              <w:rPr>
                <w:rFonts w:ascii="Arial" w:cs="Arial" w:eastAsia="Arial" w:hAnsi="Arial"/>
                <w:sz w:val="16"/>
                <w:szCs w:val="16"/>
                <w:color w:val="auto"/>
              </w:rPr>
              <w:t>Change in net unrealized gain on available-for-sale securities,</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0.9</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unfunded portion of pension plans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8460" w:type="dxa"/>
            <w:vAlign w:val="bottom"/>
          </w:tcPr>
          <w:p>
            <w:pPr>
              <w:ind w:left="280"/>
              <w:spacing w:after="0"/>
              <w:rPr>
                <w:sz w:val="20"/>
                <w:szCs w:val="20"/>
                <w:color w:val="auto"/>
              </w:rPr>
            </w:pPr>
            <w:r>
              <w:rPr>
                <w:rFonts w:ascii="Arial" w:cs="Arial" w:eastAsia="Arial" w:hAnsi="Arial"/>
                <w:sz w:val="16"/>
                <w:szCs w:val="16"/>
                <w:color w:val="auto"/>
              </w:rPr>
              <w:t>Net change in cumulative foreign currency translation (loss) gain</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9.0</w:t>
            </w:r>
          </w:p>
        </w:tc>
      </w:tr>
      <w:tr>
        <w:trPr>
          <w:trHeight w:val="27"/>
        </w:trPr>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 income</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57"/>
        </w:trPr>
        <w:tc>
          <w:tcPr>
            <w:tcW w:w="846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291.8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214.9</w:t>
            </w:r>
          </w:p>
        </w:tc>
      </w:tr>
      <w:tr>
        <w:trPr>
          <w:trHeight w:val="20"/>
        </w:trPr>
        <w:tc>
          <w:tcPr>
            <w:tcW w:w="8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4"/>
                <w:szCs w:val="14"/>
                <w:color w:val="auto"/>
              </w:rPr>
            </w:pPr>
          </w:p>
        </w:tc>
        <w:tc>
          <w:tcPr>
            <w:tcW w:w="1240" w:type="dxa"/>
            <w:vAlign w:val="bottom"/>
          </w:tcPr>
          <w:p>
            <w:pPr>
              <w:jc w:val="right"/>
              <w:ind w:right="300"/>
              <w:spacing w:after="0"/>
              <w:rPr>
                <w:sz w:val="20"/>
                <w:szCs w:val="20"/>
                <w:color w:val="auto"/>
              </w:rPr>
            </w:pPr>
            <w:r>
              <w:rPr>
                <w:rFonts w:ascii="Arial" w:cs="Arial" w:eastAsia="Arial" w:hAnsi="Arial"/>
                <w:sz w:val="14"/>
                <w:szCs w:val="14"/>
                <w:b w:val="1"/>
                <w:bCs w:val="1"/>
                <w:color w:val="auto"/>
              </w:rPr>
              <w:t>January 31,</w:t>
            </w:r>
          </w:p>
        </w:tc>
      </w:t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r>
      <w:tr>
        <w:trPr>
          <w:trHeight w:val="196"/>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(in millions, except per share data)</w:t>
            </w:r>
          </w:p>
        </w:tc>
      </w:tr>
      <w:tr>
        <w:trPr>
          <w:trHeight w:val="256"/>
        </w:trPr>
        <w:tc>
          <w:tcPr>
            <w:tcW w:w="8340" w:type="dxa"/>
            <w:vAlign w:val="bottom"/>
            <w:tcBorders>
              <w:bottom w:val="single" w:sz="8" w:color="CCEEFF"/>
            </w:tcBorders>
            <w:shd w:val="clear" w:color="auto" w:fill="CCEEFF"/>
          </w:tcPr>
          <w:p>
            <w:pPr>
              <w:ind w:left="388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1,156.9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342.1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254.4</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395.1</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30.1</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59.4</w:t>
            </w: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2,552.4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1,895.9</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114.9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104.5</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Purchased technologies,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871.5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682.4</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159.7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131.8</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4,308.4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3,227.8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5" w:right="239" w:bottom="1440" w:gutter="0" w:footer="0" w:header="0"/>
        </w:sectPr>
      </w:pPr>
    </w:p>
    <w:p>
      <w:pPr>
        <w:ind w:left="242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824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8240" w:type="dxa"/>
            <w:vAlign w:val="bottom"/>
          </w:tcPr>
          <w:p>
            <w:pPr>
              <w:ind w:left="340"/>
              <w:spacing w:after="0"/>
              <w:rPr>
                <w:sz w:val="20"/>
                <w:szCs w:val="20"/>
                <w:color w:val="auto"/>
              </w:rPr>
            </w:pPr>
            <w:r>
              <w:rPr>
                <w:rFonts w:ascii="Arial" w:cs="Arial" w:eastAsia="Arial" w:hAnsi="Arial"/>
                <w:sz w:val="16"/>
                <w:szCs w:val="16"/>
                <w:color w:val="auto"/>
              </w:rPr>
              <w:t>Accrued compensation</w:t>
            </w:r>
          </w:p>
        </w:tc>
        <w:tc>
          <w:tcPr>
            <w:tcW w:w="160" w:type="dxa"/>
            <w:vAlign w:val="bottom"/>
          </w:tcPr>
          <w:p>
            <w:pPr>
              <w:spacing w:after="0"/>
              <w:rPr>
                <w:sz w:val="22"/>
                <w:szCs w:val="22"/>
                <w:color w:val="auto"/>
              </w:rPr>
            </w:pPr>
          </w:p>
        </w:tc>
      </w:tr>
      <w:tr>
        <w:trPr>
          <w:trHeight w:val="270"/>
        </w:trPr>
        <w:tc>
          <w:tcPr>
            <w:tcW w:w="8240" w:type="dxa"/>
            <w:vAlign w:val="bottom"/>
          </w:tcPr>
          <w:p>
            <w:pPr>
              <w:ind w:left="340"/>
              <w:spacing w:after="0"/>
              <w:rPr>
                <w:sz w:val="20"/>
                <w:szCs w:val="20"/>
                <w:color w:val="auto"/>
              </w:rPr>
            </w:pPr>
            <w:r>
              <w:rPr>
                <w:rFonts w:ascii="Arial" w:cs="Arial" w:eastAsia="Arial" w:hAnsi="Arial"/>
                <w:sz w:val="16"/>
                <w:szCs w:val="16"/>
                <w:color w:val="auto"/>
              </w:rPr>
              <w:t>Accrued income taxes</w:t>
            </w:r>
          </w:p>
        </w:tc>
        <w:tc>
          <w:tcPr>
            <w:tcW w:w="160" w:type="dxa"/>
            <w:vAlign w:val="bottom"/>
          </w:tcPr>
          <w:p>
            <w:pPr>
              <w:spacing w:after="0"/>
              <w:rPr>
                <w:sz w:val="23"/>
                <w:szCs w:val="23"/>
                <w:color w:val="auto"/>
              </w:rPr>
            </w:pPr>
          </w:p>
        </w:tc>
      </w:tr>
      <w:tr>
        <w:trPr>
          <w:trHeight w:val="270"/>
        </w:trPr>
        <w:tc>
          <w:tcPr>
            <w:tcW w:w="824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23"/>
                <w:szCs w:val="23"/>
                <w:color w:val="auto"/>
              </w:rPr>
            </w:pPr>
          </w:p>
        </w:tc>
      </w:tr>
      <w:tr>
        <w:trPr>
          <w:trHeight w:val="270"/>
        </w:trPr>
        <w:tc>
          <w:tcPr>
            <w:tcW w:w="8240" w:type="dxa"/>
            <w:vAlign w:val="bottom"/>
          </w:tcPr>
          <w:p>
            <w:pPr>
              <w:ind w:left="340"/>
              <w:spacing w:after="0"/>
              <w:rPr>
                <w:sz w:val="20"/>
                <w:szCs w:val="20"/>
                <w:color w:val="auto"/>
              </w:rPr>
            </w:pPr>
            <w:r>
              <w:rPr>
                <w:rFonts w:ascii="Arial" w:cs="Arial" w:eastAsia="Arial" w:hAnsi="Arial"/>
                <w:sz w:val="16"/>
                <w:szCs w:val="16"/>
                <w:color w:val="auto"/>
              </w:rPr>
              <w:t>Other accrued liabilities</w:t>
            </w:r>
          </w:p>
        </w:tc>
        <w:tc>
          <w:tcPr>
            <w:tcW w:w="160" w:type="dxa"/>
            <w:vAlign w:val="bottom"/>
          </w:tcPr>
          <w:p>
            <w:pPr>
              <w:spacing w:after="0"/>
              <w:rPr>
                <w:sz w:val="23"/>
                <w:szCs w:val="23"/>
                <w:color w:val="auto"/>
              </w:rPr>
            </w:pPr>
          </w:p>
        </w:tc>
      </w:tr>
      <w:tr>
        <w:trPr>
          <w:trHeight w:val="270"/>
        </w:trPr>
        <w:tc>
          <w:tcPr>
            <w:tcW w:w="824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23"/>
                <w:szCs w:val="23"/>
                <w:color w:val="auto"/>
              </w:rPr>
            </w:pPr>
          </w:p>
        </w:tc>
      </w:tr>
      <w:tr>
        <w:trPr>
          <w:trHeight w:val="270"/>
        </w:trPr>
        <w:tc>
          <w:tcPr>
            <w:tcW w:w="8240" w:type="dxa"/>
            <w:vAlign w:val="bottom"/>
          </w:tcPr>
          <w:p>
            <w:pPr>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23"/>
                <w:szCs w:val="23"/>
                <w:color w:val="auto"/>
              </w:rPr>
            </w:pPr>
          </w:p>
        </w:tc>
      </w:tr>
      <w:tr>
        <w:trPr>
          <w:trHeight w:val="270"/>
        </w:trPr>
        <w:tc>
          <w:tcPr>
            <w:tcW w:w="8240" w:type="dxa"/>
            <w:vAlign w:val="bottom"/>
          </w:tcPr>
          <w:p>
            <w:pPr>
              <w:spacing w:after="0"/>
              <w:rPr>
                <w:sz w:val="20"/>
                <w:szCs w:val="20"/>
                <w:color w:val="auto"/>
              </w:rPr>
            </w:pPr>
            <w:r>
              <w:rPr>
                <w:rFonts w:ascii="Arial" w:cs="Arial" w:eastAsia="Arial" w:hAnsi="Arial"/>
                <w:sz w:val="16"/>
                <w:szCs w:val="16"/>
                <w:color w:val="auto"/>
              </w:rPr>
              <w:t>Long term income taxes payable</w:t>
            </w:r>
          </w:p>
        </w:tc>
        <w:tc>
          <w:tcPr>
            <w:tcW w:w="160" w:type="dxa"/>
            <w:vAlign w:val="bottom"/>
          </w:tcPr>
          <w:p>
            <w:pPr>
              <w:spacing w:after="0"/>
              <w:rPr>
                <w:sz w:val="23"/>
                <w:szCs w:val="23"/>
                <w:color w:val="auto"/>
              </w:rPr>
            </w:pPr>
          </w:p>
        </w:tc>
      </w:tr>
      <w:tr>
        <w:trPr>
          <w:trHeight w:val="270"/>
        </w:trPr>
        <w:tc>
          <w:tcPr>
            <w:tcW w:w="8240" w:type="dxa"/>
            <w:vAlign w:val="bottom"/>
          </w:tcPr>
          <w:p>
            <w:pPr>
              <w:spacing w:after="0"/>
              <w:rPr>
                <w:sz w:val="20"/>
                <w:szCs w:val="20"/>
                <w:color w:val="auto"/>
              </w:rPr>
            </w:pPr>
            <w:r>
              <w:rPr>
                <w:rFonts w:ascii="Arial" w:cs="Arial" w:eastAsia="Arial" w:hAnsi="Arial"/>
                <w:sz w:val="16"/>
                <w:szCs w:val="16"/>
                <w:color w:val="auto"/>
              </w:rPr>
              <w:t>Long term notes payable, net of discount</w:t>
            </w:r>
          </w:p>
        </w:tc>
        <w:tc>
          <w:tcPr>
            <w:tcW w:w="160" w:type="dxa"/>
            <w:vAlign w:val="bottom"/>
          </w:tcPr>
          <w:p>
            <w:pPr>
              <w:spacing w:after="0"/>
              <w:rPr>
                <w:sz w:val="23"/>
                <w:szCs w:val="23"/>
                <w:color w:val="auto"/>
              </w:rPr>
            </w:pPr>
          </w:p>
        </w:tc>
      </w:tr>
      <w:tr>
        <w:trPr>
          <w:trHeight w:val="270"/>
        </w:trPr>
        <w:tc>
          <w:tcPr>
            <w:tcW w:w="8240" w:type="dxa"/>
            <w:vAlign w:val="bottom"/>
          </w:tcPr>
          <w:p>
            <w:pPr>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23"/>
                <w:szCs w:val="23"/>
                <w:color w:val="auto"/>
              </w:rPr>
            </w:pPr>
          </w:p>
        </w:tc>
      </w:tr>
      <w:tr>
        <w:trPr>
          <w:trHeight w:val="270"/>
        </w:trPr>
        <w:tc>
          <w:tcPr>
            <w:tcW w:w="824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23"/>
                <w:szCs w:val="23"/>
                <w:color w:val="auto"/>
              </w:rPr>
            </w:pPr>
          </w:p>
        </w:tc>
      </w:tr>
      <w:tr>
        <w:trPr>
          <w:trHeight w:val="270"/>
        </w:trPr>
        <w:tc>
          <w:tcPr>
            <w:tcW w:w="8240" w:type="dxa"/>
            <w:vAlign w:val="bottom"/>
          </w:tcPr>
          <w:p>
            <w:pPr>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23"/>
                <w:szCs w:val="23"/>
                <w:color w:val="auto"/>
              </w:rPr>
            </w:pPr>
          </w:p>
        </w:tc>
      </w:tr>
      <w:tr>
        <w:trPr>
          <w:trHeight w:val="270"/>
        </w:trPr>
        <w:tc>
          <w:tcPr>
            <w:tcW w:w="8240" w:type="dxa"/>
            <w:vAlign w:val="bottom"/>
          </w:tcPr>
          <w:p>
            <w:pPr>
              <w:ind w:left="340"/>
              <w:spacing w:after="0"/>
              <w:rPr>
                <w:sz w:val="20"/>
                <w:szCs w:val="20"/>
                <w:color w:val="auto"/>
              </w:rPr>
            </w:pPr>
            <w:r>
              <w:rPr>
                <w:rFonts w:ascii="Arial" w:cs="Arial" w:eastAsia="Arial" w:hAnsi="Arial"/>
                <w:sz w:val="16"/>
                <w:szCs w:val="16"/>
                <w:color w:val="auto"/>
                <w:w w:val="97"/>
              </w:rPr>
              <w:t>Preferred stock, $0.01 par value; shares authorized 2.0; none issued or outstanding at January 31, 2013 and 2012</w:t>
            </w:r>
          </w:p>
        </w:tc>
        <w:tc>
          <w:tcPr>
            <w:tcW w:w="160" w:type="dxa"/>
            <w:vAlign w:val="bottom"/>
          </w:tcPr>
          <w:p>
            <w:pPr>
              <w:spacing w:after="0"/>
              <w:rPr>
                <w:sz w:val="23"/>
                <w:szCs w:val="23"/>
                <w:color w:val="auto"/>
              </w:rPr>
            </w:pPr>
          </w:p>
        </w:tc>
      </w:tr>
      <w:tr>
        <w:trPr>
          <w:trHeight w:val="266"/>
        </w:trPr>
        <w:tc>
          <w:tcPr>
            <w:tcW w:w="8240" w:type="dxa"/>
            <w:vAlign w:val="bottom"/>
          </w:tcPr>
          <w:p>
            <w:pPr>
              <w:ind w:left="340"/>
              <w:spacing w:after="0"/>
              <w:rPr>
                <w:sz w:val="20"/>
                <w:szCs w:val="20"/>
                <w:color w:val="auto"/>
              </w:rPr>
            </w:pPr>
            <w:r>
              <w:rPr>
                <w:rFonts w:ascii="Arial" w:cs="Arial" w:eastAsia="Arial" w:hAnsi="Arial"/>
                <w:sz w:val="16"/>
                <w:szCs w:val="16"/>
                <w:color w:val="auto"/>
                <w:w w:val="92"/>
              </w:rPr>
              <w:t>Common stock and additional paid-in capital, $0.01 par value; shares authorized 750.0; 223.6 outstanding at January 31,</w:t>
            </w:r>
          </w:p>
        </w:tc>
        <w:tc>
          <w:tcPr>
            <w:tcW w:w="160" w:type="dxa"/>
            <w:vAlign w:val="bottom"/>
          </w:tcPr>
          <w:p>
            <w:pPr>
              <w:spacing w:after="0"/>
              <w:rPr>
                <w:sz w:val="23"/>
                <w:szCs w:val="23"/>
                <w:color w:val="auto"/>
              </w:rPr>
            </w:pPr>
          </w:p>
        </w:tc>
      </w:tr>
      <w:tr>
        <w:trPr>
          <w:trHeight w:val="206"/>
        </w:trPr>
        <w:tc>
          <w:tcPr>
            <w:tcW w:w="8240" w:type="dxa"/>
            <w:vAlign w:val="bottom"/>
          </w:tcPr>
          <w:p>
            <w:pPr>
              <w:ind w:left="500"/>
              <w:spacing w:after="0"/>
              <w:rPr>
                <w:sz w:val="20"/>
                <w:szCs w:val="20"/>
                <w:color w:val="auto"/>
              </w:rPr>
            </w:pPr>
            <w:r>
              <w:rPr>
                <w:rFonts w:ascii="Arial" w:cs="Arial" w:eastAsia="Arial" w:hAnsi="Arial"/>
                <w:sz w:val="16"/>
                <w:szCs w:val="16"/>
                <w:color w:val="auto"/>
              </w:rPr>
              <w:t>2013 and 225.9 outstanding at January 31, 2012</w:t>
            </w:r>
          </w:p>
        </w:tc>
        <w:tc>
          <w:tcPr>
            <w:tcW w:w="160" w:type="dxa"/>
            <w:vAlign w:val="bottom"/>
          </w:tcPr>
          <w:p>
            <w:pPr>
              <w:spacing w:after="0"/>
              <w:rPr>
                <w:sz w:val="17"/>
                <w:szCs w:val="17"/>
                <w:color w:val="auto"/>
              </w:rPr>
            </w:pPr>
          </w:p>
        </w:tc>
      </w:tr>
      <w:tr>
        <w:trPr>
          <w:trHeight w:val="257"/>
        </w:trPr>
        <w:tc>
          <w:tcPr>
            <w:tcW w:w="8240" w:type="dxa"/>
            <w:vAlign w:val="bottom"/>
          </w:tcPr>
          <w:p>
            <w:pPr>
              <w:ind w:left="340"/>
              <w:spacing w:after="0"/>
              <w:rPr>
                <w:sz w:val="20"/>
                <w:szCs w:val="20"/>
                <w:color w:val="auto"/>
              </w:rPr>
            </w:pPr>
            <w:r>
              <w:rPr>
                <w:rFonts w:ascii="Arial" w:cs="Arial" w:eastAsia="Arial" w:hAnsi="Arial"/>
                <w:sz w:val="16"/>
                <w:szCs w:val="16"/>
                <w:color w:val="auto"/>
              </w:rPr>
              <w:t>Accumulated other comprehensive (loss) income</w:t>
            </w:r>
          </w:p>
        </w:tc>
        <w:tc>
          <w:tcPr>
            <w:tcW w:w="160" w:type="dxa"/>
            <w:vAlign w:val="bottom"/>
          </w:tcPr>
          <w:p>
            <w:pPr>
              <w:spacing w:after="0"/>
              <w:rPr>
                <w:sz w:val="22"/>
                <w:szCs w:val="22"/>
                <w:color w:val="auto"/>
              </w:rPr>
            </w:pPr>
          </w:p>
        </w:tc>
      </w:tr>
      <w:tr>
        <w:trPr>
          <w:trHeight w:val="270"/>
        </w:trPr>
        <w:tc>
          <w:tcPr>
            <w:tcW w:w="8240" w:type="dxa"/>
            <w:vAlign w:val="bottom"/>
          </w:tcPr>
          <w:p>
            <w:pPr>
              <w:ind w:left="34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23"/>
                <w:szCs w:val="23"/>
                <w:color w:val="auto"/>
              </w:rPr>
            </w:pPr>
          </w:p>
        </w:tc>
      </w:tr>
      <w:tr>
        <w:trPr>
          <w:trHeight w:val="270"/>
        </w:trPr>
        <w:tc>
          <w:tcPr>
            <w:tcW w:w="824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160" w:type="dxa"/>
            <w:vAlign w:val="bottom"/>
          </w:tcPr>
          <w:p>
            <w:pPr>
              <w:spacing w:after="0"/>
              <w:rPr>
                <w:sz w:val="23"/>
                <w:szCs w:val="23"/>
                <w:color w:val="auto"/>
              </w:rPr>
            </w:pPr>
          </w:p>
        </w:tc>
      </w:tr>
      <w:tr>
        <w:trPr>
          <w:trHeight w:val="284"/>
        </w:trPr>
        <w:tc>
          <w:tcPr>
            <w:tcW w:w="8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-3014345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-2671445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-1985010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-1642110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-1299210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-956310</wp:posOffset>
            </wp:positionV>
            <wp:extent cx="7246620"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-2327910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jc w:val="right"/>
              <w:ind w:right="159"/>
              <w:spacing w:after="0"/>
              <w:rPr>
                <w:sz w:val="20"/>
                <w:szCs w:val="20"/>
                <w:color w:val="auto"/>
              </w:rPr>
            </w:pPr>
            <w:r>
              <w:rPr>
                <w:rFonts w:ascii="Arial" w:cs="Arial" w:eastAsia="Arial" w:hAnsi="Arial"/>
                <w:sz w:val="16"/>
                <w:szCs w:val="16"/>
                <w:color w:val="auto"/>
              </w:rPr>
              <w:t>94.2</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89.3</w:t>
            </w:r>
          </w:p>
        </w:tc>
      </w:tr>
      <w:tr>
        <w:trPr>
          <w:trHeight w:val="270"/>
        </w:trPr>
        <w:tc>
          <w:tcPr>
            <w:tcW w:w="720" w:type="dxa"/>
            <w:vAlign w:val="bottom"/>
          </w:tcPr>
          <w:p>
            <w:pPr>
              <w:jc w:val="right"/>
              <w:ind w:right="159"/>
              <w:spacing w:after="0"/>
              <w:rPr>
                <w:sz w:val="20"/>
                <w:szCs w:val="20"/>
                <w:color w:val="auto"/>
              </w:rPr>
            </w:pPr>
            <w:r>
              <w:rPr>
                <w:rFonts w:ascii="Arial" w:cs="Arial" w:eastAsia="Arial" w:hAnsi="Arial"/>
                <w:sz w:val="16"/>
                <w:szCs w:val="16"/>
                <w:color w:val="auto"/>
              </w:rPr>
              <w:t>189.6</w:t>
            </w: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183.9</w:t>
            </w:r>
          </w:p>
        </w:tc>
      </w:tr>
      <w:tr>
        <w:trPr>
          <w:trHeight w:val="270"/>
        </w:trPr>
        <w:tc>
          <w:tcPr>
            <w:tcW w:w="720" w:type="dxa"/>
            <w:vAlign w:val="bottom"/>
          </w:tcPr>
          <w:p>
            <w:pPr>
              <w:jc w:val="right"/>
              <w:ind w:right="159"/>
              <w:spacing w:after="0"/>
              <w:rPr>
                <w:sz w:val="20"/>
                <w:szCs w:val="20"/>
                <w:color w:val="auto"/>
              </w:rPr>
            </w:pPr>
            <w:r>
              <w:rPr>
                <w:rFonts w:ascii="Arial" w:cs="Arial" w:eastAsia="Arial" w:hAnsi="Arial"/>
                <w:sz w:val="16"/>
                <w:szCs w:val="16"/>
                <w:color w:val="auto"/>
              </w:rPr>
              <w:t>13.9</w:t>
            </w: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14.4</w:t>
            </w:r>
          </w:p>
        </w:tc>
      </w:tr>
      <w:tr>
        <w:trPr>
          <w:trHeight w:val="270"/>
        </w:trPr>
        <w:tc>
          <w:tcPr>
            <w:tcW w:w="720" w:type="dxa"/>
            <w:vAlign w:val="bottom"/>
          </w:tcPr>
          <w:p>
            <w:pPr>
              <w:jc w:val="right"/>
              <w:ind w:right="159"/>
              <w:spacing w:after="0"/>
              <w:rPr>
                <w:sz w:val="20"/>
                <w:szCs w:val="20"/>
                <w:color w:val="auto"/>
              </w:rPr>
            </w:pPr>
            <w:r>
              <w:rPr>
                <w:rFonts w:ascii="Arial" w:cs="Arial" w:eastAsia="Arial" w:hAnsi="Arial"/>
                <w:sz w:val="16"/>
                <w:szCs w:val="16"/>
                <w:color w:val="auto"/>
              </w:rPr>
              <w:t>647.0</w:t>
            </w: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582.3</w:t>
            </w:r>
          </w:p>
        </w:tc>
      </w:tr>
      <w:tr>
        <w:trPr>
          <w:trHeight w:val="270"/>
        </w:trPr>
        <w:tc>
          <w:tcPr>
            <w:tcW w:w="720" w:type="dxa"/>
            <w:vAlign w:val="bottom"/>
          </w:tcPr>
          <w:p>
            <w:pPr>
              <w:jc w:val="right"/>
              <w:ind w:right="159"/>
              <w:spacing w:after="0"/>
              <w:rPr>
                <w:sz w:val="20"/>
                <w:szCs w:val="20"/>
                <w:color w:val="auto"/>
              </w:rPr>
            </w:pPr>
            <w:r>
              <w:rPr>
                <w:rFonts w:ascii="Arial" w:cs="Arial" w:eastAsia="Arial" w:hAnsi="Arial"/>
                <w:sz w:val="16"/>
                <w:szCs w:val="16"/>
                <w:color w:val="auto"/>
              </w:rPr>
              <w:t>99.0</w:t>
            </w: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84.2</w:t>
            </w:r>
          </w:p>
        </w:tc>
      </w:tr>
      <w:tr>
        <w:trPr>
          <w:trHeight w:val="33"/>
        </w:trPr>
        <w:tc>
          <w:tcPr>
            <w:tcW w:w="7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720" w:type="dxa"/>
            <w:vAlign w:val="bottom"/>
          </w:tcPr>
          <w:p>
            <w:pPr>
              <w:jc w:val="right"/>
              <w:ind w:right="159"/>
              <w:spacing w:after="0"/>
              <w:rPr>
                <w:sz w:val="20"/>
                <w:szCs w:val="20"/>
                <w:color w:val="auto"/>
              </w:rPr>
            </w:pPr>
            <w:r>
              <w:rPr>
                <w:rFonts w:ascii="Arial" w:cs="Arial" w:eastAsia="Arial" w:hAnsi="Arial"/>
                <w:sz w:val="16"/>
                <w:szCs w:val="16"/>
                <w:color w:val="auto"/>
                <w:w w:val="86"/>
              </w:rPr>
              <w:t>1,043.7</w:t>
            </w: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954.1</w:t>
            </w:r>
          </w:p>
        </w:tc>
      </w:tr>
      <w:tr>
        <w:trPr>
          <w:trHeight w:val="270"/>
        </w:trPr>
        <w:tc>
          <w:tcPr>
            <w:tcW w:w="720" w:type="dxa"/>
            <w:vAlign w:val="bottom"/>
          </w:tcPr>
          <w:p>
            <w:pPr>
              <w:jc w:val="right"/>
              <w:ind w:right="159"/>
              <w:spacing w:after="0"/>
              <w:rPr>
                <w:sz w:val="20"/>
                <w:szCs w:val="20"/>
                <w:color w:val="auto"/>
              </w:rPr>
            </w:pPr>
            <w:r>
              <w:rPr>
                <w:rFonts w:ascii="Arial" w:cs="Arial" w:eastAsia="Arial" w:hAnsi="Arial"/>
                <w:sz w:val="16"/>
                <w:szCs w:val="16"/>
                <w:color w:val="auto"/>
              </w:rPr>
              <w:t>187.6</w:t>
            </w: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136.9</w:t>
            </w:r>
          </w:p>
        </w:tc>
      </w:tr>
      <w:tr>
        <w:trPr>
          <w:trHeight w:val="270"/>
        </w:trPr>
        <w:tc>
          <w:tcPr>
            <w:tcW w:w="720" w:type="dxa"/>
            <w:vAlign w:val="bottom"/>
          </w:tcPr>
          <w:p>
            <w:pPr>
              <w:jc w:val="right"/>
              <w:ind w:right="159"/>
              <w:spacing w:after="0"/>
              <w:rPr>
                <w:sz w:val="20"/>
                <w:szCs w:val="20"/>
                <w:color w:val="auto"/>
              </w:rPr>
            </w:pPr>
            <w:r>
              <w:rPr>
                <w:rFonts w:ascii="Arial" w:cs="Arial" w:eastAsia="Arial" w:hAnsi="Arial"/>
                <w:sz w:val="16"/>
                <w:szCs w:val="16"/>
                <w:color w:val="auto"/>
              </w:rPr>
              <w:t>194.2</w:t>
            </w: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174.8</w:t>
            </w:r>
          </w:p>
        </w:tc>
      </w:tr>
      <w:tr>
        <w:trPr>
          <w:trHeight w:val="270"/>
        </w:trPr>
        <w:tc>
          <w:tcPr>
            <w:tcW w:w="720" w:type="dxa"/>
            <w:vAlign w:val="bottom"/>
          </w:tcPr>
          <w:p>
            <w:pPr>
              <w:jc w:val="right"/>
              <w:ind w:right="159"/>
              <w:spacing w:after="0"/>
              <w:rPr>
                <w:sz w:val="20"/>
                <w:szCs w:val="20"/>
                <w:color w:val="auto"/>
              </w:rPr>
            </w:pPr>
            <w:r>
              <w:rPr>
                <w:rFonts w:ascii="Arial" w:cs="Arial" w:eastAsia="Arial" w:hAnsi="Arial"/>
                <w:sz w:val="16"/>
                <w:szCs w:val="16"/>
                <w:color w:val="auto"/>
              </w:rPr>
              <w:t>745.6</w:t>
            </w: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20" w:type="dxa"/>
            <w:vAlign w:val="bottom"/>
          </w:tcPr>
          <w:p>
            <w:pPr>
              <w:jc w:val="right"/>
              <w:ind w:right="159"/>
              <w:spacing w:after="0"/>
              <w:rPr>
                <w:sz w:val="20"/>
                <w:szCs w:val="20"/>
                <w:color w:val="auto"/>
              </w:rPr>
            </w:pPr>
            <w:r>
              <w:rPr>
                <w:rFonts w:ascii="Arial" w:cs="Arial" w:eastAsia="Arial" w:hAnsi="Arial"/>
                <w:sz w:val="16"/>
                <w:szCs w:val="16"/>
                <w:color w:val="auto"/>
              </w:rPr>
              <w:t>94.1</w:t>
            </w: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79.1</w:t>
            </w:r>
          </w:p>
        </w:tc>
      </w:tr>
      <w:tr>
        <w:trPr>
          <w:trHeight w:val="810"/>
        </w:trPr>
        <w:tc>
          <w:tcPr>
            <w:tcW w:w="7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720" w:type="dxa"/>
            <w:vAlign w:val="bottom"/>
          </w:tcPr>
          <w:p>
            <w:pPr>
              <w:jc w:val="right"/>
              <w:ind w:right="159"/>
              <w:spacing w:after="0"/>
              <w:rPr>
                <w:sz w:val="20"/>
                <w:szCs w:val="20"/>
                <w:color w:val="auto"/>
              </w:rPr>
            </w:pPr>
            <w:r>
              <w:rPr>
                <w:rFonts w:ascii="Arial" w:cs="Arial" w:eastAsia="Arial" w:hAnsi="Arial"/>
                <w:sz w:val="16"/>
                <w:szCs w:val="16"/>
                <w:color w:val="auto"/>
                <w:w w:val="86"/>
              </w:rPr>
              <w:t>1,449.8</w:t>
            </w:r>
          </w:p>
        </w:tc>
        <w:tc>
          <w:tcPr>
            <w:tcW w:w="4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1,365.4</w:t>
            </w:r>
          </w:p>
        </w:tc>
      </w:tr>
      <w:tr>
        <w:trPr>
          <w:trHeight w:val="270"/>
        </w:trPr>
        <w:tc>
          <w:tcPr>
            <w:tcW w:w="720" w:type="dxa"/>
            <w:vAlign w:val="bottom"/>
          </w:tcPr>
          <w:p>
            <w:pPr>
              <w:jc w:val="right"/>
              <w:ind w:right="99"/>
              <w:spacing w:after="0"/>
              <w:rPr>
                <w:sz w:val="20"/>
                <w:szCs w:val="20"/>
                <w:color w:val="auto"/>
              </w:rPr>
            </w:pPr>
            <w:r>
              <w:rPr>
                <w:rFonts w:ascii="Arial" w:cs="Arial" w:eastAsia="Arial" w:hAnsi="Arial"/>
                <w:sz w:val="16"/>
                <w:szCs w:val="16"/>
                <w:color w:val="auto"/>
              </w:rPr>
              <w:t>(5.7)</w:t>
            </w: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270"/>
        </w:trPr>
        <w:tc>
          <w:tcPr>
            <w:tcW w:w="720" w:type="dxa"/>
            <w:vAlign w:val="bottom"/>
          </w:tcPr>
          <w:p>
            <w:pPr>
              <w:jc w:val="right"/>
              <w:ind w:right="159"/>
              <w:spacing w:after="0"/>
              <w:rPr>
                <w:sz w:val="20"/>
                <w:szCs w:val="20"/>
                <w:color w:val="auto"/>
              </w:rPr>
            </w:pPr>
            <w:r>
              <w:rPr>
                <w:rFonts w:ascii="Arial" w:cs="Arial" w:eastAsia="Arial" w:hAnsi="Arial"/>
                <w:sz w:val="16"/>
                <w:szCs w:val="16"/>
                <w:color w:val="auto"/>
              </w:rPr>
              <w:t>599.1</w:t>
            </w: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511.6</w:t>
            </w:r>
          </w:p>
        </w:tc>
      </w:tr>
      <w:tr>
        <w:trPr>
          <w:trHeight w:val="33"/>
        </w:trPr>
        <w:tc>
          <w:tcPr>
            <w:tcW w:w="7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720" w:type="dxa"/>
            <w:vAlign w:val="bottom"/>
          </w:tcPr>
          <w:p>
            <w:pPr>
              <w:jc w:val="right"/>
              <w:ind w:right="159"/>
              <w:spacing w:after="0"/>
              <w:rPr>
                <w:sz w:val="20"/>
                <w:szCs w:val="20"/>
                <w:color w:val="auto"/>
              </w:rPr>
            </w:pPr>
            <w:r>
              <w:rPr>
                <w:rFonts w:ascii="Arial" w:cs="Arial" w:eastAsia="Arial" w:hAnsi="Arial"/>
                <w:sz w:val="16"/>
                <w:szCs w:val="16"/>
                <w:color w:val="auto"/>
                <w:w w:val="86"/>
              </w:rPr>
              <w:t>2,043.2</w:t>
            </w: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1,882.9</w:t>
            </w:r>
          </w:p>
        </w:tc>
      </w:tr>
      <w:tr>
        <w:trPr>
          <w:trHeight w:val="33"/>
        </w:trPr>
        <w:tc>
          <w:tcPr>
            <w:tcW w:w="7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720" w:type="dxa"/>
            <w:vAlign w:val="bottom"/>
          </w:tcPr>
          <w:p>
            <w:pPr>
              <w:jc w:val="right"/>
              <w:ind w:right="159"/>
              <w:spacing w:after="0"/>
              <w:rPr>
                <w:sz w:val="20"/>
                <w:szCs w:val="20"/>
                <w:color w:val="auto"/>
              </w:rPr>
            </w:pPr>
            <w:r>
              <w:rPr>
                <w:rFonts w:ascii="Arial" w:cs="Arial" w:eastAsia="Arial" w:hAnsi="Arial"/>
                <w:sz w:val="16"/>
                <w:szCs w:val="16"/>
                <w:color w:val="auto"/>
                <w:w w:val="86"/>
              </w:rPr>
              <w:t>4,308.4</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3,227.8</w:t>
            </w:r>
          </w:p>
        </w:tc>
      </w:tr>
      <w:tr>
        <w:trPr>
          <w:trHeight w:val="33"/>
        </w:trPr>
        <w:tc>
          <w:tcPr>
            <w:tcW w:w="7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-8255</wp:posOffset>
            </wp:positionV>
            <wp:extent cx="951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-368300</wp:posOffset>
            </wp:positionV>
            <wp:extent cx="951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20" w:space="720"/>
            <w:col w:w="2180"/>
          </w:cols>
          <w:pgMar w:left="240" w:top="125" w:right="2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54</w:t>
      </w:r>
    </w:p>
    <w:p>
      <w:pPr>
        <w:sectPr>
          <w:pgSz w:w="11900" w:h="16838" w:orient="portrait"/>
          <w:cols w:equalWidth="0" w:num="1">
            <w:col w:w="11420"/>
          </w:cols>
          <w:pgMar w:left="240" w:top="125"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center"/>
              <w:ind w:right="21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247.4</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285.3</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212.0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(benefits), net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Other operating activities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(98.1)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559.1</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573.5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540.8</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(1,397.7)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(507.2)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135.3</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764.8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409.6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275.4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(647.2)</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220.2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Repurchases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(280.3)</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Draws on line of credit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debt, net of discount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Repayments of line of credit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6"/>
                <w:szCs w:val="16"/>
                <w:color w:val="auto"/>
              </w:rPr>
              <w:t>Other financing activities</w:t>
            </w:r>
          </w:p>
        </w:tc>
        <w:tc>
          <w:tcPr>
            <w:tcW w:w="3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(159.4)</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fiscal year</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1,156.9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1,075.1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838.7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fiscal year</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1,612.2</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1,075.1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Supplemental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during the year for interest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Net cash paid during the year for income taxes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59.7</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55</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AUTODESK, INC.</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Common stock</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060" w:type="dxa"/>
            <w:vAlign w:val="bottom"/>
          </w:tcPr>
          <w:p>
            <w:pPr>
              <w:spacing w:after="0"/>
              <w:rPr>
                <w:sz w:val="12"/>
                <w:szCs w:val="12"/>
                <w:color w:val="auto"/>
              </w:rPr>
            </w:pPr>
          </w:p>
        </w:tc>
        <w:tc>
          <w:tcPr>
            <w:tcW w:w="1880" w:type="dxa"/>
            <w:vAlign w:val="bottom"/>
            <w:gridSpan w:val="5"/>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and additional</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88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paid-in capital</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4"/>
                <w:szCs w:val="4"/>
                <w:color w:val="auto"/>
              </w:rPr>
            </w:pPr>
          </w:p>
        </w:tc>
        <w:tc>
          <w:tcPr>
            <w:tcW w:w="780" w:type="dxa"/>
            <w:vAlign w:val="bottom"/>
            <w:gridSpan w:val="2"/>
            <w:vMerge w:val="restart"/>
          </w:tcPr>
          <w:p>
            <w:pPr>
              <w:spacing w:after="0" w:line="13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000" w:type="dxa"/>
            <w:vAlign w:val="bottom"/>
            <w:vMerge w:val="restart"/>
          </w:tcPr>
          <w:p>
            <w:pPr>
              <w:jc w:val="center"/>
              <w:ind w:right="40"/>
              <w:spacing w:after="0" w:line="139"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65"/>
        </w:trPr>
        <w:tc>
          <w:tcPr>
            <w:tcW w:w="6060" w:type="dxa"/>
            <w:vAlign w:val="bottom"/>
          </w:tcPr>
          <w:p>
            <w:pPr>
              <w:spacing w:after="0"/>
              <w:rPr>
                <w:sz w:val="5"/>
                <w:szCs w:val="5"/>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(loss) income</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236"/>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2010</w:t>
            </w:r>
          </w:p>
        </w:tc>
        <w:tc>
          <w:tcPr>
            <w:tcW w:w="7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1,473.5</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Common shares issued under stock plans</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Tax benefits from employee stock plans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212.0</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and retirement of common shares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(280.3)</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Balances, January 31, 2011</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227.0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1,267.2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342.7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1,609.3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shares issued under stock plans</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176.1</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benefits from employee stock plans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285.3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285.3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Repurchase and retirement of common shares</w:t>
            </w:r>
          </w:p>
        </w:tc>
        <w:tc>
          <w:tcPr>
            <w:tcW w:w="70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(327.4)</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2012</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1,882.9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Common shares issued under stock plans</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220.2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220.2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Tax benefits from employee stock plans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247.4</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and retirement of common shares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(431.2)</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Balances, January 31, 2013</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223.6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1,449.8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599.1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2,043.2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January 31, 2013</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(Tables in millions of dollars, except per share data, unless otherwise indicated)</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Business and 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Autodesk, Inc. (“Autodesk” or the “Company”) is a world leading design software and services company, offering customers productive business solutions through powerful technology products and services. The Company serves customers in the architecture, engineering and construction; manufacturing; and digital media and entertainment industries. The Company’s sophisticated software products enable its customers to experience their ideas before they are real by allowing them to imagine, design, and create their ideas and to visualize, simulate and analyze real-world performance early in the design process by creating digital prototypes. These capabilities allow Autodesk’s customers to optimize and improve their designs, help save time and money, improve quality and foster innovation. Autodesk software products are sold globally, both directly to customers and through a network of resellers and distributors.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Autodesk and its wholly-owned and majority-owned subsidiaries. All significant intercompany accounts and transactions have been eliminated.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Autodesk’s consolidated financial statements and notes thereto. These estimates are based on information available as of the date of the consolidated financial statements. On a regular basis, management evaluates these estimates and assumptions. Actual results may differ materially from these estimates.</w:t>
      </w:r>
    </w:p>
    <w:p>
      <w:pPr>
        <w:spacing w:after="0" w:line="187"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Examples of significant estimates and assumptions made by management involve the determination of the fair value of acquired assets and liabilities, goodwill, financial instruments, long-lived assets and other intangible assets, the realizability of deferred tax assets and the fair value of stock awards (see “Stock-based Compensation Expense” within this Note 1 and Note 3 “Employee and Director Stock Plans” for further discussion). The Company also makes assumptions, judgments and estimates in determining the accruals for uncertain tax positions, variable compensation, partner incentive programs, product returns reserves, allowances for doubtful accounts, asset retirement obligations and legal contingencies.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The assets and liabilities of Autodesk’s foreign subsidiaries are translated from their respective functional currencies into U.S. dollars at the rates in effect at the balance sheet date, and revenue and expense amounts are translated at weighted average rates during the period. Foreign currency translation adjustments are recorded as other comprehensive income (loss).</w:t>
      </w:r>
    </w:p>
    <w:p>
      <w:pPr>
        <w:spacing w:after="0" w:line="18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Gains and losses realized from foreign currency transactions, those transactions denominated in currencies other than the foreign subsidiary’s functional currency, are included in interest and other income, net.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majority of transaction exposures denominated in euros, Japanese yen, Swiss francs, British pounds, Canadian dollars, and Australian dollars. These instruments have maturities between one to 12 months in the future. Autodesk does not enter into any derivative instruments for trading or speculative purposes.</w:t>
      </w:r>
    </w:p>
    <w:p>
      <w:pPr>
        <w:spacing w:after="0" w:line="171"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w:t>
      </w: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Autodesk accounts for its derivative instruments as either assets or liabilities on the balance sheet and carries them at fair value. Gains and losses resulting from changes in fair value are accounted for depending on the use of the derivative and whether it is designated and qualifies for hedge accounting. Derivatives that do not qualify for hedge accounting are adjusted to fair value through earnings. See Note 2, "Financial Instruments" for information regarding Autodesk's hedging activities.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Autodesk considers all highly liquid investments with insignificant interest rate risk and remaining maturities of three months or less at the date of purchase to be cash equivalents. Cash equivalents are recorded at cost, which approximates fair value.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Marketable securities are stated at fair value. Marketable securities maturing within one year that are not restricted are classified as current assets.</w:t>
      </w:r>
    </w:p>
    <w:p>
      <w:pPr>
        <w:spacing w:after="0" w:line="248"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Autodesk determines the appropriate classification of its marketable securities at the time of purchase and re-evaluates such classification as of each balance sheet date. Autodesk carries all “available-for-sale securities” at fair value, with unrealized gains and losses, net of tax, reported in stockholders’ equity until disposition or maturity. Autodesk carries all “trading securities” at fair value, with unrealized gains and losses, recorded in “Interest and other income, net” in the Company’s Consolidated Statements of Operations.</w:t>
      </w:r>
    </w:p>
    <w:p>
      <w:pPr>
        <w:spacing w:after="0" w:line="187"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All of Autodesk’s marketable securities are subject to a periodic impairment review. The Company recognizes an impairment charge when a decline in the fair value of its investments below the cost basis is judged to be other-than-temporary. Autodesk considers various factors in determining whether to recognize an impairment charge, including the length of time and extent to which the fair value has been less than Autodesk’s cost basis, the financial condition and near-term prospects of the investee, and Autodesk’s intent and ability to hold the investment for a period of time sufficient to allow for any anticipated recovery in the market value. Autodesk did not record any other-than temporary impairment charges during fiscal years ended 2013, 2012 and 2011. For additional information, see “Concentration of Credit Risk” within this Note 1 and Note 2, “Financial Instruments.”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 consisted of the following as of January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accounts receivable (1)</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432.5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Allowance for doubtful accounts (1)</w:t>
            </w: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Product returns reserve</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Partner programs and other obligations (1)</w:t>
            </w: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395.1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comparability, the presentation of the balances at January 31, 2012 was adjusted to align to current year presentation.</w:t>
      </w:r>
    </w:p>
    <w:p>
      <w:pPr>
        <w:spacing w:after="0" w:line="20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Allowances for uncollectible trade receivables are based upon historical loss patterns, the number of days that billings are past due and an evaluation of the potential risk of loss associated with problem accounts.</w:t>
      </w:r>
    </w:p>
    <w:p>
      <w:pPr>
        <w:spacing w:after="0" w:line="17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product returns reserves are based on historical experience of actual product returns, estimated channel inventory levels, the timing of new product introductions, channel sell-in for applicable markets and other factors.</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Partner program and other obligations are primarily related to partner incentives that use quarterly attainment monetary rewards to motivate distributors and resellers to achieve mutually agreed upon business goals in a specified time period.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financial institutions with high credit ratings and limits the amounts invested with any one institution, type of security and issuer.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Geographical concentrations of consolidated cash, cash equivalents and marketable securities held by Autodesk as of January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2012</w:t>
            </w:r>
          </w:p>
        </w:tc>
      </w:tr>
      <w:tr>
        <w:trPr>
          <w:trHeight w:val="236"/>
        </w:trPr>
        <w:tc>
          <w:tcPr>
            <w:tcW w:w="9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9320" w:type="dxa"/>
            <w:vAlign w:val="bottom"/>
            <w:gridSpan w:val="2"/>
          </w:tcPr>
          <w:p>
            <w:pPr>
              <w:ind w:left="40"/>
              <w:spacing w:after="0"/>
              <w:rPr>
                <w:sz w:val="20"/>
                <w:szCs w:val="20"/>
                <w:color w:val="auto"/>
              </w:rPr>
            </w:pPr>
            <w:r>
              <w:rPr>
                <w:rFonts w:ascii="Arial" w:cs="Arial" w:eastAsia="Arial" w:hAnsi="Arial"/>
                <w:sz w:val="16"/>
                <w:szCs w:val="16"/>
                <w:color w:val="auto"/>
              </w:rPr>
              <w:t>Other Americas</w:t>
            </w: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Europe, Middle East and Africa (“EMEA”)</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37"/>
        </w:trPr>
        <w:tc>
          <w:tcPr>
            <w:tcW w:w="9320" w:type="dxa"/>
            <w:vAlign w:val="bottom"/>
            <w:gridSpan w:val="2"/>
          </w:tcPr>
          <w:p>
            <w:pPr>
              <w:ind w:left="40"/>
              <w:spacing w:after="0"/>
              <w:rPr>
                <w:sz w:val="20"/>
                <w:szCs w:val="20"/>
                <w:color w:val="auto"/>
              </w:rPr>
            </w:pPr>
            <w:r>
              <w:rPr>
                <w:rFonts w:ascii="Arial" w:cs="Arial" w:eastAsia="Arial" w:hAnsi="Arial"/>
                <w:sz w:val="16"/>
                <w:szCs w:val="16"/>
                <w:color w:val="auto"/>
              </w:rPr>
              <w:t>Asia Pacific (“APAC”)</w:t>
            </w:r>
          </w:p>
        </w:tc>
        <w:tc>
          <w:tcPr>
            <w:tcW w:w="46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w:t>
            </w:r>
          </w:p>
        </w:tc>
      </w:tr>
    </w:tbl>
    <w:p>
      <w:pPr>
        <w:spacing w:after="0" w:line="23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Autodesk's primary commercial banking relationship is with Citibank and its global affiliates (“Citibank”). The Company's cash and cash equivalents are held by diversified financial institutions globally. Citicorp USA, Inc., an affiliate of Citibank, is one of the lead lenders and agent in the syndicate of Autodesk's $400.0 million line of credit facility.</w:t>
      </w:r>
    </w:p>
    <w:p>
      <w:pPr>
        <w:spacing w:after="0" w:line="18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Autodesk’s accounts receivable are derived from sales to a large number of resellers, distributors and direct customers in the Americas; EMEA; and APAC geographies. Autodesk performs ongoing evaluations of these partners' financial condition and limits the amount of credit extended when deemed necessary, but generally does not require collateral from such parties. Total sales to the Company's largest distributor Tech Data Corporation, and its global affiliates (“Tech Data”), accounted for 23%, 17% and 16% of Autodesk's net revenue for fiscal years ended 2013, 2012 and 2011, respectively. The majority of the net revenue from sales to Tech Data relates to Autodesk's Platform Solutions and Emerging Business ("PSEB") segment and is for sales made outside of the United States. In addition, Tech Data accounted for 23% and 21% of trade accounts receivable at January 31, 2013 and 2012, respectively. In October 2011, Tech Data purchased certain assets of Mensch and Maschine Software (“MuM”), which had been a distributor of Autodesk's products in Europe. The acquisition concentrated additional sales through Tech Data, which on a consolidated basis would have accounted for 21% and 22% of Autodesk's net revenue for fiscal years 2012 and 2011, if the acquisition had taken place at the beginning of fiscal 2011.</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Computer Equipment, Software, Furniture and Leasehold Improvements, Net</w:t>
      </w:r>
    </w:p>
    <w:p>
      <w:pPr>
        <w:spacing w:after="0" w:line="225"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Computer equipment, software and furniture are depreciated using the straight-line method over the estimated useful lives of the assets, which range from three to five years. Leasehold improvements are amortized on a straight-line basis over the shorter of their estimated useful lives or the lease term. Depreciation expense was $45.6 million in fiscal 2013, $43.7 million in fiscal 2012 and $47.6 million in fiscal 2011.</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Computer equipment, software, furniture, leasehold improvements and the related accumulated depreciation at January 31 were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hardware, at cost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Computer software, at cost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95.1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133.5</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 land and buildings, at cost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Furniture and equipment, at cost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47.7</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software, hardware, leasehold improvements, furniture and equipment, at cost</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474.0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(330.9)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(369.5)</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Costs incurred for computer software developed or obtained for internal use are capitalized for application development activities, if material, and immediately expensed for preliminary project activities and post-implementation activities. These capitalized costs are amortized over the software’s expected useful life, which is generally three years. During fiscal 2013, Autodesk wrote-off $83.9 million of fully depreciated assets.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Software Development Costs</w:t>
      </w:r>
    </w:p>
    <w:p>
      <w:pPr>
        <w:spacing w:after="0" w:line="225"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Software development costs incurred prior to the establishment of technological feasibility are included in research and development expenses. Autodesk defines establishment of technological feasibility as the completion of a working model. Software development costs incurred subsequent to the establishment of technological feasibility through the period of general market availability of the products are capitalized and generally amortized over a one year period, if material. Autodesk had no capitalized software development costs at January 31, 2013 and January 31, 2012.</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Intangible Assets, Net</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Other intangible assets include purchased technologies, customer relationships, trade names and the related accumulated amortization. These assets are shown as “Purchased technologies, net” and as part of “Other assets” in the Consolidated Balance Sheet. The majority of Autodesk’s other intangible assets are amortized to expense over the estimated economic life of the product, which ranges from one to ten years. Amortization expense for purchased technologies, customer relationships, trade names, patents, and user lists was $82.0 million in fiscal 2013, $71.8 million in fiscal 2012 and $57.8 million in fiscal 2011.</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intangible assets and related accumulated amortization at January 31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Purchased technologies, at cost(1)</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431.0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Customer relationships, trade names, patents, and user lists, at cost(2)</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259.5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215.3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690.5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615.8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(467.0)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340" w:hanging="412"/>
        <w:spacing w:after="0" w:line="248"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Beginning in fiscal 2013, the purchased technologies balances are presented gross. Previously, Autodesk reported the cost and amortization balance for purchased technologies net of fully amortized intangible assets. For comparability, the presentation of the purchased technologies cost and amortization balances at January 31, 2012 were adjusted to align to current year presentation.</w:t>
      </w:r>
    </w:p>
    <w:p>
      <w:pPr>
        <w:spacing w:after="0" w:line="1" w:lineRule="exact"/>
        <w:rPr>
          <w:rFonts w:ascii="Arial" w:cs="Arial" w:eastAsia="Arial" w:hAnsi="Arial"/>
          <w:sz w:val="16"/>
          <w:szCs w:val="16"/>
          <w:color w:val="auto"/>
        </w:rPr>
      </w:pPr>
    </w:p>
    <w:p>
      <w:pPr>
        <w:ind w:left="420" w:hanging="412"/>
        <w:spacing w:after="0"/>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Included as a net balance in “Other assets” in the Consolidated Balance Sheet. Customer relationships and trade names include the effects of foreign currency translation.</w:t>
      </w:r>
    </w:p>
    <w:p>
      <w:pPr>
        <w:spacing w:after="0" w:line="226"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weighted average amortization period for purchased technologies, customer relationships and trade names during fiscal 2013 was 4.9 years. Expected future amortization expense for purchased technologies, customer relationships and trade names for each of the fiscal years ended thereafter is as follows: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ind w:right="301"/>
              <w:spacing w:after="0"/>
              <w:rPr>
                <w:sz w:val="20"/>
                <w:szCs w:val="20"/>
                <w:color w:val="auto"/>
              </w:rPr>
            </w:pPr>
            <w:r>
              <w:rPr>
                <w:rFonts w:ascii="Arial" w:cs="Arial" w:eastAsia="Arial" w:hAnsi="Arial"/>
                <w:sz w:val="14"/>
                <w:szCs w:val="14"/>
                <w:b w:val="1"/>
                <w:bCs w:val="1"/>
                <w:color w:val="auto"/>
                <w:w w:val="99"/>
              </w:rPr>
              <w:t>Fiscal Year ended</w:t>
            </w:r>
          </w:p>
        </w:tc>
      </w:tr>
      <w:tr>
        <w:trPr>
          <w:trHeight w:val="192"/>
        </w:trPr>
        <w:tc>
          <w:tcPr>
            <w:tcW w:w="95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January 31,</w:t>
            </w:r>
          </w:p>
        </w:tc>
      </w:tr>
      <w:tr>
        <w:trPr>
          <w:trHeight w:val="236"/>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72.8</w:t>
            </w:r>
          </w:p>
        </w:tc>
      </w:tr>
      <w:tr>
        <w:trPr>
          <w:trHeight w:val="224"/>
        </w:trPr>
        <w:tc>
          <w:tcPr>
            <w:tcW w:w="9540" w:type="dxa"/>
            <w:vAlign w:val="bottom"/>
          </w:tcPr>
          <w:p>
            <w:pPr>
              <w:ind w:left="20"/>
              <w:spacing w:after="0"/>
              <w:rPr>
                <w:sz w:val="20"/>
                <w:szCs w:val="20"/>
                <w:color w:val="auto"/>
              </w:rPr>
            </w:pPr>
            <w:r>
              <w:rPr>
                <w:rFonts w:ascii="Arial" w:cs="Arial" w:eastAsia="Arial" w:hAnsi="Arial"/>
                <w:sz w:val="16"/>
                <w:szCs w:val="16"/>
                <w:color w:val="auto"/>
              </w:rPr>
              <w:t>2015</w:t>
            </w:r>
          </w:p>
        </w:tc>
        <w:tc>
          <w:tcPr>
            <w:tcW w:w="240" w:type="dxa"/>
            <w:vAlign w:val="bottom"/>
          </w:tcPr>
          <w:p>
            <w:pPr>
              <w:spacing w:after="0"/>
              <w:rPr>
                <w:sz w:val="19"/>
                <w:szCs w:val="19"/>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45.0</w:t>
            </w:r>
          </w:p>
        </w:tc>
      </w:tr>
      <w:tr>
        <w:trPr>
          <w:trHeight w:val="33"/>
        </w:trPr>
        <w:tc>
          <w:tcPr>
            <w:tcW w:w="9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18.6</w:t>
            </w:r>
          </w:p>
        </w:tc>
      </w:tr>
      <w:tr>
        <w:trPr>
          <w:trHeight w:val="224"/>
        </w:trPr>
        <w:tc>
          <w:tcPr>
            <w:tcW w:w="9540" w:type="dxa"/>
            <w:vAlign w:val="bottom"/>
          </w:tcPr>
          <w:p>
            <w:pPr>
              <w:ind w:left="20"/>
              <w:spacing w:after="0"/>
              <w:rPr>
                <w:sz w:val="20"/>
                <w:szCs w:val="20"/>
                <w:color w:val="auto"/>
              </w:rPr>
            </w:pPr>
            <w:r>
              <w:rPr>
                <w:rFonts w:ascii="Arial" w:cs="Arial" w:eastAsia="Arial" w:hAnsi="Arial"/>
                <w:sz w:val="16"/>
                <w:szCs w:val="16"/>
                <w:color w:val="auto"/>
              </w:rPr>
              <w:t>2017</w:t>
            </w:r>
          </w:p>
        </w:tc>
        <w:tc>
          <w:tcPr>
            <w:tcW w:w="240" w:type="dxa"/>
            <w:vAlign w:val="bottom"/>
          </w:tcPr>
          <w:p>
            <w:pPr>
              <w:spacing w:after="0"/>
              <w:rPr>
                <w:sz w:val="19"/>
                <w:szCs w:val="19"/>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4.9</w:t>
            </w:r>
          </w:p>
        </w:tc>
      </w:tr>
      <w:tr>
        <w:trPr>
          <w:trHeight w:val="33"/>
        </w:trPr>
        <w:tc>
          <w:tcPr>
            <w:tcW w:w="9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r>
      <w:tr>
        <w:trPr>
          <w:trHeight w:val="224"/>
        </w:trPr>
        <w:tc>
          <w:tcPr>
            <w:tcW w:w="954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9"/>
                <w:szCs w:val="19"/>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1.1</w:t>
            </w:r>
          </w:p>
        </w:tc>
      </w:tr>
      <w:tr>
        <w:trPr>
          <w:trHeight w:val="33"/>
        </w:trPr>
        <w:tc>
          <w:tcPr>
            <w:tcW w:w="9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5"/>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143.5</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Goodwill consists of the excess of cost over the fair value of net assets acquired in business combinations. Autodesk assigns goodwill to the reportable segment associated with each business combination, and tests goodwill for impairment annually in its fourth fiscal quarter or more often if circumstances indicate a potential impairment. For purposes of the goodwill impairment test, a reporting unit is an operating segment or one level below. Autodesk's operating segments are aligned with the management principles of Autodesk's business.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In September 2011, the Financial Accounting Standards Board ("FASB") issued Accounting Standard Update ("ASU") 2011-08 regarding Accounting Standards Codification (“ASC”) Topic 350 “Intangibles – Goodwill and Other. Autodesk adopted the provisions of ASU 2011-08 for its annual goodwill impairment test performed in the fourth quarter of fiscal 2013. This update gives companies the option to first perform a qualitative assessment to determine whether it is more likely than not that the fair value of a reporting unit is less than its carrying amount before performing the two-step goodwill impairment test mandated prior to the update. Companies are not required to perform the qualitative assessment and may instead proceed directly to the first step of the two-part test.</w:t>
      </w:r>
    </w:p>
    <w:p>
      <w:pPr>
        <w:spacing w:after="0" w:line="193"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In performing the qualitative assessments, Autodesk must consider events and circumstances, including but not limited to, macroeconomic conditions, industry and market considerations, cost factors, overall financial performance, changes in management or key personnel, changes in strategy, changes in customers, changes in the composition or carrying amount of a reporting unit's net assets and changes in the price of Autodesk's common stock. If, after assessing the totality of events or circumstances, it is determine that it is more likely than not that the fair value of a reporting unit is greater than its carrying amount, then the two-step goodwill impairment test is not performed.</w:t>
      </w:r>
    </w:p>
    <w:p>
      <w:pPr>
        <w:spacing w:after="0" w:line="17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If the two-step impairment test is necessary, Autodesk uses discounted cash flow models which include assumptions regarding projected cash flows.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 or internal financial results forecasts.</w:t>
      </w:r>
    </w:p>
    <w:p>
      <w:pPr>
        <w:spacing w:after="0" w:line="189"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For the fiscal 2013 annual goodwill impairment testing, Autodesk had four reporting units: PSEB, Manufacturing ("MFG"), Architecture, Engineering and Construction ("AEC") and Media and Entertainment ("M&amp;E"). Autodesk assessed qualitative factors to determine whether the existence of events or circumstances leads to a determination that it is more likely than not that the fair value of Autodesk's PSEB, MFG, and AEC reporting units was less than the reporting units' carrying amount. Autodesk determined, after assessing the totality of the events and circumstances described above, that it was more likely than not that the fair value of each of the PSEB, MFG, and AEC reporting units was greater than the carrying amount for such reporting unit. Accordingly, there was no indication of impairment and the two-step goodwill impairment test was not performed for these reporting units.</w:t>
      </w:r>
    </w:p>
    <w:p>
      <w:pPr>
        <w:spacing w:after="0" w:line="165"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For the M&amp;E reporting unit, Autodesk deemed the two-step impairment test was necessary and used a discounted cash flow model which included assumptions regarding projected cash flows. Based on this testing, Autodesk determined that there was no impairment of goodwill for the M&amp;E reporting unit during the year ended January 31, 2013. In addition, Autodesk did not recognize any goodwill impairment losses in fiscal 2012 or 2011.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61</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 in the carrying amount of goodwill during the year ended January 31, 2013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Platform</w:t>
            </w: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Architecture,</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Engineering</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Media and</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Emerging</w:t>
            </w: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and</w:t>
            </w:r>
          </w:p>
        </w:tc>
        <w:tc>
          <w:tcPr>
            <w:tcW w:w="200" w:type="dxa"/>
            <w:vAlign w:val="bottom"/>
          </w:tcPr>
          <w:p>
            <w:pPr>
              <w:spacing w:after="0"/>
              <w:rPr>
                <w:sz w:val="12"/>
                <w:szCs w:val="12"/>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24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Construction</w:t>
            </w: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Entertainment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January 31, 2012</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247.7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323.3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184.0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831.6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247.7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323.3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682.4</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Vela Systems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33"/>
        </w:trPr>
        <w:tc>
          <w:tcPr>
            <w:tcW w:w="3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380"/>
        <w:spacing w:after="0"/>
        <w:rPr>
          <w:sz w:val="20"/>
          <w:szCs w:val="20"/>
          <w:color w:val="auto"/>
        </w:rPr>
      </w:pPr>
      <w:r>
        <w:rPr>
          <w:rFonts w:ascii="Arial" w:cs="Arial" w:eastAsia="Arial" w:hAnsi="Arial"/>
          <w:sz w:val="16"/>
          <w:szCs w:val="16"/>
          <w:color w:val="auto"/>
        </w:rPr>
        <w:t>Socialcam</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Qontext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PI-VR</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Goodwill acquired from other acquisitions</w:t>
      </w:r>
    </w:p>
    <w:p>
      <w:pPr>
        <w:spacing w:after="0" w:line="86" w:lineRule="exact"/>
        <w:rPr>
          <w:sz w:val="20"/>
          <w:szCs w:val="20"/>
          <w:color w:val="auto"/>
        </w:rPr>
      </w:pPr>
    </w:p>
    <w:p>
      <w:pPr>
        <w:ind w:left="540" w:hanging="161"/>
        <w:spacing w:after="0" w:line="319" w:lineRule="auto"/>
        <w:rPr>
          <w:sz w:val="20"/>
          <w:szCs w:val="20"/>
          <w:color w:val="auto"/>
        </w:rPr>
      </w:pPr>
      <w:r>
        <w:rPr>
          <w:rFonts w:ascii="Arial" w:cs="Arial" w:eastAsia="Arial" w:hAnsi="Arial"/>
          <w:sz w:val="15"/>
          <w:szCs w:val="15"/>
          <w:color w:val="auto"/>
        </w:rPr>
        <w:t>Effect of foreign currency translation, purchase accounting adjustments and other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January 31, 2013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23.0</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24.0</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36.8</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46.1</w:t>
            </w:r>
          </w:p>
        </w:tc>
      </w:tr>
      <w:tr>
        <w:trPr>
          <w:trHeight w:val="459"/>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-814070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-471170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-8255</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2">
            <w:col w:w="3460" w:space="80"/>
            <w:col w:w="7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100" w:type="dxa"/>
            <w:vAlign w:val="bottom"/>
            <w:gridSpan w:val="2"/>
          </w:tcPr>
          <w:p>
            <w:pPr>
              <w:ind w:left="380"/>
              <w:spacing w:after="0"/>
              <w:rPr>
                <w:sz w:val="20"/>
                <w:szCs w:val="20"/>
                <w:color w:val="auto"/>
              </w:rPr>
            </w:pPr>
            <w:r>
              <w:rPr>
                <w:rFonts w:ascii="Arial" w:cs="Arial" w:eastAsia="Arial" w:hAnsi="Arial"/>
                <w:sz w:val="16"/>
                <w:szCs w:val="16"/>
                <w:color w:val="auto"/>
              </w:rPr>
              <w:t>Goodwill</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310.3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389.9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1,020.7</w:t>
            </w:r>
          </w:p>
        </w:tc>
      </w:tr>
      <w:tr>
        <w:trPr>
          <w:trHeight w:val="33"/>
        </w:trPr>
        <w:tc>
          <w:tcPr>
            <w:tcW w:w="3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5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r>
      <w:tr>
        <w:trPr>
          <w:trHeight w:val="217"/>
        </w:trPr>
        <w:tc>
          <w:tcPr>
            <w:tcW w:w="3540" w:type="dxa"/>
            <w:vAlign w:val="bottom"/>
          </w:tcPr>
          <w:p>
            <w:pPr>
              <w:spacing w:after="0"/>
              <w:rPr>
                <w:sz w:val="18"/>
                <w:szCs w:val="18"/>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310.3</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389.9</w:t>
            </w:r>
          </w:p>
        </w:tc>
        <w:tc>
          <w:tcPr>
            <w:tcW w:w="12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871.5</w:t>
            </w:r>
          </w:p>
        </w:tc>
      </w:tr>
      <w:tr>
        <w:trPr>
          <w:trHeight w:val="33"/>
        </w:trPr>
        <w:tc>
          <w:tcPr>
            <w:tcW w:w="35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during the year ended January 31, 2012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Platform</w:t>
            </w: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Architecture,</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Engineering</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Media and</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Emerging</w:t>
            </w: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and</w:t>
            </w:r>
          </w:p>
        </w:tc>
        <w:tc>
          <w:tcPr>
            <w:tcW w:w="200" w:type="dxa"/>
            <w:vAlign w:val="bottom"/>
          </w:tcPr>
          <w:p>
            <w:pPr>
              <w:spacing w:after="0"/>
              <w:rPr>
                <w:sz w:val="12"/>
                <w:szCs w:val="12"/>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24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Construction</w:t>
            </w: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Entertainment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January 31, 2011</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224.2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279.1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154.7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703.3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224.2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554.1</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Scaleform acquisition</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Blue Ridge acquisition</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Instructables 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20"/>
        </w:trPr>
        <w:tc>
          <w:tcPr>
            <w:tcW w:w="3540" w:type="dxa"/>
            <w:vAlign w:val="bottom"/>
          </w:tcPr>
          <w:p>
            <w:pPr>
              <w:ind w:left="380"/>
              <w:spacing w:after="0"/>
              <w:rPr>
                <w:sz w:val="20"/>
                <w:szCs w:val="20"/>
                <w:color w:val="auto"/>
              </w:rPr>
            </w:pPr>
            <w:r>
              <w:rPr>
                <w:rFonts w:ascii="Arial" w:cs="Arial" w:eastAsia="Arial" w:hAnsi="Arial"/>
                <w:sz w:val="16"/>
                <w:szCs w:val="16"/>
                <w:color w:val="auto"/>
              </w:rPr>
              <w:t>Micro Application Packages Limited</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380"/>
              <w:spacing w:after="0"/>
              <w:rPr>
                <w:sz w:val="20"/>
                <w:szCs w:val="20"/>
                <w:color w:val="auto"/>
              </w:rPr>
            </w:pPr>
            <w:r>
              <w:rPr>
                <w:rFonts w:ascii="Arial" w:cs="Arial" w:eastAsia="Arial" w:hAnsi="Arial"/>
                <w:sz w:val="16"/>
                <w:szCs w:val="16"/>
                <w:color w:val="auto"/>
              </w:rPr>
              <w:t>acquisition</w:t>
            </w:r>
          </w:p>
        </w:tc>
        <w:tc>
          <w:tcPr>
            <w:tcW w:w="2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T-Splines 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Goodwill acquired from other acquisitions</w:t>
            </w:r>
          </w:p>
        </w:tc>
        <w:tc>
          <w:tcPr>
            <w:tcW w:w="2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Effect of foreign currency translation, purchase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accounting adjustments and other</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4"/>
        </w:trPr>
        <w:tc>
          <w:tcPr>
            <w:tcW w:w="3540" w:type="dxa"/>
            <w:vAlign w:val="bottom"/>
          </w:tcPr>
          <w:p>
            <w:pPr>
              <w:ind w:left="40"/>
              <w:spacing w:after="0"/>
              <w:rPr>
                <w:sz w:val="20"/>
                <w:szCs w:val="20"/>
                <w:color w:val="auto"/>
              </w:rPr>
            </w:pPr>
            <w:r>
              <w:rPr>
                <w:rFonts w:ascii="Arial" w:cs="Arial" w:eastAsia="Arial" w:hAnsi="Arial"/>
                <w:sz w:val="16"/>
                <w:szCs w:val="16"/>
                <w:color w:val="auto"/>
              </w:rPr>
              <w:t>Balance as of January 31, 2012</w:t>
            </w: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831.6</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682.4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Purchase accounting adjustments reflect revisions made to the Company’s preliminary purchase price allocations during fiscal 2013 and 2012.</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62</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280" w:firstLine="405"/>
        <w:spacing w:after="0" w:line="273" w:lineRule="auto"/>
        <w:rPr>
          <w:sz w:val="20"/>
          <w:szCs w:val="20"/>
          <w:color w:val="auto"/>
        </w:rPr>
      </w:pPr>
      <w:r>
        <w:rPr>
          <w:rFonts w:ascii="Arial" w:cs="Arial" w:eastAsia="Arial" w:hAnsi="Arial"/>
          <w:sz w:val="17"/>
          <w:szCs w:val="17"/>
          <w:color w:val="auto"/>
        </w:rPr>
        <w:t>At least annually or more frequently as circumstances dictate Autodesk reviews its long-lived assets for impairment whenever impairment indicators exist. Autodesk continually monitors events and changes in circumstances that could indicate the carrying amounts of its long-lived assets may not be recoverable. When such events or changes in circumstances occur, Autodesk assesses recoverability of these assets. Recoverability is measured by comparison of the carrying amounts of the assets to the future undiscounted cash flows the assets are expected to generate. If the long-lived assets are considered to be impaired, the impairment to be recognized is equal to the amount by which the carrying value of the assets exceeds its fair market value. There was no impairment of long-lived assets during the years ended January 31, 2013 and 2012.</w:t>
      </w:r>
    </w:p>
    <w:p>
      <w:pPr>
        <w:spacing w:after="0" w:line="178"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In addition to the recoverability assessments, Autodesk routinely reviews the remaining estimated useful lives of its long-lived assets. Any reduction in the useful life assumption will result in increased depreciation and amortization expense in the quarter when such determinations are made, as well as in subsequent quarters.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Deferred Tax Assets</w:t>
      </w:r>
    </w:p>
    <w:p>
      <w:pPr>
        <w:spacing w:after="0" w:line="225"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Deferred tax assets arise primarily from tax credits, net operating losses, and timing differences for reserves, accrued liabilities, stock options, purchased technologies and capitalized intangibles, partially offset by the establishment of U.S. deferred tax liabilities on unremitted earnings from certain foreign subsidiaries, deferred tax liabilities associated with tax method change on advance payments, and a valuation allowance against California and Canadian deferred tax assets. They are measured using enacted tax rates expected to apply to taxable income in the years in which those temporary differences are expected to reverse. Valuation allowances are established when necessary to reduce gross deferred tax assets to the amount “more likely than not” expected to be realized.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Autodesk recognizes revenue when persuasive evidence of an arrangement exists, delivery has occurred or services have been rendered, the price is fixed or determinable, and collection is probable.</w:t>
      </w:r>
    </w:p>
    <w:p>
      <w:pPr>
        <w:spacing w:after="0" w:line="17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For multiple element arrangements containing only software and software-related elements, Autodesk allocates the sales price among each of the deliverables using the residual method, under which revenue is allocated to undelivered elements based on their vendor-specific objective evidence (“VSOE”) of fair value. VSOE is the price charged when an element is sold separately or a price set by management with the relevant authority. If Autodesk does not have VSOE of an undelivered software license, revenue recognition is deferred on the entire sales arrangement until all elements for which Autodesk does not have VSOE are delivered. If Autodesk does not have VSOE for undelivered maintenance or services, the revenue for the arrangement is recognized over the longest contractual service period in the arrangement. Revenue recognition for significant lines of business is discussed further below.</w:t>
      </w:r>
    </w:p>
    <w:p>
      <w:pPr>
        <w:spacing w:after="0" w:line="165"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 xml:space="preserve">For multiple elements arrangements involving non-software elements, including cloud subscription services, our revenue recognition policy is based upon the accounting guidance contained in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For these arrangements, we first allocate the total arrangement consideration based on the relative selling prices of the software group of elements as a whole and to the non-software elements. We then further allocate consideration within the software group to the respective elements within that group using the residual method as described above. Autodesk exercises judgment and uses estimates in connection with the determination of the amount of revenue to be recognized in each accounting period.</w:t>
      </w:r>
    </w:p>
    <w:p>
      <w:pPr>
        <w:spacing w:after="0" w:line="173"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Autodesk’s assessment of likelihood of collection is also a critical element in determining the timing of revenue recognition. If collection is not probable, the revenue will be deferred until the earlier of when collection is deemed probable or cash is received.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License and other revenue are comprised of two components: (1) all forms of product license revenue and (2) other revenue: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 All Forms of Product License Revenue</w:t>
      </w:r>
    </w:p>
    <w:p>
      <w:pPr>
        <w:spacing w:after="0" w:line="211" w:lineRule="exact"/>
        <w:rPr>
          <w:sz w:val="20"/>
          <w:szCs w:val="20"/>
          <w:color w:val="auto"/>
        </w:rPr>
      </w:pPr>
    </w:p>
    <w:p>
      <w:pPr>
        <w:ind w:left="820" w:right="180" w:firstLine="324"/>
        <w:spacing w:after="0" w:line="279" w:lineRule="auto"/>
        <w:rPr>
          <w:sz w:val="20"/>
          <w:szCs w:val="20"/>
          <w:color w:val="auto"/>
        </w:rPr>
      </w:pPr>
      <w:r>
        <w:rPr>
          <w:rFonts w:ascii="Arial" w:cs="Arial" w:eastAsia="Arial" w:hAnsi="Arial"/>
          <w:sz w:val="17"/>
          <w:szCs w:val="17"/>
          <w:color w:val="auto"/>
        </w:rPr>
        <w:t>Product license revenue includes: software license revenue from the sale of new seat licenses, upgrades, product revenue for Creative Finishing and revenue from cloud subscription services. Autodesk’s existing customers who are using a currently supported version of a product can upgrade to the latest release of the product by paying a separate fee at current available prices. An existing customer also has the option to upgrade to a different product, which generally has a higher price, for a premium fee.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63</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left="820" w:right="80" w:firstLine="324"/>
        <w:spacing w:after="0" w:line="277" w:lineRule="auto"/>
        <w:rPr>
          <w:sz w:val="20"/>
          <w:szCs w:val="20"/>
          <w:color w:val="auto"/>
        </w:rPr>
      </w:pPr>
      <w:r>
        <w:rPr>
          <w:rFonts w:ascii="Arial" w:cs="Arial" w:eastAsia="Arial" w:hAnsi="Arial"/>
          <w:sz w:val="18"/>
          <w:szCs w:val="18"/>
          <w:color w:val="auto"/>
        </w:rPr>
        <w:t>Autodesk’s product license revenue from distributors and resellers is generally recognized at the time title to Autodesk’s product passes to the distributor or reseller, provided all other criteria for revenue recognition are met.</w:t>
      </w:r>
    </w:p>
    <w:p>
      <w:pPr>
        <w:spacing w:after="0" w:line="170" w:lineRule="exact"/>
        <w:rPr>
          <w:sz w:val="20"/>
          <w:szCs w:val="20"/>
          <w:color w:val="auto"/>
        </w:rPr>
      </w:pPr>
    </w:p>
    <w:p>
      <w:pPr>
        <w:jc w:val="both"/>
        <w:ind w:left="820" w:right="80" w:firstLine="324"/>
        <w:spacing w:after="0" w:line="264" w:lineRule="auto"/>
        <w:rPr>
          <w:sz w:val="20"/>
          <w:szCs w:val="20"/>
          <w:color w:val="auto"/>
        </w:rPr>
      </w:pPr>
      <w:r>
        <w:rPr>
          <w:rFonts w:ascii="Arial" w:cs="Arial" w:eastAsia="Arial" w:hAnsi="Arial"/>
          <w:sz w:val="18"/>
          <w:szCs w:val="18"/>
          <w:color w:val="auto"/>
        </w:rPr>
        <w:t>Autodesk establishes reserves for product returns based on historical experience of actual product returns, estimated channel inventory levels, the timing of new product introductions, channel sell-in for applicable markets and other factors. These reserves are recorded as a direct reduction of revenue and accounts receivable at the time the related revenue is recognized.</w:t>
      </w:r>
    </w:p>
    <w:p>
      <w:pPr>
        <w:spacing w:after="0" w:line="181" w:lineRule="exact"/>
        <w:rPr>
          <w:sz w:val="20"/>
          <w:szCs w:val="20"/>
          <w:color w:val="auto"/>
        </w:rPr>
      </w:pPr>
    </w:p>
    <w:p>
      <w:pPr>
        <w:ind w:left="820" w:right="280" w:firstLine="324"/>
        <w:spacing w:after="0" w:line="277" w:lineRule="auto"/>
        <w:rPr>
          <w:sz w:val="20"/>
          <w:szCs w:val="20"/>
          <w:color w:val="auto"/>
        </w:rPr>
      </w:pPr>
      <w:r>
        <w:rPr>
          <w:rFonts w:ascii="Arial" w:cs="Arial" w:eastAsia="Arial" w:hAnsi="Arial"/>
          <w:sz w:val="18"/>
          <w:szCs w:val="18"/>
          <w:color w:val="auto"/>
        </w:rPr>
        <w:t>Revenues for Autodesk's cloud subscription services are recognized ratably over the contract term commencing with the date the service is made available to the customer and all other revenue recognition criteria have been satisfied.</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 Other Revenue</w:t>
      </w:r>
    </w:p>
    <w:p>
      <w:pPr>
        <w:spacing w:after="0" w:line="225" w:lineRule="exact"/>
        <w:rPr>
          <w:sz w:val="20"/>
          <w:szCs w:val="20"/>
          <w:color w:val="auto"/>
        </w:rPr>
      </w:pPr>
    </w:p>
    <w:p>
      <w:pPr>
        <w:ind w:left="820" w:right="340" w:firstLine="324"/>
        <w:spacing w:after="0" w:line="277" w:lineRule="auto"/>
        <w:rPr>
          <w:sz w:val="20"/>
          <w:szCs w:val="20"/>
          <w:color w:val="auto"/>
        </w:rPr>
      </w:pPr>
      <w:r>
        <w:rPr>
          <w:rFonts w:ascii="Arial" w:cs="Arial" w:eastAsia="Arial" w:hAnsi="Arial"/>
          <w:sz w:val="18"/>
          <w:szCs w:val="18"/>
          <w:color w:val="auto"/>
        </w:rPr>
        <w:t>Other revenue includes revenue from consulting, training, Autodesk Developers Network and Creative Finishing customer support, and is recognized over time, as the services are performed.</w:t>
      </w:r>
    </w:p>
    <w:p>
      <w:pPr>
        <w:spacing w:after="0" w:line="1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Maintenance revenue consists of revenue from the Company’s maintenance program. Under this program, customers are eligible to receive unspecified upgrades when-and-if-available, downloadable training courses and on-line support. Autodesk recognizes maintenance revenue from its maintenance program ratably over the maintenance service contract periods.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Taxes Collected from Customers</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Autodesk nets taxes collected from customers against those remitted to government authorities in the consolidated financial statements. Accordingly, taxes collected from customers are not reported as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Shipping and Handling Costs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Shipping and handling costs are included in cost of revenue for all periods presented.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On the date of grant, Autodesk measures the fair value of all stock-based payments (including grants of stock options, employee stock purchases related to the employee stock purchase plan (“ESP Plan”), and restricted stock units) to employees and directors and records the related expense in Autodesk’s Consolidated Statements of Operations. Share-based compensation cost for stock options and employee stock purchases related to the ESP Plan ("stock-based awards") are estimated at the grant date based on the fair-value as calculated using the Black-Scholes-Merton (“BSM”) option-pricing model. Share-based compensation cost for restricted stock units is measured based on the closing fair market value of the Company's common stock on the date of grant. The estimated fair value of stock-based awards and restricted stock is amortized to expense on a straight-line basis over the awards’ vesting period. The following table summarizes stock-based compensation expense for fiscal 2013, 2012 and 2011, respectively, as follows: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w w:val="93"/>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2011</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license and other revenue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35.5</w:t>
            </w: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14.9</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w:t>
            </w:r>
          </w:p>
        </w:tc>
        <w:tc>
          <w:tcPr>
            <w:tcW w:w="9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156.3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Tax benefit</w:t>
            </w:r>
          </w:p>
        </w:tc>
        <w:tc>
          <w:tcPr>
            <w:tcW w:w="9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120.8</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Autodesk uses the BSM option-pricing model to estimate the fair value of stock-based awards based on the following assumptions: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0" w:type="dxa"/>
            <w:vAlign w:val="bottom"/>
            <w:gridSpan w:val="3"/>
          </w:tcPr>
          <w:p>
            <w:pPr>
              <w:jc w:val="center"/>
              <w:ind w:left="163"/>
              <w:spacing w:after="0"/>
              <w:rPr>
                <w:sz w:val="20"/>
                <w:szCs w:val="20"/>
                <w:color w:val="auto"/>
              </w:rPr>
            </w:pPr>
            <w:r>
              <w:rPr>
                <w:rFonts w:ascii="Arial" w:cs="Arial" w:eastAsia="Arial" w:hAnsi="Arial"/>
                <w:sz w:val="14"/>
                <w:szCs w:val="14"/>
                <w:b w:val="1"/>
                <w:bCs w:val="1"/>
                <w:color w:val="auto"/>
                <w:w w:val="92"/>
              </w:rPr>
              <w:t>Fiscal Year Ended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Fiscal Year Ended</w:t>
            </w:r>
          </w:p>
        </w:tc>
        <w:tc>
          <w:tcPr>
            <w:tcW w:w="620" w:type="dxa"/>
            <w:vAlign w:val="bottom"/>
          </w:tcPr>
          <w:p>
            <w:pPr>
              <w:spacing w:after="0"/>
              <w:rPr>
                <w:sz w:val="16"/>
                <w:szCs w:val="16"/>
                <w:color w:val="auto"/>
              </w:rPr>
            </w:pPr>
          </w:p>
        </w:tc>
        <w:tc>
          <w:tcPr>
            <w:tcW w:w="1580" w:type="dxa"/>
            <w:vAlign w:val="bottom"/>
            <w:gridSpan w:val="3"/>
          </w:tcPr>
          <w:p>
            <w:pPr>
              <w:jc w:val="center"/>
              <w:ind w:left="183"/>
              <w:spacing w:after="0"/>
              <w:rPr>
                <w:sz w:val="20"/>
                <w:szCs w:val="20"/>
                <w:color w:val="auto"/>
              </w:rPr>
            </w:pPr>
            <w:r>
              <w:rPr>
                <w:rFonts w:ascii="Arial" w:cs="Arial" w:eastAsia="Arial" w:hAnsi="Arial"/>
                <w:sz w:val="14"/>
                <w:szCs w:val="14"/>
                <w:b w:val="1"/>
                <w:bCs w:val="1"/>
                <w:color w:val="auto"/>
                <w:w w:val="92"/>
              </w:rPr>
              <w:t>Fiscal Year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9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163"/>
              <w:spacing w:after="0"/>
              <w:rPr>
                <w:sz w:val="20"/>
                <w:szCs w:val="20"/>
                <w:color w:val="auto"/>
              </w:rPr>
            </w:pPr>
            <w:r>
              <w:rPr>
                <w:rFonts w:ascii="Arial" w:cs="Arial" w:eastAsia="Arial" w:hAnsi="Arial"/>
                <w:sz w:val="14"/>
                <w:szCs w:val="14"/>
                <w:b w:val="1"/>
                <w:bCs w:val="1"/>
                <w:color w:val="auto"/>
                <w:w w:val="92"/>
              </w:rPr>
              <w:t>January 31, 2013</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January 31, 2012</w:t>
            </w:r>
          </w:p>
        </w:tc>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left="183"/>
              <w:spacing w:after="0"/>
              <w:rPr>
                <w:sz w:val="20"/>
                <w:szCs w:val="20"/>
                <w:color w:val="auto"/>
              </w:rPr>
            </w:pPr>
            <w:r>
              <w:rPr>
                <w:rFonts w:ascii="Arial" w:cs="Arial" w:eastAsia="Arial" w:hAnsi="Arial"/>
                <w:sz w:val="14"/>
                <w:szCs w:val="14"/>
                <w:b w:val="1"/>
                <w:bCs w:val="1"/>
                <w:color w:val="auto"/>
                <w:w w:val="92"/>
              </w:rPr>
              <w:t>January 31, 2011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6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Stock Option</w:t>
            </w:r>
          </w:p>
        </w:tc>
        <w:tc>
          <w:tcPr>
            <w:tcW w:w="16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ESP Plan</w:t>
            </w: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Stock Option</w:t>
            </w:r>
          </w:p>
        </w:tc>
        <w:tc>
          <w:tcPr>
            <w:tcW w:w="15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ESP Plan</w:t>
            </w: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Stock Option</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ESP Plan</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Plans</w:t>
            </w:r>
          </w:p>
        </w:tc>
        <w:tc>
          <w:tcPr>
            <w:tcW w:w="1600" w:type="dxa"/>
            <w:vAlign w:val="bottom"/>
            <w:gridSpan w:val="3"/>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Plans</w:t>
            </w:r>
          </w:p>
        </w:tc>
        <w:tc>
          <w:tcPr>
            <w:tcW w:w="1580" w:type="dxa"/>
            <w:vAlign w:val="bottom"/>
            <w:gridSpan w:val="2"/>
            <w:vMerge w:val="continue"/>
          </w:tcPr>
          <w:p>
            <w:pPr>
              <w:spacing w:after="0"/>
              <w:rPr>
                <w:sz w:val="16"/>
                <w:szCs w:val="16"/>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Plans</w:t>
            </w: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Range of expected</w:t>
            </w:r>
          </w:p>
        </w:tc>
        <w:tc>
          <w:tcPr>
            <w:tcW w:w="6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200"/>
              <w:spacing w:after="0"/>
              <w:rPr>
                <w:sz w:val="20"/>
                <w:szCs w:val="20"/>
                <w:color w:val="auto"/>
              </w:rPr>
            </w:pPr>
            <w:r>
              <w:rPr>
                <w:rFonts w:ascii="Arial" w:cs="Arial" w:eastAsia="Arial" w:hAnsi="Arial"/>
                <w:sz w:val="16"/>
                <w:szCs w:val="16"/>
                <w:color w:val="auto"/>
              </w:rPr>
              <w:t>volatilities</w:t>
            </w:r>
          </w:p>
        </w:tc>
        <w:tc>
          <w:tcPr>
            <w:tcW w:w="620" w:type="dxa"/>
            <w:vAlign w:val="bottom"/>
          </w:tcPr>
          <w:p>
            <w:pPr>
              <w:jc w:val="right"/>
              <w:spacing w:after="0"/>
              <w:rPr>
                <w:sz w:val="20"/>
                <w:szCs w:val="20"/>
                <w:color w:val="auto"/>
              </w:rPr>
            </w:pPr>
            <w:r>
              <w:rPr>
                <w:rFonts w:ascii="Arial" w:cs="Arial" w:eastAsia="Arial" w:hAnsi="Arial"/>
                <w:sz w:val="16"/>
                <w:szCs w:val="16"/>
                <w:color w:val="auto"/>
              </w:rPr>
              <w:t>41</w:t>
            </w:r>
          </w:p>
        </w:tc>
        <w:tc>
          <w:tcPr>
            <w:tcW w:w="860" w:type="dxa"/>
            <w:vAlign w:val="bottom"/>
          </w:tcPr>
          <w:p>
            <w:pPr>
              <w:ind w:left="20"/>
              <w:spacing w:after="0"/>
              <w:rPr>
                <w:sz w:val="20"/>
                <w:szCs w:val="20"/>
                <w:color w:val="auto"/>
              </w:rPr>
            </w:pPr>
            <w:r>
              <w:rPr>
                <w:rFonts w:ascii="Arial" w:cs="Arial" w:eastAsia="Arial" w:hAnsi="Arial"/>
                <w:sz w:val="16"/>
                <w:szCs w:val="16"/>
                <w:color w:val="auto"/>
              </w:rPr>
              <w:t>- 45%</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w:t>
            </w:r>
          </w:p>
        </w:tc>
        <w:tc>
          <w:tcPr>
            <w:tcW w:w="860" w:type="dxa"/>
            <w:vAlign w:val="bottom"/>
          </w:tcPr>
          <w:p>
            <w:pPr>
              <w:ind w:left="20"/>
              <w:spacing w:after="0"/>
              <w:rPr>
                <w:sz w:val="20"/>
                <w:szCs w:val="20"/>
                <w:color w:val="auto"/>
              </w:rPr>
            </w:pPr>
            <w:r>
              <w:rPr>
                <w:rFonts w:ascii="Arial" w:cs="Arial" w:eastAsia="Arial" w:hAnsi="Arial"/>
                <w:sz w:val="16"/>
                <w:szCs w:val="16"/>
                <w:color w:val="auto"/>
              </w:rPr>
              <w:t>- 44%</w:t>
            </w: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0"/>
              </w:rPr>
              <w:t>40 - 49%</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34 - 44%</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w:t>
            </w:r>
          </w:p>
        </w:tc>
        <w:tc>
          <w:tcPr>
            <w:tcW w:w="860" w:type="dxa"/>
            <w:vAlign w:val="bottom"/>
          </w:tcPr>
          <w:p>
            <w:pPr>
              <w:ind w:left="20"/>
              <w:spacing w:after="0"/>
              <w:rPr>
                <w:sz w:val="20"/>
                <w:szCs w:val="20"/>
                <w:color w:val="auto"/>
              </w:rPr>
            </w:pPr>
            <w:r>
              <w:rPr>
                <w:rFonts w:ascii="Arial" w:cs="Arial" w:eastAsia="Arial" w:hAnsi="Arial"/>
                <w:sz w:val="16"/>
                <w:szCs w:val="16"/>
                <w:color w:val="auto"/>
              </w:rPr>
              <w:t>- 45%</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w:t>
            </w:r>
          </w:p>
        </w:tc>
        <w:tc>
          <w:tcPr>
            <w:tcW w:w="860" w:type="dxa"/>
            <w:vAlign w:val="bottom"/>
          </w:tcPr>
          <w:p>
            <w:pPr>
              <w:ind w:left="20"/>
              <w:spacing w:after="0"/>
              <w:rPr>
                <w:sz w:val="20"/>
                <w:szCs w:val="20"/>
                <w:color w:val="auto"/>
              </w:rPr>
            </w:pPr>
            <w:r>
              <w:rPr>
                <w:rFonts w:ascii="Arial" w:cs="Arial" w:eastAsia="Arial" w:hAnsi="Arial"/>
                <w:sz w:val="16"/>
                <w:szCs w:val="16"/>
                <w:color w:val="auto"/>
              </w:rPr>
              <w:t>- 47%</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Range of expected lives</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 years)</w:t>
            </w:r>
          </w:p>
        </w:tc>
        <w:tc>
          <w:tcPr>
            <w:tcW w:w="1480" w:type="dxa"/>
            <w:vAlign w:val="bottom"/>
            <w:tcBorders>
              <w:bottom w:val="single" w:sz="8" w:color="CCEEFF"/>
            </w:tcBorders>
            <w:gridSpan w:val="2"/>
            <w:shd w:val="clear" w:color="auto" w:fill="CCEEFF"/>
          </w:tcPr>
          <w:p>
            <w:pPr>
              <w:jc w:val="right"/>
              <w:ind w:right="403"/>
              <w:spacing w:after="0"/>
              <w:rPr>
                <w:sz w:val="20"/>
                <w:szCs w:val="20"/>
                <w:color w:val="auto"/>
              </w:rPr>
            </w:pPr>
            <w:r>
              <w:rPr>
                <w:rFonts w:ascii="Arial" w:cs="Arial" w:eastAsia="Arial" w:hAnsi="Arial"/>
                <w:sz w:val="16"/>
                <w:szCs w:val="16"/>
                <w:color w:val="auto"/>
              </w:rPr>
              <w:t>3.6 - 4.6</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6"/>
                <w:szCs w:val="16"/>
                <w:color w:val="auto"/>
              </w:rPr>
              <w:t>0.5 - 2.0</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2.6 - 4.8</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0.5 - 2.0</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383"/>
              <w:spacing w:after="0"/>
              <w:rPr>
                <w:sz w:val="20"/>
                <w:szCs w:val="20"/>
                <w:color w:val="auto"/>
              </w:rPr>
            </w:pPr>
            <w:r>
              <w:rPr>
                <w:rFonts w:ascii="Arial" w:cs="Arial" w:eastAsia="Arial" w:hAnsi="Arial"/>
                <w:sz w:val="16"/>
                <w:szCs w:val="16"/>
                <w:color w:val="auto"/>
              </w:rPr>
              <w:t>2.6 - 4.4</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6"/>
                <w:szCs w:val="16"/>
                <w:color w:val="auto"/>
              </w:rPr>
              <w:t>0.5 - 2.0</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Expected dividends</w:t>
            </w:r>
          </w:p>
        </w:tc>
        <w:tc>
          <w:tcPr>
            <w:tcW w:w="1600" w:type="dxa"/>
            <w:vAlign w:val="bottom"/>
            <w:gridSpan w:val="3"/>
          </w:tcPr>
          <w:p>
            <w:pPr>
              <w:jc w:val="center"/>
              <w:ind w:right="140"/>
              <w:spacing w:after="0"/>
              <w:rPr>
                <w:sz w:val="20"/>
                <w:szCs w:val="20"/>
                <w:color w:val="auto"/>
              </w:rPr>
            </w:pPr>
            <w:r>
              <w:rPr>
                <w:rFonts w:ascii="Arial" w:cs="Arial" w:eastAsia="Arial" w:hAnsi="Arial"/>
                <w:sz w:val="16"/>
                <w:szCs w:val="16"/>
                <w:color w:val="auto"/>
                <w:w w:val="99"/>
              </w:rPr>
              <w:t>—%</w:t>
            </w: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color w:val="auto"/>
                <w:w w:val="99"/>
              </w:rPr>
              <w:t>—%</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color w:val="auto"/>
                <w:w w:val="99"/>
              </w:rPr>
              <w:t>—%</w:t>
            </w:r>
          </w:p>
        </w:tc>
        <w:tc>
          <w:tcPr>
            <w:tcW w:w="148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Range of risk-free interest</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rates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- 0.8%</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- 0.3%</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0.5 - 1.9%</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0.1 - 0.8%</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- 1.9%</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- 1.1%</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Expected forfeitures</w:t>
            </w:r>
          </w:p>
        </w:tc>
        <w:tc>
          <w:tcPr>
            <w:tcW w:w="620" w:type="dxa"/>
            <w:vAlign w:val="bottom"/>
          </w:tcPr>
          <w:p>
            <w:pPr>
              <w:jc w:val="right"/>
              <w:spacing w:after="0"/>
              <w:rPr>
                <w:sz w:val="20"/>
                <w:szCs w:val="20"/>
                <w:color w:val="auto"/>
              </w:rPr>
            </w:pPr>
            <w:r>
              <w:rPr>
                <w:rFonts w:ascii="Arial" w:cs="Arial" w:eastAsia="Arial" w:hAnsi="Arial"/>
                <w:sz w:val="16"/>
                <w:szCs w:val="16"/>
                <w:color w:val="auto"/>
              </w:rPr>
              <w:t>7.7</w:t>
            </w:r>
          </w:p>
        </w:tc>
        <w:tc>
          <w:tcPr>
            <w:tcW w:w="860" w:type="dxa"/>
            <w:vAlign w:val="bottom"/>
          </w:tcPr>
          <w:p>
            <w:pPr>
              <w:ind w:left="20"/>
              <w:spacing w:after="0"/>
              <w:rPr>
                <w:sz w:val="20"/>
                <w:szCs w:val="20"/>
                <w:color w:val="auto"/>
              </w:rPr>
            </w:pPr>
            <w:r>
              <w:rPr>
                <w:rFonts w:ascii="Arial" w:cs="Arial" w:eastAsia="Arial" w:hAnsi="Arial"/>
                <w:sz w:val="16"/>
                <w:szCs w:val="16"/>
                <w:color w:val="auto"/>
              </w:rPr>
              <w:t>- 7.8%</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7.7</w:t>
            </w:r>
          </w:p>
        </w:tc>
        <w:tc>
          <w:tcPr>
            <w:tcW w:w="860" w:type="dxa"/>
            <w:vAlign w:val="bottom"/>
          </w:tcPr>
          <w:p>
            <w:pPr>
              <w:ind w:left="20"/>
              <w:spacing w:after="0"/>
              <w:rPr>
                <w:sz w:val="20"/>
                <w:szCs w:val="20"/>
                <w:color w:val="auto"/>
              </w:rPr>
            </w:pPr>
            <w:r>
              <w:rPr>
                <w:rFonts w:ascii="Arial" w:cs="Arial" w:eastAsia="Arial" w:hAnsi="Arial"/>
                <w:sz w:val="16"/>
                <w:szCs w:val="16"/>
                <w:color w:val="auto"/>
              </w:rPr>
              <w:t>- 7.8%</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0"/>
              </w:rPr>
              <w:t>7.8 - 10.5%</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7.8 - 10.5%</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10.5</w:t>
            </w:r>
          </w:p>
        </w:tc>
        <w:tc>
          <w:tcPr>
            <w:tcW w:w="860" w:type="dxa"/>
            <w:vAlign w:val="bottom"/>
          </w:tcPr>
          <w:p>
            <w:pPr>
              <w:ind w:left="20"/>
              <w:spacing w:after="0"/>
              <w:rPr>
                <w:sz w:val="20"/>
                <w:szCs w:val="20"/>
                <w:color w:val="auto"/>
              </w:rPr>
            </w:pPr>
            <w:r>
              <w:rPr>
                <w:rFonts w:ascii="Arial" w:cs="Arial" w:eastAsia="Arial" w:hAnsi="Arial"/>
                <w:sz w:val="16"/>
                <w:szCs w:val="16"/>
                <w:color w:val="auto"/>
              </w:rPr>
              <w:t>- 13.5%</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10.5</w:t>
            </w:r>
          </w:p>
        </w:tc>
        <w:tc>
          <w:tcPr>
            <w:tcW w:w="860" w:type="dxa"/>
            <w:vAlign w:val="bottom"/>
          </w:tcPr>
          <w:p>
            <w:pPr>
              <w:ind w:left="20"/>
              <w:spacing w:after="0"/>
              <w:rPr>
                <w:sz w:val="20"/>
                <w:szCs w:val="20"/>
                <w:color w:val="auto"/>
              </w:rPr>
            </w:pPr>
            <w:r>
              <w:rPr>
                <w:rFonts w:ascii="Arial" w:cs="Arial" w:eastAsia="Arial" w:hAnsi="Arial"/>
                <w:sz w:val="16"/>
                <w:szCs w:val="16"/>
                <w:color w:val="auto"/>
              </w:rPr>
              <w:t>- 13.5%</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w:t>
      </w:r>
    </w:p>
    <w:p>
      <w:pPr>
        <w:spacing w:after="0" w:line="18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Autodesk did not pay cash dividends in fiscal 2013, 2012 or 2011 and does not anticipate paying any cash dividends in the foreseeable future.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Consequently, an expected dividend yield of zero is used in the BSM option pricing model.</w:t>
      </w:r>
    </w:p>
    <w:p>
      <w:pPr>
        <w:spacing w:after="0" w:line="211"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for stock-based awards is the historical yield on U.S. Treasury securities with equivalent remaining lives.</w:t>
      </w:r>
    </w:p>
    <w:p>
      <w:pPr>
        <w:spacing w:after="0" w:line="17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only recognizes expense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Advertising Expenses</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Advertising costs are expensed as incurred. Total advertising expenses incurred were $15.6 million in fiscal 2013, $21.3 million in fiscal 2012 and $18.8 million in fiscal 2011.</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Income Per Share</w:t>
      </w:r>
    </w:p>
    <w:p>
      <w:pPr>
        <w:spacing w:after="0" w:line="225"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Basic net income per share is computed based on the weighted average number of shares of common stock outstanding for the period, excluding stock options and restricted stock units. Diluted net income per share is computed based upon the weighted average shares of common shares outstanding for the period and potentially dilutive common shares, including the effect of stock options and restricted stock units under the treasury stock method.</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Standards in Fiscal 2013</w:t>
      </w:r>
    </w:p>
    <w:p>
      <w:pPr>
        <w:spacing w:after="0" w:line="225"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With the exception of those discussed below, there have been no recent changes in accounting pronouncements issued by the FASB or adopted by the Company during the fiscal year ended January 31, 2013, that are of significance, or potential significance, to the Company.</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In September 2011, the FASB issued ASU 2011-8 regarding ASC Topic 350 “Intangibles – Goodwill and Other.” This ASU allows for the option to first assess qualitative factors to determine whether the existence of events or circumstances leads</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a determination that it is more likely than not that the fair value of a reporting unit is less than its carrying amount. If, after assessing the totality of events or circumstances, it is more likely than not that the fair value of the reporting unit is greater than its carrying value, then performing the two-step impairment test is unnecessary. Autodesk adopted ASU 2011-8 effective February 1, 2012. The adoption of this ASU did not have a material impact on Autodesk's consolidated statements of financial position, results of operations or cash flows.</w:t>
      </w:r>
    </w:p>
    <w:p>
      <w:pPr>
        <w:spacing w:after="0" w:line="187"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In June 2011, the FASB issued ASU 2011-5 regarding ASC Topic 220 “Comprehensive Income.” This ASU eliminates the option to present components of other comprehensive income as part of the statement of changes in stockholders’ equity and requires the presentation of the total of comprehensive income, the components of net income, and the components of other comprehensive income either in a single continuous statement of comprehensive income or in two separate but consecutive statements. In December 2011, the FASB issued ASU 2011-12, an amendment to an existing accounting standard which defers the requirement to present components of reclassifications of other comprehensive income on the face of the income statement. Autodesk adopted ASU 2011-5 and ASU 2011-12 effective February 1, 2012. This accounting pronouncement impacted the presentation of other comprehensive income but did not impact Autodesk's consolidated financial position, results of operations or cash flows.</w:t>
      </w:r>
    </w:p>
    <w:p>
      <w:pPr>
        <w:spacing w:after="0" w:line="17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May 2011, FASB issued ASU 2011-4 regarding ASC Topic 820 “Fair Value Measurement.” This ASU amends the fair value measurement guidance and includes enhanced disclosure requirements primarily around Level 3 fair value measurements based on unobservable inputs. Autodesk adopted ASU 2011-4 effective February 1, 2012. The adoption of this ASU did not have a material impact on Autodesk's consolidated statements of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66</w:t>
      </w:r>
    </w:p>
    <w:p>
      <w:pPr>
        <w:sectPr>
          <w:pgSz w:w="11900" w:h="16838" w:orient="portrait"/>
          <w:cols w:equalWidth="0" w:num="1">
            <w:col w:w="11320"/>
          </w:cols>
          <w:pgMar w:left="24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Financial Instruments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summarizes the Company's financial instruments' amortized cost, gross unrealized gains, gross unrealized losses, and fair value by significant investment category as of January 31, 2013 and 2012.</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05"/>
        </w:trPr>
        <w:tc>
          <w:tcPr>
            <w:tcW w:w="2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January 31, 2013</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3"/>
                <w:szCs w:val="13"/>
                <w:color w:val="auto"/>
              </w:rPr>
            </w:pPr>
          </w:p>
        </w:tc>
        <w:tc>
          <w:tcPr>
            <w:tcW w:w="9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6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7"/>
              </w:rPr>
              <w:t>losses</w:t>
            </w:r>
          </w:p>
        </w:tc>
        <w:tc>
          <w:tcPr>
            <w:tcW w:w="8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equivalents (1):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240"/>
              <w:spacing w:after="0"/>
              <w:rPr>
                <w:sz w:val="20"/>
                <w:szCs w:val="20"/>
                <w:color w:val="auto"/>
              </w:rPr>
            </w:pPr>
            <w:r>
              <w:rPr>
                <w:rFonts w:ascii="Arial" w:cs="Arial" w:eastAsia="Arial" w:hAnsi="Arial"/>
                <w:sz w:val="16"/>
                <w:szCs w:val="16"/>
                <w:color w:val="auto"/>
              </w:rPr>
              <w:t>Certificates of deposit and time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240"/>
              <w:spacing w:after="0"/>
              <w:rPr>
                <w:sz w:val="20"/>
                <w:szCs w:val="20"/>
                <w:color w:val="auto"/>
              </w:rPr>
            </w:pPr>
            <w:r>
              <w:rPr>
                <w:rFonts w:ascii="Arial" w:cs="Arial" w:eastAsia="Arial" w:hAnsi="Arial"/>
                <w:sz w:val="16"/>
                <w:szCs w:val="16"/>
                <w:color w:val="auto"/>
              </w:rPr>
              <w:t>deposits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392.4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392.4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375.2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Corporate Bond</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240"/>
              <w:spacing w:after="0"/>
              <w:rPr>
                <w:sz w:val="20"/>
                <w:szCs w:val="20"/>
                <w:color w:val="auto"/>
              </w:rPr>
            </w:pPr>
            <w:r>
              <w:rPr>
                <w:rFonts w:ascii="Arial" w:cs="Arial" w:eastAsia="Arial" w:hAnsi="Arial"/>
                <w:sz w:val="16"/>
                <w:szCs w:val="16"/>
                <w:color w:val="auto"/>
              </w:rPr>
              <w:t>Commercial paper</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Money market funds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40"/>
              <w:spacing w:after="0"/>
              <w:rPr>
                <w:sz w:val="20"/>
                <w:szCs w:val="20"/>
                <w:color w:val="auto"/>
              </w:rPr>
            </w:pPr>
            <w:r>
              <w:rPr>
                <w:rFonts w:ascii="Arial" w:cs="Arial" w:eastAsia="Arial" w:hAnsi="Arial"/>
                <w:sz w:val="16"/>
                <w:szCs w:val="16"/>
                <w:color w:val="auto"/>
              </w:rPr>
              <w:t>Marketable securities: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Short-term available for sale</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20"/>
              <w:spacing w:after="0"/>
              <w:rPr>
                <w:sz w:val="20"/>
                <w:szCs w:val="20"/>
                <w:color w:val="auto"/>
              </w:rPr>
            </w:pPr>
            <w:r>
              <w:rPr>
                <w:rFonts w:ascii="Arial" w:cs="Arial" w:eastAsia="Arial" w:hAnsi="Arial"/>
                <w:sz w:val="16"/>
                <w:szCs w:val="16"/>
                <w:color w:val="auto"/>
                <w:w w:val="98"/>
              </w:rPr>
              <w:t>Commercial paper and corporate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580"/>
              <w:spacing w:after="0"/>
              <w:rPr>
                <w:sz w:val="20"/>
                <w:szCs w:val="20"/>
                <w:color w:val="auto"/>
              </w:rPr>
            </w:pPr>
            <w:r>
              <w:rPr>
                <w:rFonts w:ascii="Arial" w:cs="Arial" w:eastAsia="Arial" w:hAnsi="Arial"/>
                <w:sz w:val="16"/>
                <w:szCs w:val="16"/>
                <w:color w:val="auto"/>
              </w:rPr>
              <w:t>debt securities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Certificates of deposit and time</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deposits</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20"/>
              <w:spacing w:after="0"/>
              <w:rPr>
                <w:sz w:val="20"/>
                <w:szCs w:val="20"/>
                <w:color w:val="auto"/>
              </w:rPr>
            </w:pPr>
            <w:r>
              <w:rPr>
                <w:rFonts w:ascii="Arial" w:cs="Arial" w:eastAsia="Arial" w:hAnsi="Arial"/>
                <w:sz w:val="16"/>
                <w:szCs w:val="16"/>
                <w:color w:val="auto"/>
              </w:rPr>
              <w:t>U.S. treasury securities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92"/>
              </w:rPr>
              <w:t>U.S. government agency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20"/>
              <w:spacing w:after="0"/>
              <w:rPr>
                <w:sz w:val="20"/>
                <w:szCs w:val="20"/>
                <w:color w:val="auto"/>
              </w:rPr>
            </w:pPr>
            <w:r>
              <w:rPr>
                <w:rFonts w:ascii="Arial" w:cs="Arial" w:eastAsia="Arial" w:hAnsi="Arial"/>
                <w:sz w:val="16"/>
                <w:szCs w:val="16"/>
                <w:color w:val="auto"/>
              </w:rPr>
              <w:t>Sovereign Debt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Municipal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Short-term trading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20"/>
              <w:spacing w:after="0"/>
              <w:rPr>
                <w:sz w:val="20"/>
                <w:szCs w:val="20"/>
                <w:color w:val="auto"/>
              </w:rPr>
            </w:pPr>
            <w:r>
              <w:rPr>
                <w:rFonts w:ascii="Arial" w:cs="Arial" w:eastAsia="Arial" w:hAnsi="Arial"/>
                <w:sz w:val="16"/>
                <w:szCs w:val="16"/>
                <w:color w:val="auto"/>
              </w:rPr>
              <w:t>Mutual funds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Long-term available for sale</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2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U.S. treasury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20"/>
              <w:spacing w:after="0"/>
              <w:rPr>
                <w:sz w:val="20"/>
                <w:szCs w:val="20"/>
                <w:color w:val="auto"/>
              </w:rPr>
            </w:pPr>
            <w:r>
              <w:rPr>
                <w:rFonts w:ascii="Arial" w:cs="Arial" w:eastAsia="Arial" w:hAnsi="Arial"/>
                <w:sz w:val="16"/>
                <w:szCs w:val="16"/>
                <w:color w:val="auto"/>
                <w:w w:val="92"/>
              </w:rPr>
              <w:t>U.S. government agency securities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Municipal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20"/>
              <w:spacing w:after="0"/>
              <w:rPr>
                <w:sz w:val="20"/>
                <w:szCs w:val="20"/>
                <w:color w:val="auto"/>
              </w:rPr>
            </w:pPr>
            <w:r>
              <w:rPr>
                <w:rFonts w:ascii="Arial" w:cs="Arial" w:eastAsia="Arial" w:hAnsi="Arial"/>
                <w:sz w:val="16"/>
                <w:szCs w:val="16"/>
                <w:color w:val="auto"/>
              </w:rPr>
              <w:t>Sovereign Debt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Taxable auction-rate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2740" w:type="dxa"/>
            <w:vAlign w:val="bottom"/>
          </w:tcPr>
          <w:p>
            <w:pPr>
              <w:ind w:left="140"/>
              <w:spacing w:after="0"/>
              <w:rPr>
                <w:sz w:val="20"/>
                <w:szCs w:val="20"/>
                <w:color w:val="auto"/>
              </w:rPr>
            </w:pPr>
            <w:r>
              <w:rPr>
                <w:rFonts w:ascii="Arial" w:cs="Arial" w:eastAsia="Arial" w:hAnsi="Arial"/>
                <w:sz w:val="16"/>
                <w:szCs w:val="16"/>
                <w:color w:val="auto"/>
              </w:rPr>
              <w:t>Convertible debt securities (2)</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Derivative contracts (3)</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31"/>
        </w:trPr>
        <w:tc>
          <w:tcPr>
            <w:tcW w:w="2740" w:type="dxa"/>
            <w:vAlign w:val="bottom"/>
          </w:tcPr>
          <w:p>
            <w:pPr>
              <w:ind w:left="4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2,029.2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2,038.0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678.3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1,327.3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12700</wp:posOffset>
            </wp:positionV>
            <wp:extent cx="40989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-130175</wp:posOffset>
            </wp:positionV>
            <wp:extent cx="40989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3"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Considered "available for sale" securities and included in "Other assets"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"Other assets," or “Other accrued liabilities”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67</w:t>
      </w:r>
    </w:p>
    <w:p>
      <w:pPr>
        <w:sectPr>
          <w:pgSz w:w="11900" w:h="16838" w:orient="portrait"/>
          <w:cols w:equalWidth="0" w:num="1">
            <w:col w:w="11380"/>
          </w:cols>
          <w:pgMar w:left="240" w:top="125" w:right="27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05"/>
        </w:trPr>
        <w:tc>
          <w:tcPr>
            <w:tcW w:w="2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January 31, 2012</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216"/>
        </w:trPr>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3"/>
        </w:trPr>
        <w:tc>
          <w:tcPr>
            <w:tcW w:w="2680" w:type="dxa"/>
            <w:vAlign w:val="bottom"/>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Amortized</w:t>
            </w:r>
          </w:p>
        </w:tc>
        <w:tc>
          <w:tcPr>
            <w:tcW w:w="1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unrealized</w:t>
            </w:r>
          </w:p>
        </w:tc>
        <w:tc>
          <w:tcPr>
            <w:tcW w:w="14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0"/>
        </w:trPr>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Cost</w:t>
            </w:r>
          </w:p>
        </w:tc>
        <w:tc>
          <w:tcPr>
            <w:tcW w:w="200" w:type="dxa"/>
            <w:vAlign w:val="bottom"/>
          </w:tcPr>
          <w:p>
            <w:pPr>
              <w:spacing w:after="0"/>
              <w:rPr>
                <w:sz w:val="18"/>
                <w:szCs w:val="18"/>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gains</w:t>
            </w: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0"/>
              </w:rPr>
              <w:t>losses</w:t>
            </w:r>
          </w:p>
        </w:tc>
        <w:tc>
          <w:tcPr>
            <w:tcW w:w="140" w:type="dxa"/>
            <w:vAlign w:val="bottom"/>
          </w:tcPr>
          <w:p>
            <w:pPr>
              <w:spacing w:after="0"/>
              <w:rPr>
                <w:sz w:val="18"/>
                <w:szCs w:val="18"/>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Level 3</w:t>
            </w:r>
          </w:p>
        </w:tc>
      </w:tr>
      <w:tr>
        <w:trPr>
          <w:trHeight w:val="40"/>
        </w:trPr>
        <w:tc>
          <w:tcPr>
            <w:tcW w:w="26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50"/>
        </w:trPr>
        <w:tc>
          <w:tcPr>
            <w:tcW w:w="2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equivalents (1):</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20"/>
        </w:trPr>
        <w:tc>
          <w:tcPr>
            <w:tcW w:w="2680" w:type="dxa"/>
            <w:vAlign w:val="bottom"/>
          </w:tcPr>
          <w:p>
            <w:pPr>
              <w:ind w:left="240"/>
              <w:spacing w:after="0"/>
              <w:rPr>
                <w:sz w:val="20"/>
                <w:szCs w:val="20"/>
                <w:color w:val="auto"/>
              </w:rPr>
            </w:pPr>
            <w:r>
              <w:rPr>
                <w:rFonts w:ascii="Arial" w:cs="Arial" w:eastAsia="Arial" w:hAnsi="Arial"/>
                <w:sz w:val="16"/>
                <w:szCs w:val="16"/>
                <w:color w:val="auto"/>
              </w:rPr>
              <w:t>Certificates of deposit and time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6"/>
        </w:trPr>
        <w:tc>
          <w:tcPr>
            <w:tcW w:w="2680" w:type="dxa"/>
            <w:vAlign w:val="bottom"/>
          </w:tcPr>
          <w:p>
            <w:pPr>
              <w:ind w:left="240"/>
              <w:spacing w:after="0"/>
              <w:rPr>
                <w:sz w:val="20"/>
                <w:szCs w:val="20"/>
                <w:color w:val="auto"/>
              </w:rPr>
            </w:pPr>
            <w:r>
              <w:rPr>
                <w:rFonts w:ascii="Arial" w:cs="Arial" w:eastAsia="Arial" w:hAnsi="Arial"/>
                <w:sz w:val="16"/>
                <w:szCs w:val="16"/>
                <w:color w:val="auto"/>
              </w:rPr>
              <w:t>deposits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493.6</w:t>
            </w:r>
          </w:p>
        </w:tc>
        <w:tc>
          <w:tcPr>
            <w:tcW w:w="1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493.6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482.3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80" w:type="dxa"/>
            <w:vAlign w:val="bottom"/>
          </w:tcPr>
          <w:p>
            <w:pPr>
              <w:ind w:left="240"/>
              <w:spacing w:after="0"/>
              <w:rPr>
                <w:sz w:val="20"/>
                <w:szCs w:val="20"/>
                <w:color w:val="auto"/>
              </w:rPr>
            </w:pPr>
            <w:r>
              <w:rPr>
                <w:rFonts w:ascii="Arial" w:cs="Arial" w:eastAsia="Arial" w:hAnsi="Arial"/>
                <w:sz w:val="16"/>
                <w:szCs w:val="16"/>
                <w:color w:val="auto"/>
              </w:rPr>
              <w:t>Money market funds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2680" w:type="dxa"/>
            <w:vAlign w:val="bottom"/>
          </w:tcPr>
          <w:p>
            <w:pPr>
              <w:ind w:left="240"/>
              <w:spacing w:after="0"/>
              <w:rPr>
                <w:sz w:val="20"/>
                <w:szCs w:val="20"/>
                <w:color w:val="auto"/>
              </w:rPr>
            </w:pPr>
            <w:r>
              <w:rPr>
                <w:rFonts w:ascii="Arial" w:cs="Arial" w:eastAsia="Arial" w:hAnsi="Arial"/>
                <w:sz w:val="16"/>
                <w:szCs w:val="16"/>
                <w:color w:val="auto"/>
              </w:rPr>
              <w:t>Short-term available for sale</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0"/>
        </w:trPr>
        <w:tc>
          <w:tcPr>
            <w:tcW w:w="268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5"/>
              </w:rPr>
              <w:t>Commercial paper and corporate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9"/>
        </w:trPr>
        <w:tc>
          <w:tcPr>
            <w:tcW w:w="26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debt securities</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80" w:type="dxa"/>
            <w:vAlign w:val="bottom"/>
          </w:tcPr>
          <w:p>
            <w:pPr>
              <w:ind w:left="420"/>
              <w:spacing w:after="0"/>
              <w:rPr>
                <w:sz w:val="20"/>
                <w:szCs w:val="20"/>
                <w:color w:val="auto"/>
              </w:rPr>
            </w:pPr>
            <w:r>
              <w:rPr>
                <w:rFonts w:ascii="Arial" w:cs="Arial" w:eastAsia="Arial" w:hAnsi="Arial"/>
                <w:sz w:val="16"/>
                <w:szCs w:val="16"/>
                <w:color w:val="auto"/>
              </w:rPr>
              <w:t>Time deposits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U.S.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680" w:type="dxa"/>
            <w:vAlign w:val="bottom"/>
          </w:tcPr>
          <w:p>
            <w:pPr>
              <w:ind w:left="420"/>
              <w:spacing w:after="0"/>
              <w:rPr>
                <w:sz w:val="20"/>
                <w:szCs w:val="20"/>
                <w:color w:val="auto"/>
              </w:rPr>
            </w:pPr>
            <w:r>
              <w:rPr>
                <w:rFonts w:ascii="Arial" w:cs="Arial" w:eastAsia="Arial" w:hAnsi="Arial"/>
                <w:sz w:val="16"/>
                <w:szCs w:val="16"/>
                <w:color w:val="auto"/>
              </w:rPr>
              <w:t>U.S. government agency</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6"/>
        </w:trPr>
        <w:tc>
          <w:tcPr>
            <w:tcW w:w="2680" w:type="dxa"/>
            <w:vAlign w:val="bottom"/>
          </w:tcPr>
          <w:p>
            <w:pPr>
              <w:ind w:left="420"/>
              <w:spacing w:after="0"/>
              <w:rPr>
                <w:sz w:val="20"/>
                <w:szCs w:val="20"/>
                <w:color w:val="auto"/>
              </w:rPr>
            </w:pPr>
            <w:r>
              <w:rPr>
                <w:rFonts w:ascii="Arial" w:cs="Arial" w:eastAsia="Arial" w:hAnsi="Arial"/>
                <w:sz w:val="16"/>
                <w:szCs w:val="16"/>
                <w:color w:val="auto"/>
              </w:rPr>
              <w:t>securities</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80" w:type="dxa"/>
            <w:vAlign w:val="bottom"/>
          </w:tcPr>
          <w:p>
            <w:pPr>
              <w:ind w:left="42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Short-term trading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2680" w:type="dxa"/>
            <w:vAlign w:val="bottom"/>
          </w:tcPr>
          <w:p>
            <w:pPr>
              <w:ind w:left="42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Long-term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2680" w:type="dxa"/>
            <w:vAlign w:val="bottom"/>
          </w:tcPr>
          <w:p>
            <w:pPr>
              <w:ind w:left="42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U.S.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680" w:type="dxa"/>
            <w:vAlign w:val="bottom"/>
          </w:tcPr>
          <w:p>
            <w:pPr>
              <w:ind w:left="420"/>
              <w:spacing w:after="0"/>
              <w:rPr>
                <w:sz w:val="20"/>
                <w:szCs w:val="20"/>
                <w:color w:val="auto"/>
              </w:rPr>
            </w:pPr>
            <w:r>
              <w:rPr>
                <w:rFonts w:ascii="Arial" w:cs="Arial" w:eastAsia="Arial" w:hAnsi="Arial"/>
                <w:sz w:val="16"/>
                <w:szCs w:val="16"/>
                <w:color w:val="auto"/>
              </w:rPr>
              <w:t>U.S. government agency</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6"/>
        </w:trPr>
        <w:tc>
          <w:tcPr>
            <w:tcW w:w="2680" w:type="dxa"/>
            <w:vAlign w:val="bottom"/>
          </w:tcPr>
          <w:p>
            <w:pPr>
              <w:ind w:left="420"/>
              <w:spacing w:after="0"/>
              <w:rPr>
                <w:sz w:val="20"/>
                <w:szCs w:val="20"/>
                <w:color w:val="auto"/>
              </w:rPr>
            </w:pPr>
            <w:r>
              <w:rPr>
                <w:rFonts w:ascii="Arial" w:cs="Arial" w:eastAsia="Arial" w:hAnsi="Arial"/>
                <w:sz w:val="16"/>
                <w:szCs w:val="16"/>
                <w:color w:val="auto"/>
              </w:rPr>
              <w:t>securities</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80" w:type="dxa"/>
            <w:vAlign w:val="bottom"/>
          </w:tcPr>
          <w:p>
            <w:pPr>
              <w:ind w:left="420"/>
              <w:spacing w:after="0"/>
              <w:rPr>
                <w:sz w:val="20"/>
                <w:szCs w:val="20"/>
                <w:color w:val="auto"/>
              </w:rPr>
            </w:pPr>
            <w:r>
              <w:rPr>
                <w:rFonts w:ascii="Arial" w:cs="Arial" w:eastAsia="Arial" w:hAnsi="Arial"/>
                <w:sz w:val="16"/>
                <w:szCs w:val="16"/>
                <w:color w:val="auto"/>
              </w:rPr>
              <w:t>Taxable auction-rate securities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Convertible Debt Securities (2)</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37"/>
        </w:trPr>
        <w:tc>
          <w:tcPr>
            <w:tcW w:w="2680" w:type="dxa"/>
            <w:vAlign w:val="bottom"/>
          </w:tcPr>
          <w:p>
            <w:pPr>
              <w:ind w:left="140"/>
              <w:spacing w:after="0"/>
              <w:rPr>
                <w:sz w:val="20"/>
                <w:szCs w:val="20"/>
                <w:color w:val="auto"/>
              </w:rPr>
            </w:pPr>
            <w:r>
              <w:rPr>
                <w:rFonts w:ascii="Arial" w:cs="Arial" w:eastAsia="Arial" w:hAnsi="Arial"/>
                <w:sz w:val="16"/>
                <w:szCs w:val="16"/>
                <w:color w:val="auto"/>
              </w:rPr>
              <w:t>Derivative contracts (3)</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2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2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1,335.0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420" w:hanging="412"/>
        <w:spacing w:after="0"/>
        <w:tabs>
          <w:tab w:leader="none" w:pos="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Considered "available for sale" securities and included in "Other assets"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"Other assets," or “Other accrued liabilities” in the accompanying Consolidated Balance Sheets.</w:t>
      </w:r>
    </w:p>
    <w:p>
      <w:pPr>
        <w:spacing w:after="0" w:line="20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year ended January 31, 2013.</w:t>
      </w:r>
    </w:p>
    <w:p>
      <w:pPr>
        <w:spacing w:after="0" w:line="17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available for sale securities on pricing from pricing vendors, who may</w:t>
      </w: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68</w:t>
      </w:r>
    </w:p>
    <w:p>
      <w:pPr>
        <w:sectPr>
          <w:pgSz w:w="11900" w:h="16838" w:orient="portrait"/>
          <w:cols w:equalWidth="0" w:num="1">
            <w:col w:w="11320"/>
          </w:cols>
          <w:pgMar w:left="240" w:top="125" w:right="3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auction rate securities, convertible debt securities and derivative contracts which are valued using probability weighted discounted cash flow models and some of the inputs to the models are unobservable in the market.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fiscal years ended January 31, 2013 and 2012 was as follows:</w:t>
      </w:r>
    </w:p>
    <w:p>
      <w:pPr>
        <w:spacing w:after="0" w:line="379"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13335</wp:posOffset>
            </wp:positionV>
            <wp:extent cx="31127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9"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23495</wp:posOffset>
            </wp:positionV>
            <wp:extent cx="31127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Derivative</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Convertible Debt</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Taxable</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Auction-Rate</w:t>
            </w:r>
          </w:p>
        </w:tc>
        <w:tc>
          <w:tcPr>
            <w:tcW w:w="160" w:type="dxa"/>
            <w:vAlign w:val="bottom"/>
          </w:tcPr>
          <w:p>
            <w:pPr>
              <w:spacing w:after="0"/>
              <w:rPr>
                <w:sz w:val="12"/>
                <w:szCs w:val="12"/>
                <w:color w:val="auto"/>
              </w:rPr>
            </w:pPr>
          </w:p>
        </w:tc>
        <w:tc>
          <w:tcPr>
            <w:tcW w:w="6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Contracts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8"/>
              </w:rPr>
              <w:t>Securities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31, 2011</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Purchases</w:t>
            </w:r>
          </w:p>
        </w:tc>
        <w:tc>
          <w:tcPr>
            <w:tcW w:w="22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31, 2012</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Purchases</w:t>
            </w:r>
          </w:p>
        </w:tc>
        <w:tc>
          <w:tcPr>
            <w:tcW w:w="22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Total realized/unrealized gains (losses)</w:t>
            </w:r>
          </w:p>
        </w:tc>
        <w:tc>
          <w:tcPr>
            <w:tcW w:w="22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31, 2013</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6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w w:val="98"/>
              </w:rPr>
              <w:t>January 31, 2013</w:t>
            </w:r>
          </w:p>
        </w:tc>
      </w:tr>
      <w:tr>
        <w:trPr>
          <w:trHeight w:val="264"/>
        </w:trPr>
        <w:tc>
          <w:tcPr>
            <w:tcW w:w="8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1 year</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306.7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423.2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424.4</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5 years through 10 years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after 10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4.2</w:t>
            </w: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734.1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735.4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January 31, 2013 and 2012, Autodesk did not have any securities in a continuous unrealized loss position for greater than twelve months.</w:t>
      </w:r>
    </w:p>
    <w:p>
      <w:pPr>
        <w:spacing w:after="0" w:line="23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Autodesk also has direct investments in privately held companies accounted for under the cost method, which are periodically assessed for other-than-temporary impairment. If Autodesk determines that an other-than-temporary impairment has occurred, Autodesk writes down the investment to its fair value. Autodesk estimates fair value of its cost method investments considering available information such as pricing in recent rounds of financing, current cash positions, earnings and cash flow forecasts, recent operational performance and any other readily available market data. During fiscal 2013, Autodesk recorded a $10.5 million other-than-temporary impairment on its privately held equity investments. The impairment expense was recorded in “Interest and other income, net” on the Company's Consolidated Statement of Income.</w:t>
      </w:r>
    </w:p>
    <w:p>
      <w:pPr>
        <w:spacing w:after="0" w:line="193" w:lineRule="exact"/>
        <w:rPr>
          <w:sz w:val="20"/>
          <w:szCs w:val="20"/>
          <w:color w:val="auto"/>
        </w:rPr>
      </w:pPr>
    </w:p>
    <w:p>
      <w:pPr>
        <w:ind w:left="60" w:right="40" w:firstLine="405"/>
        <w:spacing w:after="0" w:line="264" w:lineRule="auto"/>
        <w:rPr>
          <w:sz w:val="20"/>
          <w:szCs w:val="20"/>
          <w:color w:val="auto"/>
        </w:rPr>
      </w:pPr>
      <w:r>
        <w:rPr>
          <w:rFonts w:ascii="Arial" w:cs="Arial" w:eastAsia="Arial" w:hAnsi="Arial"/>
          <w:sz w:val="18"/>
          <w:szCs w:val="18"/>
          <w:color w:val="auto"/>
        </w:rPr>
        <w:t>The sales or redemptions of “available-for-sale securities” in fiscal 2013 and fiscal 2011 resulted in gains of $5.0 million and $1.7 million, respectively. The sales or redemptions of “available-for-sale securities” in fiscal 2012 resulted in no gains or losses. The cost of securities sold is based on the specific identification method.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Under its risk management strategy, Autodesk uses derivative instruments to manage its short-term exposures to fluctuations in foreign currency exchange rates which exist as part of ongoing business operations. Autodesk's general practice is to hedge a portion of transaction exposures denominated in euros, Japanese yen, Swiss francs, British pounds, Canadian</w:t>
      </w: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dollars and Australian dollars. These instruments have maturities between one to twelve months in the future. Autodesk does not enter into derivative instrument transactions for trading or speculative purposes.</w:t>
      </w:r>
    </w:p>
    <w:p>
      <w:pPr>
        <w:spacing w:after="0" w:line="170"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income”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income” to “Interest and other income, net” in the Company's Consolidated Financial Statements at that time.</w:t>
      </w:r>
    </w:p>
    <w:p>
      <w:pPr>
        <w:spacing w:after="0" w:line="166"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The net notional amount of these contracts was $359.8 million at January 31, 2013 and $419.6 million at January 31, 2012. Balances presented below are presented as net settled. Outstanding contracts are recognized as either assets or liabilities on the balance sheet at fair value. The majority of the net gain of $2.8 million remaining in “Accumulated other comprehensive (loss) income” as of January 31, 2013 is expected to be recognized into earnings within the next twelve months.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Autodesk uses foreign currency contracts which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income,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were $78.4 million at January 31, 2013 and $75.1 million at January 31, 2012.</w:t>
      </w:r>
    </w:p>
    <w:p>
      <w:pPr>
        <w:spacing w:after="0" w:line="20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income, net.”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70</w:t>
      </w:r>
    </w:p>
    <w:p>
      <w:pPr>
        <w:sectPr>
          <w:pgSz w:w="11900" w:h="16838" w:orient="portrait"/>
          <w:cols w:equalWidth="0" w:num="1">
            <w:col w:w="11340"/>
          </w:cols>
          <w:pgMar w:left="240" w:top="125" w:right="31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fair value of derivative instruments in Autodesk’s Consolidated Balance Sheets were as follows as of January 31, 2013 and January 31, 2012:</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Derivative Assets</w:t>
      </w:r>
    </w:p>
    <w:p>
      <w:pPr>
        <w:spacing w:after="0" w:line="302" w:lineRule="exact"/>
        <w:rPr>
          <w:sz w:val="20"/>
          <w:szCs w:val="20"/>
          <w:color w:val="auto"/>
        </w:rPr>
      </w:pPr>
    </w:p>
    <w:p>
      <w:pPr>
        <w:ind w:left="380" w:right="840" w:hanging="26"/>
        <w:spacing w:after="0" w:line="392" w:lineRule="auto"/>
        <w:rPr>
          <w:sz w:val="20"/>
          <w:szCs w:val="20"/>
          <w:color w:val="auto"/>
        </w:rPr>
      </w:pPr>
      <w:r>
        <w:rPr>
          <w:rFonts w:ascii="Arial" w:cs="Arial" w:eastAsia="Arial" w:hAnsi="Arial"/>
          <w:sz w:val="14"/>
          <w:szCs w:val="14"/>
          <w:color w:val="auto"/>
        </w:rPr>
        <w:t>Foreign currency contracts designated as cash flow hedges Derivatives not designated as hedging instruments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derivative assets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Derivative Liabilities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Foreign currency contracts designated as cash flow hedges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derivative liabilities</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2520" w:type="dxa"/>
            <w:vAlign w:val="bottom"/>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31, 2013</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2012</w:t>
            </w:r>
          </w:p>
        </w:tc>
      </w:tr>
      <w:tr>
        <w:trPr>
          <w:trHeight w:val="489"/>
        </w:trPr>
        <w:tc>
          <w:tcPr>
            <w:tcW w:w="25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06"/>
        </w:trPr>
        <w:tc>
          <w:tcPr>
            <w:tcW w:w="2520" w:type="dxa"/>
            <w:vAlign w:val="bottom"/>
          </w:tcPr>
          <w:p>
            <w:pPr>
              <w:ind w:left="20"/>
              <w:spacing w:after="0"/>
              <w:rPr>
                <w:sz w:val="20"/>
                <w:szCs w:val="20"/>
                <w:color w:val="auto"/>
              </w:rPr>
            </w:pPr>
            <w:r>
              <w:rPr>
                <w:rFonts w:ascii="Arial" w:cs="Arial" w:eastAsia="Arial" w:hAnsi="Arial"/>
                <w:sz w:val="16"/>
                <w:szCs w:val="16"/>
                <w:color w:val="auto"/>
              </w:rPr>
              <w:t>assets</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11.9</w:t>
            </w:r>
          </w:p>
        </w:tc>
      </w:tr>
      <w:tr>
        <w:trPr>
          <w:trHeight w:val="270"/>
        </w:trPr>
        <w:tc>
          <w:tcPr>
            <w:tcW w:w="25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6.2</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5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18.1</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88"/>
        </w:trPr>
        <w:tc>
          <w:tcPr>
            <w:tcW w:w="252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5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-1379855</wp:posOffset>
            </wp:positionV>
            <wp:extent cx="72466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-908685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-556895</wp:posOffset>
            </wp:positionV>
            <wp:extent cx="724662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-196850</wp:posOffset>
            </wp:positionV>
            <wp:extent cx="724662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700"/>
          </w:cols>
          <w:pgMar w:left="240" w:top="125" w:right="239" w:bottom="1440" w:gutter="0" w:footer="0" w:header="0"/>
          <w:type w:val="continuous"/>
        </w:sectPr>
      </w:pPr>
    </w:p>
    <w:p>
      <w:pPr>
        <w:spacing w:after="0" w:line="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Consolidated Statements of Operations were as follows for the fiscal years ended January 31, 2013 and 2012, respectively (amounts presented include any income tax effects):</w:t>
      </w:r>
    </w:p>
    <w:p>
      <w:pPr>
        <w:spacing w:after="0" w:line="324"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Foreign Currency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6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 of gain recognized in Accumulated other comprehensive (loss) income on derivatives (effective portion)</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w w:val="92"/>
              </w:rPr>
              <w:t>Amount and Location of Gain (Loss) Reclassified from Accumulated other comprehensive (loss) income into Income (Effective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34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200"/>
              <w:spacing w:after="0"/>
              <w:rPr>
                <w:sz w:val="20"/>
                <w:szCs w:val="20"/>
                <w:color w:val="auto"/>
              </w:rPr>
            </w:pPr>
            <w:r>
              <w:rPr>
                <w:rFonts w:ascii="Arial" w:cs="Arial" w:eastAsia="Arial" w:hAnsi="Arial"/>
                <w:sz w:val="16"/>
                <w:szCs w:val="16"/>
                <w:i w:val="1"/>
                <w:iCs w:val="1"/>
                <w:color w:val="auto"/>
              </w:rPr>
              <w:t>Portion)</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w w:val="96"/>
              </w:rPr>
              <w:t>Amount and Location of (Loss) Gain Recognized in Income on Derivatives (Ineffective Portion and Amount Excluded from</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34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200"/>
              <w:spacing w:after="0"/>
              <w:rPr>
                <w:sz w:val="20"/>
                <w:szCs w:val="20"/>
                <w:color w:val="auto"/>
              </w:rPr>
            </w:pPr>
            <w:r>
              <w:rPr>
                <w:rFonts w:ascii="Arial" w:cs="Arial" w:eastAsia="Arial" w:hAnsi="Arial"/>
                <w:sz w:val="16"/>
                <w:szCs w:val="16"/>
                <w:i w:val="1"/>
                <w:iCs w:val="1"/>
                <w:color w:val="auto"/>
              </w:rPr>
              <w:t>Effectiveness Testing)</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and other income, net</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Consolidated Statements of Operations were as follows for the fiscal years ended January 31, 2013 and 2012, respectively (amounts presented include any income tax effects):</w:t>
      </w:r>
    </w:p>
    <w:p>
      <w:pPr>
        <w:spacing w:after="0" w:line="32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Foreign Exchange</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Amount and Location of Gain (Loss) Recognized in Income on Derivative</w:t>
      </w:r>
    </w:p>
    <w:p>
      <w:pPr>
        <w:spacing w:after="0" w:line="100" w:lineRule="exact"/>
        <w:rPr>
          <w:sz w:val="20"/>
          <w:szCs w:val="20"/>
          <w:color w:val="auto"/>
        </w:rPr>
      </w:pPr>
    </w:p>
    <w:p>
      <w:pPr>
        <w:ind w:left="380"/>
        <w:spacing w:after="0"/>
        <w:tabs>
          <w:tab w:leader="none" w:pos="8340" w:val="left"/>
          <w:tab w:leader="none" w:pos="9500" w:val="left"/>
          <w:tab w:leader="none" w:pos="9960" w:val="left"/>
          <w:tab w:leader="none" w:pos="11040" w:val="left"/>
        </w:tabs>
        <w:rPr>
          <w:sz w:val="20"/>
          <w:szCs w:val="20"/>
          <w:color w:val="auto"/>
        </w:rPr>
      </w:pPr>
      <w:r>
        <w:rPr>
          <w:rFonts w:ascii="Arial" w:cs="Arial" w:eastAsia="Arial" w:hAnsi="Arial"/>
          <w:sz w:val="16"/>
          <w:szCs w:val="16"/>
          <w:color w:val="auto"/>
        </w:rPr>
        <w:t>Interest and other income, net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(1.3)</w:t>
      </w:r>
    </w:p>
    <w:p>
      <w:pPr>
        <w:spacing w:after="0" w:line="2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Employee and Director Stock Plans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Plans</w:t>
      </w:r>
    </w:p>
    <w:p>
      <w:pPr>
        <w:spacing w:after="0" w:line="225"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As of January 31, 2013, Autodesk maintained two active stock option plans for the purpose of granting equity awards to employees and to non-employee members of Autodesk’s Board of Directors: the 2012 Employee Stock Plan (“2012 Employee</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71</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Plan”), which is available only to employees, and the Autodesk 2012 Outside Directors’ Stock Plan (“2012 Directors' Plan”), which is available only to non-employee directors. Additionally, there are eight expired or terminated plans with options outstanding. The exercise price of all stock options granted under these plans was equal to the fair market value of the stock on the grant date.</w:t>
      </w:r>
    </w:p>
    <w:p>
      <w:pPr>
        <w:spacing w:after="0" w:line="181"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2012 Employee Plan was approved by Autodesk's stockholders and became effective on January 6, 2012. The 2012 Employee Plan replaced the 2008 Employee Stock Plan, as amended ("2008 Plan") and no further equity awards may be granted under the 2008 Plan. The 2012 Employee Plan reserves up to 21.2 million shares which includes 15.2 million shares reserved upon the effectiveness of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January 31, 2013, 7.0 million shares subject to options or restricted stock awards have been granted under the 2012 Employee Plan. Options and restricted stock that were granted under the 2012 plan vest over periods ranging from immediately upon grant to over a three year period and options expire 10 years from the date of grant. The 2012 Employee Plan will expire on June 30, 2022. At January 31, 2013, 11.6 million shares were available for future issuance under the 2012 Employee Plan.</w:t>
      </w:r>
    </w:p>
    <w:p>
      <w:pPr>
        <w:spacing w:after="0" w:line="183"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The 2012 Director's Plan was approved by Autodesk's stockholders and became effective on January 6, 2012. The 2012 Directors' Plan replaced the 2010 Outside Directors' Stock Plan, as amended ("2010 Plan").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January 31, 2013, 0.2 million shares subject to restricted stock unit awards have been granted under the 2012 Directors' Plan. Restricted stock units that were granted under the 2012 Outside Directors' Plan vest over one year from the date of grant. The 2012 Directors' Plan reserved 2.6 million shares of Autodesk common stock. The 2012 Directors' Plan will expire on June 30, 2022. At January 31, 2013, 2.4 million shares were available for future issuance under the 2012 Director's Plan.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fiscal year ended January 31, 2013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182"/>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tcPr>
          <w:p>
            <w:pPr>
              <w:jc w:val="center"/>
              <w:ind w:right="4"/>
              <w:spacing w:after="0"/>
              <w:rPr>
                <w:sz w:val="20"/>
                <w:szCs w:val="20"/>
                <w:color w:val="auto"/>
              </w:rPr>
            </w:pPr>
            <w:r>
              <w:rPr>
                <w:rFonts w:ascii="Arial" w:cs="Arial" w:eastAsia="Arial" w:hAnsi="Arial"/>
                <w:sz w:val="14"/>
                <w:szCs w:val="14"/>
                <w:b w:val="1"/>
                <w:bCs w:val="1"/>
                <w:color w:val="auto"/>
                <w:w w:val="91"/>
              </w:rPr>
              <w:t>Weighted</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0"/>
              </w:rPr>
              <w:t>exercise price per</w:t>
            </w:r>
          </w:p>
        </w:tc>
        <w:tc>
          <w:tcPr>
            <w:tcW w:w="166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2"/>
              </w:rPr>
              <w:t>average remaining</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5"/>
              </w:rPr>
              <w:t>share</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Intrinsic Value (2)</w:t>
            </w: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60" w:type="dxa"/>
            <w:vAlign w:val="bottom"/>
          </w:tcPr>
          <w:p>
            <w:pPr>
              <w:jc w:val="center"/>
              <w:ind w:right="4"/>
              <w:spacing w:after="0"/>
              <w:rPr>
                <w:sz w:val="20"/>
                <w:szCs w:val="20"/>
                <w:color w:val="auto"/>
              </w:rPr>
            </w:pPr>
            <w:r>
              <w:rPr>
                <w:rFonts w:ascii="Arial" w:cs="Arial" w:eastAsia="Arial" w:hAnsi="Arial"/>
                <w:sz w:val="14"/>
                <w:szCs w:val="14"/>
                <w:b w:val="1"/>
                <w:bCs w:val="1"/>
                <w:color w:val="auto"/>
                <w:w w:val="93"/>
              </w:rPr>
              <w:t>(in years)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January 31, 2012</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31.39</w:t>
            </w:r>
          </w:p>
        </w:tc>
        <w:tc>
          <w:tcPr>
            <w:tcW w:w="16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42"/>
              <w:spacing w:after="0"/>
              <w:rPr>
                <w:sz w:val="20"/>
                <w:szCs w:val="20"/>
                <w:color w:val="auto"/>
              </w:rPr>
            </w:pPr>
            <w:r>
              <w:rPr>
                <w:rFonts w:ascii="Arial" w:cs="Arial" w:eastAsia="Arial" w:hAnsi="Arial"/>
                <w:sz w:val="16"/>
                <w:szCs w:val="16"/>
                <w:color w:val="auto"/>
              </w:rPr>
              <w:t>36.59</w:t>
            </w:r>
          </w:p>
        </w:tc>
        <w:tc>
          <w:tcPr>
            <w:tcW w:w="1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24.67</w:t>
            </w:r>
          </w:p>
        </w:tc>
        <w:tc>
          <w:tcPr>
            <w:tcW w:w="1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Canceled</w:t>
            </w: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42"/>
              <w:spacing w:after="0"/>
              <w:rPr>
                <w:sz w:val="20"/>
                <w:szCs w:val="20"/>
                <w:color w:val="auto"/>
              </w:rPr>
            </w:pPr>
            <w:r>
              <w:rPr>
                <w:rFonts w:ascii="Arial" w:cs="Arial" w:eastAsia="Arial" w:hAnsi="Arial"/>
                <w:sz w:val="16"/>
                <w:szCs w:val="16"/>
                <w:color w:val="auto"/>
              </w:rPr>
              <w:t>38.38</w:t>
            </w:r>
          </w:p>
        </w:tc>
        <w:tc>
          <w:tcPr>
            <w:tcW w:w="1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January 31, 2013</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19.0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32.69</w:t>
            </w:r>
          </w:p>
        </w:tc>
        <w:tc>
          <w:tcPr>
            <w:tcW w:w="16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3.8</w:t>
            </w:r>
          </w:p>
        </w:tc>
        <w:tc>
          <w:tcPr>
            <w:tcW w:w="12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153.4</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0"/>
              <w:spacing w:after="0"/>
              <w:rPr>
                <w:sz w:val="20"/>
                <w:szCs w:val="20"/>
                <w:color w:val="auto"/>
              </w:rPr>
            </w:pPr>
            <w:r>
              <w:rPr>
                <w:rFonts w:ascii="Arial" w:cs="Arial" w:eastAsia="Arial" w:hAnsi="Arial"/>
                <w:sz w:val="16"/>
                <w:szCs w:val="16"/>
                <w:color w:val="auto"/>
              </w:rPr>
              <w:t>Options vested and exercisable at January 31, 2013</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20" w:type="dxa"/>
            <w:vAlign w:val="bottom"/>
            <w:tcBorders>
              <w:bottom w:val="single" w:sz="8" w:color="CCEEFF"/>
            </w:tcBorders>
            <w:vMerge w:val="continue"/>
          </w:tcPr>
          <w:p>
            <w:pPr>
              <w:spacing w:after="0"/>
              <w:rPr>
                <w:sz w:val="24"/>
                <w:szCs w:val="24"/>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13.2</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tcPr>
          <w:p>
            <w:pPr>
              <w:jc w:val="right"/>
              <w:ind w:right="142"/>
              <w:spacing w:after="0"/>
              <w:rPr>
                <w:sz w:val="20"/>
                <w:szCs w:val="20"/>
                <w:color w:val="auto"/>
              </w:rPr>
            </w:pPr>
            <w:r>
              <w:rPr>
                <w:rFonts w:ascii="Arial" w:cs="Arial" w:eastAsia="Arial" w:hAnsi="Arial"/>
                <w:sz w:val="16"/>
                <w:szCs w:val="16"/>
                <w:color w:val="auto"/>
              </w:rPr>
              <w:t>31.80</w:t>
            </w:r>
          </w:p>
        </w:tc>
        <w:tc>
          <w:tcPr>
            <w:tcW w:w="1660" w:type="dxa"/>
            <w:vAlign w:val="bottom"/>
            <w:tcBorders>
              <w:bottom w:val="single" w:sz="8" w:color="CCEEFF"/>
            </w:tcBorders>
          </w:tcPr>
          <w:p>
            <w:pPr>
              <w:jc w:val="right"/>
              <w:ind w:right="24"/>
              <w:spacing w:after="0"/>
              <w:rPr>
                <w:sz w:val="20"/>
                <w:szCs w:val="20"/>
                <w:color w:val="auto"/>
              </w:rPr>
            </w:pPr>
            <w:r>
              <w:rPr>
                <w:rFonts w:ascii="Arial" w:cs="Arial" w:eastAsia="Arial" w:hAnsi="Arial"/>
                <w:sz w:val="16"/>
                <w:szCs w:val="16"/>
                <w:color w:val="auto"/>
              </w:rPr>
              <w:t>2.7</w:t>
            </w:r>
          </w:p>
        </w:tc>
        <w:tc>
          <w:tcPr>
            <w:tcW w:w="128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0"/>
              </w:rPr>
              <w:t>Options vested and exercisable as of January 31, 2013 and expected to vest thereafter (1)</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18.8</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32.63</w:t>
            </w:r>
          </w:p>
        </w:tc>
        <w:tc>
          <w:tcPr>
            <w:tcW w:w="16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3.7</w:t>
            </w:r>
          </w:p>
        </w:tc>
        <w:tc>
          <w:tcPr>
            <w:tcW w:w="12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153.0</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0"/>
              <w:spacing w:after="0"/>
              <w:rPr>
                <w:sz w:val="20"/>
                <w:szCs w:val="20"/>
                <w:color w:val="auto"/>
              </w:rPr>
            </w:pPr>
            <w:r>
              <w:rPr>
                <w:rFonts w:ascii="Arial" w:cs="Arial" w:eastAsia="Arial" w:hAnsi="Arial"/>
                <w:sz w:val="16"/>
                <w:szCs w:val="16"/>
                <w:color w:val="auto"/>
              </w:rPr>
              <w:t>Options available for grant at January 31, 2013</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vMerge w:val="continue"/>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Options expected to vest reflect an estimated forfeiture rate.</w:t>
      </w:r>
    </w:p>
    <w:p>
      <w:pPr>
        <w:spacing w:after="0" w:line="9" w:lineRule="exact"/>
        <w:rPr>
          <w:rFonts w:ascii="Arial" w:cs="Arial" w:eastAsia="Arial" w:hAnsi="Arial"/>
          <w:sz w:val="16"/>
          <w:szCs w:val="16"/>
          <w:color w:val="auto"/>
        </w:rPr>
      </w:pPr>
    </w:p>
    <w:p>
      <w:pPr>
        <w:ind w:left="420" w:right="140" w:hanging="412"/>
        <w:spacing w:after="0" w:line="257" w:lineRule="auto"/>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$38.88 per share as of January 31, 2013, which would have been received by the option holders had all option holders exercised their options as of that date.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As of January 31, 2013, total compensation cost of $34.8 million related to non-vested options is expected to be recognized over a weighted average period of 1.0 year. The following table summarizes information about the pre-tax intrinsic value of options exercised, and the weighted average grant date fair value per share of options granted, during the fiscal years ended January 31, 2013, 2012 and 2011:</w:t>
      </w:r>
    </w:p>
    <w:p>
      <w:pPr>
        <w:spacing w:after="0" w:line="335"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13335</wp:posOffset>
            </wp:positionV>
            <wp:extent cx="29673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2011</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Intrinsic value of options exercised (1)</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61.9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Weighted average grant date fair value per share of stock options granted (2)</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13.39</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14.04</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9.30</w:t>
            </w:r>
          </w:p>
        </w:tc>
      </w:tr>
    </w:tbl>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32" w:lineRule="exact"/>
        <w:rPr>
          <w:rFonts w:ascii="Arial" w:cs="Arial" w:eastAsia="Arial" w:hAnsi="Arial"/>
          <w:sz w:val="14"/>
          <w:szCs w:val="14"/>
          <w:color w:val="auto"/>
        </w:rPr>
      </w:pPr>
    </w:p>
    <w:p>
      <w:pPr>
        <w:ind w:left="420" w:hanging="412"/>
        <w:spacing w:after="0"/>
        <w:tabs>
          <w:tab w:leader="none" w:pos="4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weighted average grant date fair value per share of stock options granted is calculated, as of the stock option grant date, using the BSM option pricing model.</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options vested and exercisable, and outstanding at January 31, 2013:</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Options Vested and Exercisable</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3"/>
                <w:szCs w:val="13"/>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98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8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life</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exercise</w:t>
            </w: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value(1)</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life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exercise</w:t>
            </w:r>
          </w:p>
        </w:tc>
        <w:tc>
          <w:tcPr>
            <w:tcW w:w="140" w:type="dxa"/>
            <w:vAlign w:val="bottom"/>
          </w:tcPr>
          <w:p>
            <w:pPr>
              <w:spacing w:after="0"/>
              <w:rPr>
                <w:sz w:val="12"/>
                <w:szCs w:val="12"/>
                <w:color w:val="auto"/>
              </w:rPr>
            </w:pPr>
          </w:p>
        </w:tc>
        <w:tc>
          <w:tcPr>
            <w:tcW w:w="98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0"/>
              </w:rPr>
              <w:t>value(1)</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w w:val="89"/>
              </w:rPr>
              <w:t>price per share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price per share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6"/>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Range of per-share</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exercise prices:</w:t>
            </w: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6"/>
                <w:szCs w:val="16"/>
                <w:color w:val="auto"/>
              </w:rPr>
              <w:t>$2.28 - $20.69</w:t>
            </w:r>
          </w:p>
        </w:tc>
        <w:tc>
          <w:tcPr>
            <w:tcW w:w="8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98"/>
              </w:rPr>
              <w:t>3.3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14.59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14.85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$21.89 - $29.50</w:t>
            </w:r>
          </w:p>
        </w:tc>
        <w:tc>
          <w:tcPr>
            <w:tcW w:w="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6"/>
                <w:szCs w:val="16"/>
                <w:color w:val="auto"/>
              </w:rPr>
              <w:t>$29.56 - $41.62</w:t>
            </w:r>
          </w:p>
        </w:tc>
        <w:tc>
          <w:tcPr>
            <w:tcW w:w="8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98"/>
              </w:rPr>
              <w:t>3.9</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35.98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37.93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$42.39 - $48.72</w:t>
            </w:r>
          </w:p>
        </w:tc>
        <w:tc>
          <w:tcPr>
            <w:tcW w:w="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45.36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6"/>
                <w:szCs w:val="16"/>
                <w:color w:val="auto"/>
              </w:rPr>
              <w:t>$49.80 - $49.80</w:t>
            </w:r>
          </w:p>
        </w:tc>
        <w:tc>
          <w:tcPr>
            <w:tcW w:w="8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98"/>
              </w:rPr>
              <w:t>0.2</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49.80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49.80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6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31.80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120.8</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32.69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153.4</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73"/>
              </w:rPr>
              <w:t>____________________</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00" w:hanging="412"/>
        <w:spacing w:after="0" w:line="263" w:lineRule="auto"/>
        <w:tabs>
          <w:tab w:leader="none" w:pos="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total intrinsic value, based on Autodesk’s closing stock price of $38.88 per share as of January 31, 2013, which would have been received by the option holders had all option holders exercised their options as of that date.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options will expire if not exercised at specific dates ranging through September 2022.</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award and restricted stock unit activity for the fiscal year ended January 31, 2013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Unreleased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92"/>
        </w:trPr>
        <w:tc>
          <w:tcPr>
            <w:tcW w:w="44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5"/>
              </w:rPr>
              <w:t>date fair value</w:t>
            </w:r>
          </w:p>
        </w:tc>
        <w:tc>
          <w:tcPr>
            <w:tcW w:w="0" w:type="dxa"/>
            <w:vAlign w:val="bottom"/>
          </w:tcPr>
          <w:p>
            <w:pPr>
              <w:spacing w:after="0"/>
              <w:rPr>
                <w:sz w:val="1"/>
                <w:szCs w:val="1"/>
                <w:color w:val="auto"/>
              </w:rPr>
            </w:pPr>
          </w:p>
        </w:tc>
      </w:tr>
      <w:tr>
        <w:trPr>
          <w:trHeight w:val="250"/>
        </w:trPr>
        <w:tc>
          <w:tcPr>
            <w:tcW w:w="44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Unreleased restricted stock at January 31, 2012</w:t>
            </w:r>
          </w:p>
        </w:tc>
        <w:tc>
          <w:tcPr>
            <w:tcW w:w="54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2,184.1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36.65</w:t>
            </w:r>
          </w:p>
        </w:tc>
        <w:tc>
          <w:tcPr>
            <w:tcW w:w="0" w:type="dxa"/>
            <w:vAlign w:val="bottom"/>
          </w:tcPr>
          <w:p>
            <w:pPr>
              <w:spacing w:after="0"/>
              <w:rPr>
                <w:sz w:val="1"/>
                <w:szCs w:val="1"/>
                <w:color w:val="auto"/>
              </w:rPr>
            </w:pPr>
          </w:p>
        </w:tc>
      </w:tr>
      <w:tr>
        <w:trPr>
          <w:trHeight w:val="237"/>
        </w:trPr>
        <w:tc>
          <w:tcPr>
            <w:tcW w:w="4400" w:type="dxa"/>
            <w:vAlign w:val="bottom"/>
          </w:tcPr>
          <w:p>
            <w:pPr>
              <w:ind w:left="380"/>
              <w:spacing w:after="0"/>
              <w:rPr>
                <w:sz w:val="20"/>
                <w:szCs w:val="20"/>
                <w:color w:val="auto"/>
              </w:rPr>
            </w:pPr>
            <w:r>
              <w:rPr>
                <w:rFonts w:ascii="Arial" w:cs="Arial" w:eastAsia="Arial" w:hAnsi="Arial"/>
                <w:sz w:val="16"/>
                <w:szCs w:val="16"/>
                <w:color w:val="auto"/>
              </w:rPr>
              <w:t>Granted</w:t>
            </w:r>
          </w:p>
        </w:tc>
        <w:tc>
          <w:tcPr>
            <w:tcW w:w="5440" w:type="dxa"/>
            <w:vAlign w:val="bottom"/>
            <w:gridSpan w:val="2"/>
          </w:tcPr>
          <w:p>
            <w:pPr>
              <w:jc w:val="right"/>
              <w:ind w:right="48"/>
              <w:spacing w:after="0"/>
              <w:rPr>
                <w:sz w:val="20"/>
                <w:szCs w:val="20"/>
                <w:color w:val="auto"/>
              </w:rPr>
            </w:pPr>
            <w:r>
              <w:rPr>
                <w:rFonts w:ascii="Arial" w:cs="Arial" w:eastAsia="Arial" w:hAnsi="Arial"/>
                <w:sz w:val="16"/>
                <w:szCs w:val="16"/>
                <w:color w:val="auto"/>
              </w:rPr>
              <w:t>3,975.5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33.32</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(889.5)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37.82</w:t>
            </w:r>
          </w:p>
        </w:tc>
        <w:tc>
          <w:tcPr>
            <w:tcW w:w="0" w:type="dxa"/>
            <w:vAlign w:val="bottom"/>
          </w:tcPr>
          <w:p>
            <w:pPr>
              <w:spacing w:after="0"/>
              <w:rPr>
                <w:sz w:val="1"/>
                <w:szCs w:val="1"/>
                <w:color w:val="auto"/>
              </w:rPr>
            </w:pPr>
          </w:p>
        </w:tc>
      </w:tr>
      <w:tr>
        <w:trPr>
          <w:trHeight w:val="237"/>
        </w:trPr>
        <w:tc>
          <w:tcPr>
            <w:tcW w:w="4400" w:type="dxa"/>
            <w:vAlign w:val="bottom"/>
          </w:tcPr>
          <w:p>
            <w:pPr>
              <w:ind w:left="380"/>
              <w:spacing w:after="0"/>
              <w:rPr>
                <w:sz w:val="20"/>
                <w:szCs w:val="20"/>
                <w:color w:val="auto"/>
              </w:rPr>
            </w:pPr>
            <w:r>
              <w:rPr>
                <w:rFonts w:ascii="Arial" w:cs="Arial" w:eastAsia="Arial" w:hAnsi="Arial"/>
                <w:sz w:val="16"/>
                <w:szCs w:val="16"/>
                <w:color w:val="auto"/>
              </w:rPr>
              <w:t>Canceled</w:t>
            </w:r>
          </w:p>
        </w:tc>
        <w:tc>
          <w:tcPr>
            <w:tcW w:w="5440" w:type="dxa"/>
            <w:vAlign w:val="bottom"/>
            <w:gridSpan w:val="2"/>
          </w:tcPr>
          <w:p>
            <w:pPr>
              <w:jc w:val="right"/>
              <w:spacing w:after="0"/>
              <w:rPr>
                <w:sz w:val="20"/>
                <w:szCs w:val="20"/>
                <w:color w:val="auto"/>
              </w:rPr>
            </w:pPr>
            <w:r>
              <w:rPr>
                <w:rFonts w:ascii="Arial" w:cs="Arial" w:eastAsia="Arial" w:hAnsi="Arial"/>
                <w:sz w:val="16"/>
                <w:szCs w:val="16"/>
                <w:color w:val="auto"/>
              </w:rPr>
              <w:t>(249.3)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34.97</w:t>
            </w:r>
          </w:p>
        </w:tc>
        <w:tc>
          <w:tcPr>
            <w:tcW w:w="0" w:type="dxa"/>
            <w:vAlign w:val="bottom"/>
          </w:tcPr>
          <w:p>
            <w:pPr>
              <w:spacing w:after="0"/>
              <w:rPr>
                <w:sz w:val="1"/>
                <w:szCs w:val="1"/>
                <w:color w:val="auto"/>
              </w:rPr>
            </w:pPr>
          </w:p>
        </w:tc>
      </w:tr>
      <w:tr>
        <w:trPr>
          <w:trHeight w:val="33"/>
        </w:trPr>
        <w:tc>
          <w:tcPr>
            <w:tcW w:w="44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Unreleased restricted stock at January 31, 2013</w:t>
            </w:r>
          </w:p>
        </w:tc>
        <w:tc>
          <w:tcPr>
            <w:tcW w:w="544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5,020.8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33.89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2420"/>
              <w:spacing w:after="0"/>
              <w:rPr>
                <w:sz w:val="20"/>
                <w:szCs w:val="20"/>
                <w:color w:val="auto"/>
              </w:rPr>
            </w:pPr>
            <w:r>
              <w:rPr>
                <w:rFonts w:ascii="Arial" w:cs="Arial" w:eastAsia="Arial" w:hAnsi="Arial"/>
                <w:sz w:val="14"/>
                <w:szCs w:val="14"/>
                <w:b w:val="1"/>
                <w:bCs w:val="1"/>
                <w:color w:val="auto"/>
              </w:rPr>
              <w:t>73</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44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During the fiscal year ended January 31, 2013, Autodesk granted approximately 3.4 million restricted stock units. The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expensed ratably over the vesting period. Autodesk recorded stock-based compensation expense related to restricted stock units of $70.5 million, $29.1 million and $8.9 million during fiscal years ended January 31, 2013, 2012 and 2011, respectively. Included in the $70.5 million, Autodesk incurred $16.6 million relating to the acceleration of vesting of equity awards held in Socialcam for Socialcam employees immediately prior to the acquisition. As of January 31, 2013, total compensation cost not yet recognized of $93.0 million related to non-vested awards, is expected to be recognized over a weighted average period of 1.8 years. At January 31, 2013, the number of units granted but unreleased was 4.5 million.</w:t>
      </w:r>
    </w:p>
    <w:p>
      <w:pPr>
        <w:spacing w:after="0" w:line="166"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During the fiscal year ended January 31, 2013, Autodesk granted 0.5 million performance restricted stock units. The majority of the performance restricted stock units that were granted had performance criteria based solely upon the attainment of predetermined goals relative to company revenue growth and non-GAAP operating margin performance for fiscal 2013 as calculated under a pre-established performance matrix. If the performance criteria is achieved, the performance restricted stock units would vest ratably on an annual cliff basis from March 2013 through March 2015. In addition, during fiscal 2013, Autodesk granted an additional performance-based restricted stock unit award to our CEO, the value of which would be realized only if he satisfies certain specified strategic corporate, and talent management performance objectives as established by the Compensation Committee of Autodesk's Board of Directors.</w:t>
      </w:r>
    </w:p>
    <w:p>
      <w:pPr>
        <w:spacing w:after="0" w:line="18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Performance stock units are not considered outstanding stock at the time of grant, as the holders of these units are not entitled to any of the rights of a stockholder, including voting rights. The fair value of the performance restricted stock units is expensed using the accelerated attribution method over the vesting period. Autodesk recorded stock-based compensation expense related to performance restricted stock units of $8.1 million during fiscal year ended January 31, 2013. Autodesk recorded no stock-based compensation related to performance restricted stock units during the fiscal years ended January 31, 2012 and 2011. As of January 31, 2013, total compensation cost not yet recognized of $5.8 million related to non-vested performance restricted stock units, is expected to be recognized over a weighted average period of 1.1 years. At January 31, 2013, the number of performance restricted stock units granted but unreleased was 0.5 million.</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225"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eligible compensation subject to certain limitations, at not less than 85% of fair market value as defined in the ESP Plan. At January 31, 2013, a total of 36.2 million shares were available for future issuance. This amount automatically increases on the first trading day of each fiscal year by an amount equal to the lesser of 10.0 million shares or 2%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9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Autodesk issued 2.9 million shares under the ESP Plan at an average price of $21.79 per share in fiscal 2013, 2.8 million shares at an average price of $18.26 per share in fiscal 2012, and 3.2 million shares at an average price of $14.77 per share in fiscal 2011. The weighted average grant date fair value of awards granted under the ESP Plan during fiscal 2013, 2012 and 2011, calculated as of the award grant date using the BSM option-pricing model, was $12.21, $9.95 and $10.11 per share, respectively. Autodesk recorded $34.0 million, $23.8 million and $18.2 million of compensation expense associated with the ESP Plan in fiscal 2013, 2012 and 2011, respectively.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Equity Compensation Plan Information</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table summarizes the number of outstanding options granted to employees and directors, as well as the number of securities remaining available for future issuance under these plans as of January 31, 2013:</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Plan category</w:t>
      </w:r>
    </w:p>
    <w:p>
      <w:pPr>
        <w:spacing w:after="0" w:line="54" w:lineRule="exact"/>
        <w:rPr>
          <w:sz w:val="20"/>
          <w:szCs w:val="20"/>
          <w:color w:val="auto"/>
        </w:rPr>
      </w:pPr>
    </w:p>
    <w:p>
      <w:pPr>
        <w:ind w:left="40"/>
        <w:spacing w:after="0" w:line="356" w:lineRule="auto"/>
        <w:rPr>
          <w:sz w:val="20"/>
          <w:szCs w:val="20"/>
          <w:color w:val="auto"/>
        </w:rPr>
      </w:pPr>
      <w:r>
        <w:rPr>
          <w:rFonts w:ascii="Arial" w:cs="Arial" w:eastAsia="Arial" w:hAnsi="Arial"/>
          <w:sz w:val="16"/>
          <w:szCs w:val="16"/>
          <w:color w:val="auto"/>
        </w:rPr>
        <w:t>Equity compensation plans approved by security holders Equity compensation plans not approved by security holders(2) Total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(b)</w:t>
            </w:r>
          </w:p>
        </w:tc>
        <w:tc>
          <w:tcPr>
            <w:tcW w:w="2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5"/>
        </w:trPr>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Weighted-average</w:t>
            </w:r>
          </w:p>
        </w:tc>
        <w:tc>
          <w:tcPr>
            <w:tcW w:w="2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1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2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available for future issuance</w:t>
            </w:r>
          </w:p>
        </w:tc>
        <w:tc>
          <w:tcPr>
            <w:tcW w:w="0" w:type="dxa"/>
            <w:vAlign w:val="bottom"/>
          </w:tcPr>
          <w:p>
            <w:pPr>
              <w:spacing w:after="0"/>
              <w:rPr>
                <w:sz w:val="1"/>
                <w:szCs w:val="1"/>
                <w:color w:val="auto"/>
              </w:rPr>
            </w:pPr>
          </w:p>
        </w:tc>
      </w:tr>
      <w:tr>
        <w:trPr>
          <w:trHeight w:val="149"/>
        </w:trPr>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 equity compensation</w:t>
            </w:r>
          </w:p>
        </w:tc>
        <w:tc>
          <w:tcPr>
            <w:tcW w:w="0" w:type="dxa"/>
            <w:vAlign w:val="bottom"/>
          </w:tcPr>
          <w:p>
            <w:pPr>
              <w:spacing w:after="0"/>
              <w:rPr>
                <w:sz w:val="1"/>
                <w:szCs w:val="1"/>
                <w:color w:val="auto"/>
              </w:rPr>
            </w:pPr>
          </w:p>
        </w:tc>
      </w:tr>
      <w:tr>
        <w:trPr>
          <w:trHeight w:val="149"/>
        </w:trPr>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plans (excluding securities</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outstanding options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reflected in column (a)) (in millions)</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60" w:type="dxa"/>
            <w:vAlign w:val="bottom"/>
          </w:tcPr>
          <w:p>
            <w:pPr>
              <w:jc w:val="right"/>
              <w:ind w:right="45"/>
              <w:spacing w:after="0"/>
              <w:rPr>
                <w:sz w:val="20"/>
                <w:szCs w:val="20"/>
                <w:color w:val="auto"/>
              </w:rPr>
            </w:pPr>
            <w:r>
              <w:rPr>
                <w:rFonts w:ascii="Arial" w:cs="Arial" w:eastAsia="Arial" w:hAnsi="Arial"/>
                <w:sz w:val="16"/>
                <w:szCs w:val="16"/>
                <w:color w:val="auto"/>
              </w:rPr>
              <w:t>23.8</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5"/>
              <w:spacing w:after="0"/>
              <w:rPr>
                <w:sz w:val="20"/>
                <w:szCs w:val="20"/>
                <w:color w:val="auto"/>
              </w:rPr>
            </w:pPr>
            <w:r>
              <w:rPr>
                <w:rFonts w:ascii="Arial" w:cs="Arial" w:eastAsia="Arial" w:hAnsi="Arial"/>
                <w:sz w:val="16"/>
                <w:szCs w:val="16"/>
                <w:color w:val="auto"/>
              </w:rPr>
              <w:t>32.88</w:t>
            </w:r>
          </w:p>
        </w:tc>
        <w:tc>
          <w:tcPr>
            <w:tcW w:w="100" w:type="dxa"/>
            <w:vAlign w:val="bottom"/>
          </w:tcPr>
          <w:p>
            <w:pPr>
              <w:spacing w:after="0"/>
              <w:rPr>
                <w:sz w:val="19"/>
                <w:szCs w:val="19"/>
                <w:color w:val="auto"/>
              </w:rPr>
            </w:pP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50.2  (1)</w:t>
            </w:r>
          </w:p>
        </w:tc>
        <w:tc>
          <w:tcPr>
            <w:tcW w:w="0" w:type="dxa"/>
            <w:vAlign w:val="bottom"/>
          </w:tcPr>
          <w:p>
            <w:pPr>
              <w:spacing w:after="0"/>
              <w:rPr>
                <w:sz w:val="1"/>
                <w:szCs w:val="1"/>
                <w:color w:val="auto"/>
              </w:rPr>
            </w:pPr>
          </w:p>
        </w:tc>
      </w:tr>
      <w:tr>
        <w:trPr>
          <w:trHeight w:val="270"/>
        </w:trPr>
        <w:tc>
          <w:tcPr>
            <w:tcW w:w="1960" w:type="dxa"/>
            <w:vAlign w:val="bottom"/>
          </w:tcPr>
          <w:p>
            <w:pPr>
              <w:jc w:val="right"/>
              <w:ind w:right="45"/>
              <w:spacing w:after="0"/>
              <w:rPr>
                <w:sz w:val="20"/>
                <w:szCs w:val="20"/>
                <w:color w:val="auto"/>
              </w:rPr>
            </w:pPr>
            <w:r>
              <w:rPr>
                <w:rFonts w:ascii="Arial" w:cs="Arial" w:eastAsia="Arial" w:hAnsi="Arial"/>
                <w:sz w:val="16"/>
                <w:szCs w:val="16"/>
                <w:color w:val="auto"/>
              </w:rPr>
              <w:t>0.2</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5"/>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23"/>
                <w:szCs w:val="23"/>
                <w:color w:val="auto"/>
              </w:rPr>
            </w:pPr>
          </w:p>
        </w:tc>
        <w:tc>
          <w:tcPr>
            <w:tcW w:w="28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24.0</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5"/>
              <w:spacing w:after="0"/>
              <w:rPr>
                <w:sz w:val="20"/>
                <w:szCs w:val="20"/>
                <w:color w:val="auto"/>
              </w:rPr>
            </w:pPr>
            <w:r>
              <w:rPr>
                <w:rFonts w:ascii="Arial" w:cs="Arial" w:eastAsia="Arial" w:hAnsi="Arial"/>
                <w:sz w:val="16"/>
                <w:szCs w:val="16"/>
                <w:color w:val="auto"/>
              </w:rPr>
              <w:t>32.69</w:t>
            </w:r>
          </w:p>
        </w:tc>
        <w:tc>
          <w:tcPr>
            <w:tcW w:w="100" w:type="dxa"/>
            <w:vAlign w:val="bottom"/>
          </w:tcPr>
          <w:p>
            <w:pPr>
              <w:spacing w:after="0"/>
              <w:rPr>
                <w:sz w:val="21"/>
                <w:szCs w:val="21"/>
                <w:color w:val="auto"/>
              </w:rPr>
            </w:pPr>
          </w:p>
        </w:tc>
        <w:tc>
          <w:tcPr>
            <w:tcW w:w="26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50.2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-539750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-196850</wp:posOffset>
            </wp:positionV>
            <wp:extent cx="72466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4140" w:space="100"/>
            <w:col w:w="7180"/>
          </w:cols>
          <w:pgMar w:left="240" w:top="125" w:right="239" w:bottom="1440" w:gutter="0" w:footer="0" w:header="0"/>
          <w:type w:val="continuous"/>
        </w:sectPr>
      </w:pPr>
    </w:p>
    <w:p>
      <w:pPr>
        <w:ind w:left="420" w:hanging="412"/>
        <w:spacing w:after="0"/>
        <w:tabs>
          <w:tab w:leader="none" w:pos="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Included in this amount are 36.2 million securities available for future issuance under Autodesk’s ESP Plan.</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Amounts correspond to Autodesk’s Nonstatutory Stock Option Plan, which was terminated by the Board of Directors in December 2004.</w:t>
      </w:r>
    </w:p>
    <w:p>
      <w:pPr>
        <w:spacing w:after="0" w:line="17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for income taxes consists of the following:</w:t>
      </w:r>
    </w:p>
    <w:p>
      <w:pPr>
        <w:spacing w:after="0" w:line="379"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2011</w:t>
            </w:r>
          </w:p>
        </w:tc>
      </w:tr>
      <w:tr>
        <w:trPr>
          <w:trHeight w:val="21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Federal:</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60"/>
        </w:trPr>
        <w:tc>
          <w:tcPr>
            <w:tcW w:w="67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Current</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16.0</w:t>
            </w: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State:</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Deferred</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7.4</w:t>
            </w: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Current</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48.4</w:t>
            </w: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7"/>
        </w:trPr>
        <w:tc>
          <w:tcPr>
            <w:tcW w:w="6740" w:type="dxa"/>
            <w:vAlign w:val="bottom"/>
          </w:tcPr>
          <w:p>
            <w:pPr>
              <w:spacing w:after="0"/>
              <w:rPr>
                <w:sz w:val="18"/>
                <w:szCs w:val="18"/>
                <w:color w:val="auto"/>
              </w:rPr>
            </w:pPr>
          </w:p>
        </w:tc>
        <w:tc>
          <w:tcPr>
            <w:tcW w:w="98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60.0</w:t>
            </w:r>
          </w:p>
        </w:tc>
      </w:tr>
      <w:tr>
        <w:trPr>
          <w:trHeight w:val="33"/>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During fiscal year 2013, the Company reduced its current federal and state taxes payable by $12.5 million related to excess tax benefits from non-qualified stock options, offsetting additional paid-in capital. Pursuant to accounting standards related to stock-based compensation, the Company has unrecorded excess stock option tax benefits of $157.6 million as of January 31, 2013. These amounts will be credited to additional paid-in-capital when such amounts reduce cash taxes payable. Foreign pretax income was $394.7 million in fiscal 2013, $383.7 million in fiscal 2012, and $321.1 million in fiscal 2011.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75</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differences between the U.S. statutory rate and the aggregate income tax provision are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8"/>
          </w:tcPr>
          <w:p>
            <w:pPr>
              <w:jc w:val="center"/>
              <w:ind w:right="299"/>
              <w:spacing w:after="0"/>
              <w:rPr>
                <w:sz w:val="20"/>
                <w:szCs w:val="20"/>
                <w:color w:val="auto"/>
              </w:rPr>
            </w:pPr>
            <w:r>
              <w:rPr>
                <w:rFonts w:ascii="Arial" w:cs="Arial" w:eastAsia="Arial" w:hAnsi="Arial"/>
                <w:sz w:val="14"/>
                <w:szCs w:val="14"/>
                <w:b w:val="1"/>
                <w:bCs w:val="1"/>
                <w:color w:val="auto"/>
                <w:w w:val="92"/>
              </w:rPr>
              <w:t>Fiscal year ended January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6"/>
              </w:rPr>
              <w:t>2012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provision at U.S. Federal statutory rate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108.5</w:t>
            </w:r>
          </w:p>
        </w:tc>
        <w:tc>
          <w:tcPr>
            <w:tcW w:w="5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State income tax expense (benefit), net of the U.S. Federal benefit</w:t>
            </w:r>
          </w:p>
        </w:tc>
        <w:tc>
          <w:tcPr>
            <w:tcW w:w="9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income taxed at rates different from the U.S. statutory rate</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U.S. valuation allowance</w:t>
            </w:r>
          </w:p>
        </w:tc>
        <w:tc>
          <w:tcPr>
            <w:tcW w:w="9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Non-deductible stock-based compensation</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Research and development tax credit benefit</w:t>
            </w:r>
          </w:p>
        </w:tc>
        <w:tc>
          <w:tcPr>
            <w:tcW w:w="9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 from closure of income tax audits and decreases in uncertain tax positions</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Officer compensation in excess of $1.0 million</w:t>
            </w:r>
          </w:p>
        </w:tc>
        <w:tc>
          <w:tcPr>
            <w:tcW w:w="9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Manufacturer's deduction</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5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w w:val="91"/>
              </w:rPr>
              <w:t>Significant components of Autodesk’s deferred tax assets and liabilities are as follows: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January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Nonqualified stock options</w:t>
            </w: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Research and development tax credit carryforwards</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tax credit carryforwards</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Accrued compensation and benefits</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accruals not currently deductible for tax</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Purchased technology and capitalized software</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assets</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Tax loss carryforwards</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 tax assets</w:t>
            </w: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251.3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Less: valuation allowance</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deferred tax assets</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Tax method change on advanced payments</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Unremitted earnings of foreign subsidiaries</w:t>
            </w:r>
          </w:p>
        </w:tc>
        <w:tc>
          <w:tcPr>
            <w:tcW w:w="9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Total deferred tax liability</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deferred tax assets</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valuation allowance increased by $3.8 million, $4.6 million and $3.9 million in fiscal 2013, 2012 and 2011, respectively. The fiscal 2013, fiscal 2012, and fiscal 2011 changes in valuation allowance were related to U.S. and Canadian deferred taxes.</w:t>
      </w:r>
    </w:p>
    <w:p>
      <w:pPr>
        <w:spacing w:after="0" w:line="17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provides U.S. income taxes on the earnings of foreign subsidiaries, except to the extent subsidiaries' earnings are considered permanently reinvested outside the U.S. As of January 31, 2013, the cumulative amount of earnings upon which U.S. income taxes have not been provided was $1,489.9 million. The unrecognized deferred tax liability for these earnings was approximately $442.9 million.</w:t>
      </w:r>
    </w:p>
    <w:p>
      <w:pPr>
        <w:spacing w:after="0" w:line="18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Realization of the Company's net deferred tax assets of $165.0 million is dependent upon the Company's ability to generate future taxable income in appropriate tax jurisdictions to obtain benefit from the reversal of temporary differences, net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76</w:t>
      </w:r>
    </w:p>
    <w:p>
      <w:pPr>
        <w:sectPr>
          <w:pgSz w:w="11900" w:h="16838" w:orient="portrait"/>
          <w:cols w:equalWidth="0" w:num="1">
            <w:col w:w="11420"/>
          </w:cols>
          <w:pgMar w:left="240" w:top="125"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loss carryforwards and tax credits. The amount of deferred tax assets considered realizable is subject to adjustment in future periods if estimates of future taxable income are reduced.</w:t>
      </w:r>
    </w:p>
    <w:p>
      <w:pPr>
        <w:spacing w:after="0" w:line="17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As of January 31, 2013, Autodesk had $36.6 million of cumulative federal tax loss carryforwards and $249.8 million of cumulative state tax loss carryforwards, which may be available to reduce future income tax liabilities in certain jurisdictions. These federal and state tax loss carryforwards will expire beginning fiscal 2014 through fiscal 2032 and fiscal 2014 through fiscal 2032, respectively. Autodesk also had $14.7 million of cumulative federal and state capital loss carryforwards as of January 31, 2013 which are available to offset future capital gains through fiscal 2018.</w:t>
      </w:r>
    </w:p>
    <w:p>
      <w:pPr>
        <w:spacing w:after="0" w:line="171" w:lineRule="exact"/>
        <w:rPr>
          <w:sz w:val="20"/>
          <w:szCs w:val="20"/>
          <w:color w:val="auto"/>
        </w:rPr>
      </w:pPr>
    </w:p>
    <w:p>
      <w:pPr>
        <w:ind w:right="280" w:firstLine="432"/>
        <w:spacing w:after="0" w:line="273" w:lineRule="auto"/>
        <w:rPr>
          <w:sz w:val="20"/>
          <w:szCs w:val="20"/>
          <w:color w:val="auto"/>
        </w:rPr>
      </w:pPr>
      <w:r>
        <w:rPr>
          <w:rFonts w:ascii="Arial" w:cs="Arial" w:eastAsia="Arial" w:hAnsi="Arial"/>
          <w:sz w:val="17"/>
          <w:szCs w:val="17"/>
          <w:color w:val="auto"/>
        </w:rPr>
        <w:t>As of January 31, 2013, Autodesk had $86.1 million of cumulative federal research tax credit carryforwards, $43.5 million of cumulative California state research tax credit carryforwards and $49.7 million of cumulative Canadian federal tax credit carryforwards, which may be available to reduce future income tax liabilities in the respective jurisdictions. The federal credit carryforwards will expire beginning fiscal 2021 through fiscal 2033, the state credit carryforwards may reduce future California income tax liabilities indefinitely, and the Canadian tax credit carryforwards will expire beginning fiscal 2025 through fiscal 2033. Autodesk also has $60.8 million of cumulative foreign tax credit carryforwards, which may be available to reduce future U. S. tax liabilities. The foreign tax credit will expire beginning fiscal 2022 through fiscal 2023.</w:t>
      </w:r>
    </w:p>
    <w:p>
      <w:pPr>
        <w:spacing w:after="0" w:line="178"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Utilization of net operating losses and tax credits may be subject to an annual limitation due to ownership change limitations provided in the Internal Revenue Code and similar state provisions. This annual limitation may result in the expiration of net operating losses and credits before utilization.</w:t>
      </w:r>
    </w:p>
    <w:p>
      <w:pPr>
        <w:spacing w:after="0" w:line="12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a result of certain business and employment actions and capital investments undertaken by Autodesk, income earned in certain Europe and Asia Pacific countries is subject to reduced tax rates through fiscal 2016 and 2019, respectively with extensions available with incremental business and employment actions. The net income tax benefits attributable to the tax status of these business arrangements are estimated to be $4.4 million ($0.02 basic net income per share) in fiscal 2013, $10.4 million ($0.05 basic net income per share) in fiscal 2012 and zero in fiscal 2011. The income tax benefits were offset partially by accruals of U.S. income taxes on undistributed earnings, among other factors.</w:t>
      </w:r>
    </w:p>
    <w:p>
      <w:pPr>
        <w:spacing w:after="0" w:line="17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of January 31, 2013, the Company had $212.7 million of gross unrecognized tax benefits, of which $202.1 million would impact the effective tax rate, if recognized. It is possible that the amount of unrecognized tax benefits will change in the next twelve months; however an estimate of the range of the possible change cannot be made at this time.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the gross unrecognized tax benefits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2011</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unrecognized tax benefits at the beginning of the fiscal year</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201.1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Increases for tax positions of prior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w:t>
            </w: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Decreases for tax positions of prior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Increases for tax positions related to the current year</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13.9</w:t>
            </w: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Decreases for lapse of statute of limitations/audit settlements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Gross unrecognized tax benefits at the end of the fiscal year</w:t>
            </w:r>
          </w:p>
        </w:tc>
        <w:tc>
          <w:tcPr>
            <w:tcW w:w="96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9"/>
              </w:rPr>
              <w:t>212.7</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188.4</w:t>
            </w:r>
          </w:p>
        </w:tc>
      </w:tr>
      <w:tr>
        <w:trPr>
          <w:trHeight w:val="3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It is the Company's continuing practice to recognize interest and/or penalties related to income tax matters in income tax expense. The Company had $1.9 million, $2.4 million and $1.9 million, net of tax benefit, accrued for interest and zero accrued for penalties related to unrecognized tax benefits as of January 31, 2013, 2012 and 2011, respectively.</w:t>
      </w:r>
    </w:p>
    <w:p>
      <w:pPr>
        <w:spacing w:after="0" w:line="18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Autodesk and its subsidiaries are subject to income tax in the United States as well as numerous state and foreign jurisdictions. The Company's U.S. and state income tax returns for fiscal year 2003 through fiscal year 2013 remain open to examination. In addition, the Company files tax returns in multiple foreign taxing jurisdictions with open tax years ranging from fiscal year 2003 to 2013.</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During the fiscal years ended January 31, 2013 and January 31, 2012, Autodesk completed the business combinations and technology purchases described below. The results of operations for the following acquisitions are included in the</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accompanying Consolidated Statement of Operations since their respective acquisition dates. Pro forma results of operations have not been presented because the effects of the following acquisitions, individually and in the aggregate, were not material to Autodesk's Consolidated Financial Statements.</w:t>
      </w:r>
    </w:p>
    <w:p>
      <w:pPr>
        <w:spacing w:after="0" w:line="147"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For acquisitions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Fiscal 2013 Acquisitions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On June 7, 2012, Autodesk acquired Vela Systems, Inc. (“Vela”) for total cash consideration of $76.0 million. Vela was a privately owned company that provides a cloud-based mobile platform that delivers critical information to the construction and capital projects market. Prior to acquiring Vela, Autodesk had an equity investment with the company that had an acquisition-date fair value of $6.8 million using a market approach to value the investment. Valuations using the market approach reflect relevant observable information generated by market transactions involving comparable businesses. As a result of the acquisition, Autodesk recorded a $3.3 million gain on the sale of the investment. Vela has been integrated into, and the related goodwill was assigned to, Autodesk's AEC segment. The amount of goodwill that is expected to be deductible for tax purposes is zero.</w:t>
      </w:r>
    </w:p>
    <w:p>
      <w:pPr>
        <w:spacing w:after="0" w:line="17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August 1, 2012, Autodesk acquired Socialcam, Inc, (“Socialcam”) for total cash consideration of $59.5 million. Socialcam was a privately held web-based company offering a smartphone application and web-based service that allows users to capture, edit, and share video. Of the $59.5 million, Autodesk incurred $16.6 million relating to the acceleration of vesting of equity awards held in Socialcam for Socialcam employees immediately prior to the acquisition. The $16.6 million stock based compensation charge is included in "Research and development" in the Consolidated Statement of Operations. Socialcam has been integrated into, and the related goodwill was assigned to, Autodesk’s PSEB segment. The amount of goodwill that is expected to be deductible for tax purposes is zero.</w:t>
      </w:r>
    </w:p>
    <w:p>
      <w:pPr>
        <w:spacing w:after="0" w:line="193"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On October 4, 2012, Autodesk acquired Qontext, an enterprise business and social collaboration software solution, from India-based Pramati Technologies for $26.0 million and hired the Qontext development team. This acquisition is expected to accelerate Autodesk’s ongoing move to the cloud and expansion of social capabilities in the Autodesk 360 cloud-based service. Treated as a business combination, Qontext has been integrated into, and the related goodwill was assigned to, Autodesk’s PSEB segment. The amount of goodwill that is expected to be deductible for tax purposes is $24.0 million.</w:t>
      </w:r>
    </w:p>
    <w:p>
      <w:pPr>
        <w:spacing w:after="0" w:line="154"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On December 21, 2012, Autodesk acquired PI-VR GmbH (“PI-VR”) for approximately $48.6 million. PI-VR was a privately held company based in Berlin, Germany that specializes in sophisticated real time visualization technology used primarily in the automotive industry. PI-VR has been integrated, and the related goodwill was assigned to, Autodesk's MFG segment. The amount of goodwill that is expected to be deductible for tax purposes is zero.</w:t>
      </w:r>
    </w:p>
    <w:p>
      <w:pPr>
        <w:spacing w:after="0" w:line="147"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color w:val="auto"/>
        </w:rPr>
        <w:t>During the fiscal year ended January 31, 2013, Autodesk also completed nine other business combination and technology acquisitions for total cash consideration of approximately $63.2 million. These business combinations and technology acquisitions were not material individually or in aggregate to Autodesk's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78</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each of the business combinations and technology acquisitions completed during the fiscal year ended January 31, 2013:</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Vela</w:t>
            </w: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Socialcam</w:t>
            </w:r>
          </w:p>
        </w:tc>
        <w:tc>
          <w:tcPr>
            <w:tcW w:w="16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Qontext</w:t>
            </w:r>
          </w:p>
        </w:tc>
        <w:tc>
          <w:tcPr>
            <w:tcW w:w="12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PI-VR</w:t>
            </w:r>
          </w:p>
        </w:tc>
        <w:tc>
          <w:tcPr>
            <w:tcW w:w="120" w:type="dxa"/>
            <w:vAlign w:val="bottom"/>
          </w:tcPr>
          <w:p>
            <w:pPr>
              <w:spacing w:after="0"/>
              <w:rPr>
                <w:sz w:val="16"/>
                <w:szCs w:val="16"/>
                <w:color w:val="auto"/>
              </w:rPr>
            </w:pPr>
          </w:p>
        </w:tc>
        <w:tc>
          <w:tcPr>
            <w:tcW w:w="540" w:type="dxa"/>
            <w:vAlign w:val="bottom"/>
          </w:tcPr>
          <w:p>
            <w:pPr>
              <w:jc w:val="right"/>
              <w:ind w:right="60"/>
              <w:spacing w:after="0"/>
              <w:rPr>
                <w:sz w:val="20"/>
                <w:szCs w:val="20"/>
                <w:color w:val="auto"/>
              </w:rPr>
            </w:pPr>
            <w:r>
              <w:rPr>
                <w:rFonts w:ascii="Arial" w:cs="Arial" w:eastAsia="Arial" w:hAnsi="Arial"/>
                <w:sz w:val="14"/>
                <w:szCs w:val="14"/>
                <w:b w:val="1"/>
                <w:bCs w:val="1"/>
                <w:color w:val="auto"/>
              </w:rPr>
              <w:t>Other</w:t>
            </w:r>
          </w:p>
        </w:tc>
      </w:tr>
      <w:tr>
        <w:trPr>
          <w:trHeight w:val="236"/>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20"/>
                <w:szCs w:val="20"/>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1.5</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User List</w:t>
            </w:r>
          </w:p>
        </w:tc>
        <w:tc>
          <w:tcPr>
            <w:tcW w:w="20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Deferred Revenue (current and non-current)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 (liability)</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tangible assets (liabilities)</w:t>
            </w:r>
          </w:p>
        </w:tc>
        <w:tc>
          <w:tcPr>
            <w:tcW w:w="200" w:type="dxa"/>
            <w:vAlign w:val="bottom"/>
          </w:tcPr>
          <w:p>
            <w:pPr>
              <w:spacing w:after="0"/>
              <w:rPr>
                <w:sz w:val="20"/>
                <w:szCs w:val="20"/>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For Vela, Socialcam and PI-VR, the allocation of purchase price consideration to the assets and liabilities is not yet finalized. The allocation of the purchase price consideration was based upon a preliminary valuation and Autodesk's estimates and assumptions are subject to change within the measurement period (up to one year from the acquisition date). The primary areas of the preliminary purchase price allocation that are not yet finalized are amounts for income tax assets and liabilities, pending finalization of estimates and assumptions in respect of certain tax aspects of the transaction and residual goodwill.</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Fiscal 2012 Acquisitions</w:t>
      </w:r>
    </w:p>
    <w:p>
      <w:pPr>
        <w:spacing w:after="0" w:line="225" w:lineRule="exact"/>
        <w:rPr>
          <w:sz w:val="20"/>
          <w:szCs w:val="20"/>
          <w:color w:val="auto"/>
        </w:rPr>
      </w:pPr>
    </w:p>
    <w:p>
      <w:pPr>
        <w:jc w:val="both"/>
        <w:ind w:right="300" w:firstLine="405"/>
        <w:spacing w:after="0" w:line="259" w:lineRule="auto"/>
        <w:rPr>
          <w:sz w:val="20"/>
          <w:szCs w:val="20"/>
          <w:color w:val="auto"/>
        </w:rPr>
      </w:pPr>
      <w:r>
        <w:rPr>
          <w:rFonts w:ascii="Arial" w:cs="Arial" w:eastAsia="Arial" w:hAnsi="Arial"/>
          <w:sz w:val="18"/>
          <w:szCs w:val="18"/>
          <w:color w:val="auto"/>
        </w:rPr>
        <w:t>On March 1, 2011, Autodesk acquired Scaleform Corporation (“Scaleform”) for total cash consideration of $36.2 million. Scaleform was a privately held middleware and user interface tools company, whose technology has been licensed in the development of games across all major hardware platforms. Scaleform has been integrated into, and the related goodwill was assigned to Autodesk's M&amp;E segment. The amount of goodwill that is deductible for tax purposes is zero.</w:t>
      </w:r>
    </w:p>
    <w:p>
      <w:pPr>
        <w:spacing w:after="0" w:line="18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March 10, 2011, Autodesk acquired Blue Ridge Numerics, Inc. (“Blue Ridge”) for total cash consideration of $41.2 million. Blue Ridge was a privately held company that designed and sold software that enables mechanical engineers to study fluid flow and thermal performance in virtual prototyping. Blue Ridge has been integrated into, and the related goodwill was assigned to Autodesk's Manufacturing segment. The amount of goodwill that is deductible for tax purposes is zero.</w:t>
      </w:r>
    </w:p>
    <w:p>
      <w:pPr>
        <w:spacing w:after="0" w:line="18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August 1, 2011, Autodesk acquired Instructables, Inc. (“Instructables”) for total cash consideration of $30.2 million. Instructables was a privately held web-based company specializing in user-created and uploaded instructions for do-it-yourself projects, on which other users can comment and rate for quality. Instructables has been integrated into, and the related goodwill was assigned to Autodesk's PSEB segment. The amount of goodwill that is deductible for tax purposes is zero.</w:t>
      </w:r>
    </w:p>
    <w:p>
      <w:pPr>
        <w:spacing w:after="0" w:line="18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On August 24, 2011, Autodesk entered into a purchase agreement with Turbo Squid, Inc. (“Turbo Squid”) to acquire certain technology related assets for $26.0 million and entered into related cross-licensing and a commercial arrangement which is less than $0.2 million in expense per year. Additionally, Autodesk purchased the option to acquire Turbo Squid within a prescribed date range.</w:t>
      </w:r>
    </w:p>
    <w:p>
      <w:pPr>
        <w:spacing w:after="0" w:line="18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On October 14, 2011, Autodesk acquired Micro Application Packages Limited (“MAP”) for total cash consideration of $23.0 million. MAP was a privately held company specializing in software and services in the building information modeling (“BIM”) life cycle with the focus on fabrication. MAP has been integrated into, and the related goodwill was assigned to Autodesk's AEC segment. The amount of goodwill that is deductible for tax purposes is $12.7 million.</w:t>
      </w:r>
    </w:p>
    <w:p>
      <w:pPr>
        <w:spacing w:after="0" w:line="187" w:lineRule="exact"/>
        <w:rPr>
          <w:sz w:val="20"/>
          <w:szCs w:val="20"/>
          <w:color w:val="auto"/>
        </w:rPr>
      </w:pPr>
    </w:p>
    <w:p>
      <w:pPr>
        <w:ind w:right="420" w:firstLine="405"/>
        <w:spacing w:after="0" w:line="259" w:lineRule="auto"/>
        <w:rPr>
          <w:sz w:val="20"/>
          <w:szCs w:val="20"/>
          <w:color w:val="auto"/>
        </w:rPr>
      </w:pPr>
      <w:r>
        <w:rPr>
          <w:rFonts w:ascii="Arial" w:cs="Arial" w:eastAsia="Arial" w:hAnsi="Arial"/>
          <w:sz w:val="18"/>
          <w:szCs w:val="18"/>
          <w:color w:val="auto"/>
        </w:rPr>
        <w:t>On December 21, 2011, Autodesk acquired certain technology-related assets of T-Splines, Inc. ("T-Splines") for total cash consideration of $23.0 million. T-Splines is a privately-held company, that develops surface modeling software for industrial designers and CAD professionals. The assets of T-Splines have been integrated into, and the related goodwill was assigned to Autodesk's MFG segment. The amount of goodwill that is deductible for tax purposes is $19.8 million.</w:t>
      </w:r>
    </w:p>
    <w:p>
      <w:pPr>
        <w:spacing w:after="0" w:line="187"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During the fiscal year ended January 31, 2012, Autodesk also completed 17 other business combination and technology acquisitions for total cash consideration of approximately $54.8 million. These business combinations and technology acquisitions were not material individually or in aggregate to Autodesk's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79</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each of the business combinations and technology acquisitions completed during the fiscal year ended January 31, 2012:</w:t>
      </w:r>
    </w:p>
    <w:p>
      <w:pPr>
        <w:spacing w:after="0" w:line="320"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2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Scaleform</w:t>
            </w:r>
          </w:p>
        </w:tc>
        <w:tc>
          <w:tcPr>
            <w:tcW w:w="1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Blue Ridge</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Instructables</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MAP</w:t>
            </w:r>
          </w:p>
        </w:tc>
        <w:tc>
          <w:tcPr>
            <w:tcW w:w="10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Turbo Squid</w:t>
            </w:r>
          </w:p>
        </w:tc>
        <w:tc>
          <w:tcPr>
            <w:tcW w:w="1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T-Splines</w:t>
            </w: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Other</w:t>
            </w:r>
          </w:p>
        </w:tc>
      </w:tr>
      <w:tr>
        <w:trPr>
          <w:trHeight w:val="223"/>
        </w:trPr>
        <w:tc>
          <w:tcPr>
            <w:tcW w:w="2500" w:type="dxa"/>
            <w:vAlign w:val="bottom"/>
          </w:tcPr>
          <w:p>
            <w:pPr>
              <w:ind w:left="20"/>
              <w:spacing w:after="0"/>
              <w:rPr>
                <w:sz w:val="20"/>
                <w:szCs w:val="20"/>
                <w:color w:val="auto"/>
              </w:rPr>
            </w:pPr>
            <w:r>
              <w:rPr>
                <w:rFonts w:ascii="Arial" w:cs="Arial" w:eastAsia="Arial" w:hAnsi="Arial"/>
                <w:sz w:val="16"/>
                <w:szCs w:val="16"/>
                <w:color w:val="auto"/>
              </w:rPr>
              <w:t>Developed technologies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26.0</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21.7</w:t>
            </w:r>
          </w:p>
        </w:tc>
      </w:tr>
      <w:tr>
        <w:trPr>
          <w:trHeight w:val="33"/>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Trade name</w:t>
            </w:r>
          </w:p>
        </w:tc>
        <w:tc>
          <w:tcPr>
            <w:tcW w:w="16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0.9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1.2</w:t>
            </w:r>
          </w:p>
        </w:tc>
      </w:tr>
      <w:tr>
        <w:trPr>
          <w:trHeight w:val="33"/>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User List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Patent</w:t>
            </w:r>
          </w:p>
        </w:tc>
        <w:tc>
          <w:tcPr>
            <w:tcW w:w="16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1"/>
              </w:rPr>
              <w:t>In-process 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22.6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24.4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12.7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19.8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28.3</w:t>
            </w:r>
          </w:p>
        </w:tc>
      </w:tr>
      <w:tr>
        <w:trPr>
          <w:trHeight w:val="33"/>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Deferred tax asset (liability)</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0.2</w:t>
            </w:r>
          </w:p>
        </w:tc>
      </w:tr>
      <w:tr>
        <w:trPr>
          <w:trHeight w:val="33"/>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tangible assets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44"/>
        </w:trPr>
        <w:tc>
          <w:tcPr>
            <w:tcW w:w="2500" w:type="dxa"/>
            <w:vAlign w:val="bottom"/>
          </w:tcPr>
          <w:p>
            <w:pPr>
              <w:ind w:left="26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36.2</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41.2</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30.2</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23.0</w:t>
            </w:r>
          </w:p>
        </w:tc>
        <w:tc>
          <w:tcPr>
            <w:tcW w:w="22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26.0</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23.0</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54.8</w:t>
            </w:r>
          </w:p>
        </w:tc>
      </w:tr>
      <w:tr>
        <w:trPr>
          <w:trHeight w:val="20"/>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Deferred Compensation</w:t>
      </w:r>
    </w:p>
    <w:p>
      <w:pPr>
        <w:spacing w:after="0" w:line="229"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At January 31, 2013, Autodesk had marketable securities totaling $753.2 million, of which $35.3 million related to investments in debt and equity securities that are held in a rabbi trust under non-qualified deferred compensation plans. The total related deferred compensation liability was $35.3 million at January 31, 2013, of which $3.9 million was classified as current and $31.4 million was classified as non-current liabilities. The value of debt and equity securities held in the rabbi trust at January 31, 2012 was $31.5 million. The total related deferred compensation liability at January 31, 2012 was $31.5 million, of which $3.2 million was classified as current and $28.3 million was classified as non-current liabilities. The current and non-current portions of the liability are recorded in the Consolidated Balance Sheets under “Accrued compensation” and “Other liabilities,” respectively.</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Borrowing Arrangements</w:t>
      </w:r>
    </w:p>
    <w:p>
      <w:pPr>
        <w:spacing w:after="0" w:line="229"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In December 2012, Autodesk issued $400.0 million aggregate principal amount of 1.95% senior notes due December 15, 2017 and $350.0 million aggregate principal amount of 3.6% senior notes due December 15, 2022, (collectively, the "Senior Notes"). Autodesk received net proceeds of $739.3 million from issuance of the Senior Notes, net of a discount of $4.5 million and issuance costs of $6.1 million. Both the discount and issuance costs are being amortized to interest expense over the respective terms of the Senior Notes using the effective interest method. In the fourth quarter of fiscal 2013, Autodesk used a portion of the proceeds to re-pay the outstanding balance of the credit facility. The remaining proceeds from the Senior Notes are available for general corporate purposes. Autodesk may redeem the Senior Notes at any time, subject to a make whole premium. In addition, upon the occurrence of certain change of control triggering events, Autodesk may be required to repurchase the Senior Notes, at a price equal to 101% of their principal amount, plus accrued and unpaid interest to the date of repurchase. The Senior Notes contain restrictive covenants that limit our ability to create certain liens, to enter into certain sale and leaseback transactions and to consolidate or merge with, or convey, transfer or lease all or substantially all of our assets, subject to significant qualifications and exceptions. Based on quoted market prices, the fair value of the Senior Notes was approximately $743.3 million as of January 31, 2013.</w:t>
      </w:r>
    </w:p>
    <w:p>
      <w:pPr>
        <w:spacing w:after="0" w:line="169"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During the fiscal year 2012, Autodesk entered into a credit agreement that provides for a $400.0 million unsecured revolving credit facility, with an option to request an increase in the amount of the credit facility by up to an additional $100.0 million. The credit agreement contains customary covenants that could restrict the imposition of liens on Autodesk's assets, and restrict the Company's ability to incur additional indebtedness or make dispositions of assets if Autodesk fails to maintain the financial covenants. During the fiscal year ended January 31, 2013, Autodesk borrowed $110.0 million under the credit facility, which was repaid in the fourth quarter of fiscal 2013 with a portion of the net proceeds from the sale of the Senior Notes. At January 31, 2013 and January 31, 2012, Autodesk had no outstanding borrowings on this line of credit, which expires in May 2016.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80</w:t>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Autodesk leases office space and computer equipment under non-cancellable operating lease agreements that expire at various dates through September</w:t>
      </w:r>
    </w:p>
    <w:p>
      <w:pPr>
        <w:spacing w:after="0" w:line="46"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2021. The leases generally provide that Autodesk pay taxes, insurance and maintenance expenses related to the leased assets. Certain of these lease arrangements contain escalation clauses whereby monthly rent increases over time. At January 31, 2013, the aggregate future minimum lease payments required were as follows: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2015</w:t>
            </w:r>
          </w:p>
        </w:tc>
        <w:tc>
          <w:tcPr>
            <w:tcW w:w="56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53.6</w:t>
            </w:r>
          </w:p>
        </w:tc>
      </w:tr>
      <w:tr>
        <w:trPr>
          <w:trHeight w:val="33"/>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2017</w:t>
            </w:r>
          </w:p>
        </w:tc>
        <w:tc>
          <w:tcPr>
            <w:tcW w:w="56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36.1</w:t>
            </w:r>
          </w:p>
        </w:tc>
      </w:tr>
      <w:tr>
        <w:trPr>
          <w:trHeight w:val="33"/>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6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63.2</w:t>
            </w:r>
          </w:p>
        </w:tc>
      </w:tr>
      <w:tr>
        <w:trPr>
          <w:trHeight w:val="33"/>
        </w:trPr>
        <w:tc>
          <w:tcPr>
            <w:tcW w:w="99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9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289.3</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Less: Sublease income</w:t>
            </w:r>
          </w:p>
        </w:tc>
        <w:tc>
          <w:tcPr>
            <w:tcW w:w="56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99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9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287.5</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related to these operating leases recognized on a straight-line basis over the lease period, was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w w:val="93"/>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2011</w:t>
            </w:r>
          </w:p>
        </w:tc>
      </w:tr>
      <w:tr>
        <w:trPr>
          <w:trHeight w:val="22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expense</w:t>
            </w:r>
          </w:p>
        </w:tc>
        <w:tc>
          <w:tcPr>
            <w:tcW w:w="100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52.1</w:t>
            </w:r>
          </w:p>
        </w:tc>
      </w:tr>
      <w:tr>
        <w:trPr>
          <w:trHeight w:val="33"/>
        </w:trPr>
        <w:tc>
          <w:tcPr>
            <w:tcW w:w="67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Purchase commitments</w:t>
      </w:r>
    </w:p>
    <w:p>
      <w:pPr>
        <w:spacing w:after="0" w:line="22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In the normal course of business, Autodesk enters into various purchase commitments for goods or services. Total non-cancellable purchase commitments as of January 31, 2013 were approximately $48.7 million for periods through fiscal 2015 These purchase commitments primarily result from contracts for the acquisition of IT infrastructure, marketing and software development services.</w:t>
      </w:r>
    </w:p>
    <w:p>
      <w:pPr>
        <w:spacing w:after="0" w:line="181"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Autodesk has certain royalty commitments associated with the shipment and licensing of certain products. Royalty expense is generally based on a dollar amount per unit shipped or a percentage of the underlying revenue. Royalty expense, which was recorded under cost of license and other revenue on Autodesk’s Consolidated Statements of Operations, was $16.4 million in fiscal 2013, $16.5 million in fiscal 2012 and $12.8 million in fiscal 2011.</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Indemnifications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permitted under Delaware law, Autodesk has agreements whereby it indemnifies its officers and directors for certain events or occurrences while the officer or director is, or was, serving at Autodesk’s request in such capacity. The maximum</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Stockholders' Equity</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Under Autodesk’s Certificate of Incorporation, 2.0 million shares of preferred stock are authorized. At January 31, 2013, there were no preferred shares issued or outstanding. The Board of Directors has the authority to issue the preferred stock in one or more series and to fix rights, preferences, privileges and restrictions, including dividends and the number of shares constituting any series or the designation of such series, without any further vote or action by the stockholders.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Common Stock Repurchase Programs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Autodesk has a stock repurchase program that is used largely to help offset the dilution from the issuance of stock under the Company’s employee stock plans, reduce shares over time as facts and circumstances warrant and for such other purposes as may be in the interests of Autodesk and its stockholders, and has the effect of returning excess cash generated from the Company's business to stockholders. Autodesk repurchased and retired 12.5 million shares in fiscal 2013 at an average repurchase price of $34.50 per share, 9.7 million shares in fiscal 2012 at an average repurchase price of $33.71 per share and 9.0 million shares in fiscal 2011 at an average repurchase price of $31.13.</w:t>
      </w:r>
    </w:p>
    <w:p>
      <w:pPr>
        <w:spacing w:after="0" w:line="188"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At January 31, 2013, 32.2 million shares remained available for repurchase under repurchase plans approved by the Board of Directors. This amount includes the 30.0 million share increase approved by the Board of Directors in June 2012. In fiscal 2013, 2012 and 2011, Autodesk repurchased its common stock through open market purchases. The number of shares acquired and the timing of the purchases are based on several factors, including general market conditions, the number of employee stock option exercises, stock issuance, the trading price of Autodesk common stock, cash on hand and available in the United States, and company defined trading windows.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Interest and Other Income,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other income, net, consists of the following: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w w:val="93"/>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income, net (1)</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Gain (loss) on foreign currency</w:t>
            </w:r>
          </w:p>
        </w:tc>
        <w:tc>
          <w:tcPr>
            <w:tcW w:w="10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gain on strategic investments (1)</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0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net</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6"/>
          <w:szCs w:val="16"/>
          <w:color w:val="auto"/>
        </w:rPr>
        <w:t>For comparability, the presentation of the balances at January 31, 2012 and January 31, 2011 was adjusted to align to current year presentation.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5700"/>
        <w:spacing w:after="0"/>
        <w:rPr>
          <w:rFonts w:ascii="Arial" w:cs="Arial" w:eastAsia="Arial" w:hAnsi="Arial"/>
          <w:sz w:val="18"/>
          <w:szCs w:val="18"/>
          <w:color w:val="auto"/>
        </w:rPr>
      </w:pPr>
      <w:r>
        <w:rPr>
          <w:rFonts w:ascii="Arial" w:cs="Arial" w:eastAsia="Arial" w:hAnsi="Arial"/>
          <w:sz w:val="14"/>
          <w:szCs w:val="14"/>
          <w:b w:val="1"/>
          <w:bCs w:val="1"/>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Accumulated Other Comprehensive (Loss) Income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income, net of taxes, was comprised of the following at January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2011</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Net gain (loss) on derivative instruments</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9"/>
                <w:szCs w:val="19"/>
                <w:color w:val="auto"/>
              </w:rPr>
            </w:pPr>
          </w:p>
        </w:tc>
        <w:tc>
          <w:tcPr>
            <w:tcW w:w="102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gain on available-for-sale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Unfunded portion of pension plans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3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Accumulated other comprehensive (loss) income</w:t>
            </w:r>
          </w:p>
        </w:tc>
        <w:tc>
          <w:tcPr>
            <w:tcW w:w="98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Net Income Per Share</w:t>
      </w:r>
    </w:p>
    <w:p>
      <w:pPr>
        <w:spacing w:after="0" w:line="229"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including restricted stock awards and excluding stock options and restricted stock units. Diluted net income per share is based upon the weighted average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w w:val="93"/>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7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9"/>
              </w:rPr>
              <w:t>247.4</w:t>
            </w:r>
          </w:p>
        </w:tc>
        <w:tc>
          <w:tcPr>
            <w:tcW w:w="5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285.3</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212.0</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Denominator for basic net income per share—weighted average shares</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226.4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Denominator for dilutive net income per share</w:t>
            </w:r>
          </w:p>
        </w:tc>
        <w:tc>
          <w:tcPr>
            <w:tcW w:w="9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231.7</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233.3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9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1.07</w:t>
            </w:r>
          </w:p>
        </w:tc>
        <w:tc>
          <w:tcPr>
            <w:tcW w:w="5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80" w:firstLine="432"/>
        <w:spacing w:after="0" w:line="312" w:lineRule="auto"/>
        <w:rPr>
          <w:sz w:val="20"/>
          <w:szCs w:val="20"/>
          <w:color w:val="auto"/>
        </w:rPr>
      </w:pPr>
      <w:r>
        <w:rPr>
          <w:rFonts w:ascii="Arial" w:cs="Arial" w:eastAsia="Arial" w:hAnsi="Arial"/>
          <w:sz w:val="16"/>
          <w:szCs w:val="16"/>
          <w:color w:val="auto"/>
        </w:rPr>
        <w:t>The computation of diluted net income per share does not include shares that are anti-dilutive under the treasury stock method because their exercise prices are higher than the average market value of Autodesk’s stock during the fiscal year. For the fiscal years ended January 31, 2013, 2012 and 2011, 9.6 million, 12.9 million and 19.3 million potentially anti-dilutive shares, respectively, were excluded from the computation of net income per share.</w:t>
      </w:r>
    </w:p>
    <w:p>
      <w:pPr>
        <w:spacing w:after="0" w:line="14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Segments</w:t>
      </w:r>
    </w:p>
    <w:p>
      <w:pPr>
        <w:spacing w:after="0" w:line="229" w:lineRule="exact"/>
        <w:rPr>
          <w:sz w:val="20"/>
          <w:szCs w:val="20"/>
          <w:color w:val="auto"/>
        </w:rPr>
      </w:pPr>
    </w:p>
    <w:p>
      <w:pPr>
        <w:ind w:right="440" w:firstLine="432"/>
        <w:spacing w:after="0" w:line="286" w:lineRule="auto"/>
        <w:rPr>
          <w:sz w:val="20"/>
          <w:szCs w:val="20"/>
          <w:color w:val="auto"/>
        </w:rPr>
      </w:pPr>
      <w:r>
        <w:rPr>
          <w:rFonts w:ascii="Arial" w:cs="Arial" w:eastAsia="Arial" w:hAnsi="Arial"/>
          <w:sz w:val="17"/>
          <w:szCs w:val="17"/>
          <w:color w:val="auto"/>
        </w:rPr>
        <w:t>Autodesk reports segment information based on the “management” approach. The management approach designates the internal reporting used by management for making decisions and assessing performance as the source of the Company’s reportable segments. Autodesk reported based on four reportable operating segments: PSEB, AEC, MFG and M&amp;E. Autodesk has no material inter-segment revenue.</w:t>
      </w:r>
    </w:p>
    <w:p>
      <w:pPr>
        <w:spacing w:after="0" w:line="166"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Autodesk's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87" w:lineRule="exact"/>
        <w:rPr>
          <w:sz w:val="20"/>
          <w:szCs w:val="20"/>
          <w:color w:val="auto"/>
        </w:rPr>
      </w:pPr>
    </w:p>
    <w:p>
      <w:pPr>
        <w:ind w:right="560" w:firstLine="432"/>
        <w:spacing w:after="0" w:line="291" w:lineRule="auto"/>
        <w:rPr>
          <w:sz w:val="20"/>
          <w:szCs w:val="20"/>
          <w:color w:val="auto"/>
        </w:rPr>
      </w:pPr>
      <w:r>
        <w:rPr>
          <w:rFonts w:ascii="Arial" w:cs="Arial" w:eastAsia="Arial" w:hAnsi="Arial"/>
          <w:sz w:val="16"/>
          <w:szCs w:val="16"/>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w:t>
      </w:r>
    </w:p>
    <w:p>
      <w:pPr>
        <w:ind w:right="460"/>
        <w:spacing w:after="0" w:line="261" w:lineRule="auto"/>
        <w:rPr>
          <w:sz w:val="20"/>
          <w:szCs w:val="20"/>
          <w:color w:val="auto"/>
        </w:rPr>
      </w:pPr>
      <w:r>
        <w:rPr>
          <w:rFonts w:ascii="Arial" w:cs="Arial" w:eastAsia="Arial" w:hAnsi="Arial"/>
          <w:sz w:val="18"/>
          <w:szCs w:val="18"/>
          <w:color w:val="auto"/>
        </w:rPr>
        <w:t>serve. Autodesk’s AutoCAD product also provides a platform for Autodesk’s developer partners to build custom solutions for a range of diverse design-oriented markets. PSEB’s revenue primarily includes</w:t>
      </w: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revenue from sales of licenses of Autodesk’s design products, AutoCAD and AutoCAD LT, as well as the Autodesk Design Suite and many other design products, including consumer design products.</w:t>
      </w:r>
    </w:p>
    <w:p>
      <w:pPr>
        <w:spacing w:after="0" w:line="170"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Building Design Suites, Autodesk Revit, AutoCAD Civil 3D and AutoCAD Map 3D.</w:t>
      </w:r>
    </w:p>
    <w:p>
      <w:pPr>
        <w:spacing w:after="0" w:line="19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brings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Product Design Suites, AutoCAD Mechanical Autodesk Inventor and Autodesk Moldflow products.</w:t>
      </w:r>
    </w:p>
    <w:p>
      <w:pPr>
        <w:spacing w:after="0" w:line="188" w:lineRule="exact"/>
        <w:rPr>
          <w:sz w:val="20"/>
          <w:szCs w:val="20"/>
          <w:color w:val="auto"/>
        </w:rPr>
      </w:pPr>
    </w:p>
    <w:p>
      <w:pPr>
        <w:jc w:val="both"/>
        <w:ind w:right="220" w:firstLine="432"/>
        <w:spacing w:after="0" w:line="254" w:lineRule="auto"/>
        <w:rPr>
          <w:sz w:val="20"/>
          <w:szCs w:val="20"/>
          <w:color w:val="auto"/>
        </w:rPr>
      </w:pPr>
      <w:r>
        <w:rPr>
          <w:rFonts w:ascii="Arial" w:cs="Arial" w:eastAsia="Arial" w:hAnsi="Arial"/>
          <w:sz w:val="18"/>
          <w:szCs w:val="18"/>
          <w:color w:val="auto"/>
        </w:rPr>
        <w:t>M&amp;E is comprised of two product groups: Animation, including design visualization, and Creative Finishing. Animation products, such as Autodesk Maya, Autodesk 3ds Max, and the Autodesk Entertainment Creation Suites, provide tools for digital sculpting, modeling, animation, effects, rendering and compositing, for design visualization, visual effects and games production. Creative Finishing products provide editing, finishing and visual effects design and color grading.</w:t>
      </w:r>
    </w:p>
    <w:p>
      <w:pPr>
        <w:spacing w:after="0" w:line="2" w:lineRule="exact"/>
        <w:rPr>
          <w:sz w:val="20"/>
          <w:szCs w:val="20"/>
          <w:color w:val="auto"/>
        </w:rPr>
      </w:pPr>
    </w:p>
    <w:p>
      <w:pPr>
        <w:ind w:right="40" w:firstLine="432"/>
        <w:spacing w:after="0" w:line="261"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84"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The accounting policies of the reportable segments are the same as those described in Note 1, “Business and Summary of Significant Accounting Policies.” Autodesk evaluates each segment’s performance on the basis of gross profit. Autodesk currently does not separately accumulate and report asset information by segment, except for goodwill, which is disclosed in Note 1, “Business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84</w:t>
      </w:r>
    </w:p>
    <w:p>
      <w:pPr>
        <w:sectPr>
          <w:pgSz w:w="11900" w:h="16838" w:orient="portrait"/>
          <w:cols w:equalWidth="0" w:num="1">
            <w:col w:w="11380"/>
          </w:cols>
          <w:pgMar w:left="240" w:top="125" w:right="27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w w:val="91"/>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849.7</w:t>
            </w:r>
          </w:p>
        </w:tc>
        <w:tc>
          <w:tcPr>
            <w:tcW w:w="5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833.1</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716.2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568.0</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573.8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540.3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470.0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17"/>
        </w:trPr>
        <w:tc>
          <w:tcPr>
            <w:tcW w:w="674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2,312.2</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2,215.6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1,951.8</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Gross profit:</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795.2</w:t>
            </w:r>
          </w:p>
        </w:tc>
        <w:tc>
          <w:tcPr>
            <w:tcW w:w="5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788.0</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678.9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517.6</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531.4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496.1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439.5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153.9</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Unallocated(1)</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2,073.7</w:t>
            </w:r>
          </w:p>
        </w:tc>
        <w:tc>
          <w:tcPr>
            <w:tcW w:w="54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1,755.2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54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Media and Entertainment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Unallocated</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17"/>
        </w:trPr>
        <w:tc>
          <w:tcPr>
            <w:tcW w:w="674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127.8</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33"/>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500" w:hanging="412"/>
        <w:spacing w:after="0" w:line="263" w:lineRule="auto"/>
        <w:tabs>
          <w:tab w:leader="none" w:pos="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Unallocated amounts primarily relate to corporate expenses and other costs and expenses that are managed outside the reportable segments, including stock-based compensation expense.</w:t>
      </w:r>
    </w:p>
    <w:p>
      <w:pPr>
        <w:spacing w:after="0" w:line="17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Information regarding Autodesk’s operations by geographic area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tcPr>
          <w:p>
            <w:pPr>
              <w:spacing w:after="0"/>
              <w:rPr>
                <w:sz w:val="22"/>
                <w:szCs w:val="22"/>
                <w:color w:val="auto"/>
              </w:rPr>
            </w:pPr>
          </w:p>
        </w:tc>
        <w:tc>
          <w:tcPr>
            <w:tcW w:w="26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080" w:type="dxa"/>
            <w:vAlign w:val="bottom"/>
            <w:shd w:val="clear" w:color="auto" w:fill="CCEEFF"/>
          </w:tcPr>
          <w:p>
            <w:pPr>
              <w:spacing w:after="0"/>
              <w:rPr>
                <w:sz w:val="5"/>
                <w:szCs w:val="5"/>
                <w:color w:val="auto"/>
              </w:rPr>
            </w:pPr>
          </w:p>
        </w:tc>
        <w:tc>
          <w:tcPr>
            <w:tcW w:w="26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380"/>
              <w:spacing w:after="0"/>
              <w:rPr>
                <w:sz w:val="20"/>
                <w:szCs w:val="20"/>
                <w:color w:val="auto"/>
              </w:rPr>
            </w:pPr>
            <w:r>
              <w:rPr>
                <w:rFonts w:ascii="Arial" w:cs="Arial" w:eastAsia="Arial" w:hAnsi="Arial"/>
                <w:sz w:val="16"/>
                <w:szCs w:val="16"/>
                <w:color w:val="auto"/>
              </w:rPr>
              <w:t>Americas</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3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672.1</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561.6</w:t>
            </w:r>
          </w:p>
        </w:tc>
        <w:tc>
          <w:tcPr>
            <w:tcW w:w="0" w:type="dxa"/>
            <w:vAlign w:val="bottom"/>
          </w:tcPr>
          <w:p>
            <w:pPr>
              <w:spacing w:after="0"/>
              <w:rPr>
                <w:sz w:val="1"/>
                <w:szCs w:val="1"/>
                <w:color w:val="auto"/>
              </w:rPr>
            </w:pPr>
          </w:p>
        </w:tc>
      </w:tr>
      <w:tr>
        <w:trPr>
          <w:trHeight w:val="237"/>
        </w:trPr>
        <w:tc>
          <w:tcPr>
            <w:tcW w:w="408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2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139.9</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2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701.5</w:t>
            </w:r>
          </w:p>
        </w:tc>
        <w:tc>
          <w:tcPr>
            <w:tcW w:w="0" w:type="dxa"/>
            <w:vAlign w:val="bottom"/>
          </w:tcPr>
          <w:p>
            <w:pPr>
              <w:spacing w:after="0"/>
              <w:rPr>
                <w:sz w:val="1"/>
                <w:szCs w:val="1"/>
                <w:color w:val="auto"/>
              </w:rPr>
            </w:pPr>
          </w:p>
        </w:tc>
      </w:tr>
      <w:tr>
        <w:trPr>
          <w:trHeight w:val="217"/>
        </w:trPr>
        <w:tc>
          <w:tcPr>
            <w:tcW w:w="408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26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868.5</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862.2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782.8</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2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80" w:type="dxa"/>
            <w:vAlign w:val="bottom"/>
            <w:shd w:val="clear" w:color="auto" w:fill="CCEEFF"/>
          </w:tcPr>
          <w:p>
            <w:pPr>
              <w:spacing w:after="0"/>
              <w:rPr>
                <w:sz w:val="5"/>
                <w:szCs w:val="5"/>
                <w:color w:val="auto"/>
              </w:rPr>
            </w:pPr>
          </w:p>
        </w:tc>
        <w:tc>
          <w:tcPr>
            <w:tcW w:w="26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720"/>
              <w:spacing w:after="0"/>
              <w:rPr>
                <w:sz w:val="20"/>
                <w:szCs w:val="20"/>
                <w:color w:val="auto"/>
              </w:rPr>
            </w:pPr>
            <w:r>
              <w:rPr>
                <w:rFonts w:ascii="Arial" w:cs="Arial" w:eastAsia="Arial" w:hAnsi="Arial"/>
                <w:sz w:val="16"/>
                <w:szCs w:val="16"/>
                <w:color w:val="auto"/>
              </w:rPr>
              <w:t>Japan</w:t>
            </w:r>
          </w:p>
        </w:tc>
        <w:tc>
          <w:tcPr>
            <w:tcW w:w="2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278.3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240.5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Asia Pacific</w:t>
            </w:r>
          </w:p>
        </w:tc>
        <w:tc>
          <w:tcPr>
            <w:tcW w:w="2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266.9</w:t>
            </w:r>
          </w:p>
        </w:tc>
        <w:tc>
          <w:tcPr>
            <w:tcW w:w="0" w:type="dxa"/>
            <w:vAlign w:val="bottom"/>
          </w:tcPr>
          <w:p>
            <w:pPr>
              <w:spacing w:after="0"/>
              <w:rPr>
                <w:sz w:val="1"/>
                <w:szCs w:val="1"/>
                <w:color w:val="auto"/>
              </w:rPr>
            </w:pPr>
          </w:p>
        </w:tc>
      </w:tr>
      <w:tr>
        <w:trPr>
          <w:trHeight w:val="217"/>
        </w:trPr>
        <w:tc>
          <w:tcPr>
            <w:tcW w:w="4080" w:type="dxa"/>
            <w:vAlign w:val="bottom"/>
          </w:tcPr>
          <w:p>
            <w:pPr>
              <w:ind w:left="380"/>
              <w:spacing w:after="0"/>
              <w:rPr>
                <w:sz w:val="20"/>
                <w:szCs w:val="20"/>
                <w:color w:val="auto"/>
              </w:rPr>
            </w:pPr>
            <w:r>
              <w:rPr>
                <w:rFonts w:ascii="Arial" w:cs="Arial" w:eastAsia="Arial" w:hAnsi="Arial"/>
                <w:sz w:val="16"/>
                <w:szCs w:val="16"/>
                <w:color w:val="auto"/>
              </w:rPr>
              <w:t>Total Asia Pacific</w:t>
            </w:r>
          </w:p>
        </w:tc>
        <w:tc>
          <w:tcPr>
            <w:tcW w:w="26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607.5</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554.9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467.5</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3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2,312.2</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1,951.8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jc w:val="right"/>
              <w:ind w:right="822"/>
              <w:spacing w:after="0"/>
              <w:rPr>
                <w:sz w:val="20"/>
                <w:szCs w:val="20"/>
                <w:color w:val="auto"/>
              </w:rPr>
            </w:pPr>
            <w:r>
              <w:rPr>
                <w:rFonts w:ascii="Arial" w:cs="Arial" w:eastAsia="Arial" w:hAnsi="Arial"/>
                <w:sz w:val="14"/>
                <w:szCs w:val="14"/>
                <w:b w:val="1"/>
                <w:bCs w:val="1"/>
                <w:color w:val="auto"/>
              </w:rPr>
              <w:t>85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9"/>
        </w:trPr>
        <w:tc>
          <w:tcPr>
            <w:tcW w:w="408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January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Long-lived assets (1):</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380"/>
              <w:spacing w:after="0"/>
              <w:rPr>
                <w:sz w:val="20"/>
                <w:szCs w:val="20"/>
                <w:color w:val="auto"/>
              </w:rPr>
            </w:pPr>
            <w:r>
              <w:rPr>
                <w:rFonts w:ascii="Arial" w:cs="Arial" w:eastAsia="Arial" w:hAnsi="Arial"/>
                <w:sz w:val="16"/>
                <w:szCs w:val="16"/>
                <w:color w:val="auto"/>
              </w:rPr>
              <w:t>Americas</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 (2)</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747.9</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 Americas (2)</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6"/>
              </w:rPr>
              <w:t>1,003.6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831.7</w:t>
            </w:r>
          </w:p>
        </w:tc>
        <w:tc>
          <w:tcPr>
            <w:tcW w:w="0" w:type="dxa"/>
            <w:vAlign w:val="bottom"/>
          </w:tcPr>
          <w:p>
            <w:pPr>
              <w:spacing w:after="0"/>
              <w:rPr>
                <w:sz w:val="1"/>
                <w:szCs w:val="1"/>
                <w:color w:val="auto"/>
              </w:rPr>
            </w:pPr>
          </w:p>
        </w:tc>
      </w:tr>
      <w:tr>
        <w:trPr>
          <w:trHeight w:val="204"/>
        </w:trPr>
        <w:tc>
          <w:tcPr>
            <w:tcW w:w="834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9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Switzerland</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 Europe, Middle East and Africa</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133.3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Europe, Middle East and Africa</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long-lived assets</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6"/>
              </w:rPr>
              <w:t>1,222.1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1,003.3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Long-lived assets exclude deferred tax assets and marketable securities.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 comparability, the presentation of the balances at January 31, 2012 was adjusted to align to current year presentation.</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Retirement Benefit Plans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Pretax Savings Plan</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Autodesk has a 401(k) plan that covers nearly all U.S. employees. Eligible employees may contribute up to 50% of their pretax salary, subject to limitations mandated by the Internal Revenue Service. Autodesk makes voluntary cash contributions and matches a portion of employee contributions in cash. Autodesk’s contributions were $7.9 million in fiscal 2013, $7.3 million in fiscal 2012 and $6.7 million in fiscal 2011. Autodesk does not allow participants to invest in Autodesk common stock through the 401(k) plan.</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Plans</w:t>
      </w:r>
    </w:p>
    <w:p>
      <w:pPr>
        <w:spacing w:after="0" w:line="225"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Autodesk provides certain defined benefit pension plans to employees primarily located in countries outside of the U.S. The Company deposits funds for specific plans, consistent with the requirements of local law, with insurance companies or third-party trustees, and accrues for the unfunded portion of the obligation, where material. The assumptions used in calculating the obligation for these plans depend on the local economic environment. The net liability related to the funded status of the plans was approximately $24.0 million and $18.0 million as of January 31, 2013 and 2012, respectively. The projected benefit obligation was $61.5 million and $52.8 million as of January 31, 2013 and 2012, respectively. The related fair value of plan assets was $37.5 million and $34.8 million as of January 31, 2013 and 2012, respectively. Autodesk's practice is to fund the pension plans in amounts at least sufficient to meet the minimum requirements of local laws and regulations. The assets of the plans are primarily invested in high quality fixed income investments. Autodesk's contributions were approximately $5.4 million, $4.2 million and $3.5 million in fiscal 2013, 2012 and 2011, respectively. As of January 31, 2013, Autodesk's estimated future benefit payments are an aggregate $10.6 million for fiscal 2014 through fiscal 2018 and an aggregate of $8.4 million for fiscal 2019 through fiscal 2023. Autodesk recorded $14.7 million and $8.2 million of unrealized changes in the unfunded portion of Autodesk’s defined benefit plans in fiscal 2013 and fiscal 2012, respectively.</w:t>
      </w:r>
    </w:p>
    <w:p>
      <w:pPr>
        <w:spacing w:after="0" w:line="183"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Autodesk also provides defined contribution plans in certain foreign countries where required by statute. Autodesk’s funding policy for foreign defined contribution plans is consistent with the local requirements in each country. Autodesk’s contributions to these plans were $21.5 million in fiscal 2013, $20.4 million in fiscal 2012 and $13.6 million in fiscal 2011.</w:t>
      </w:r>
    </w:p>
    <w:p>
      <w:pPr>
        <w:spacing w:after="0" w:line="181"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In addition, Autodesk offers a non-qualified deferred compensation plan to certain key employees whereby they may defer a portion (or all) of their annual compensation until retirement or a different date specified by the employee in accordance with terms of the plan. See Note 6, “Deferred Compensation,” for further discussion.</w:t>
      </w:r>
    </w:p>
    <w:p>
      <w:pPr>
        <w:spacing w:after="0" w:line="1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Restructuring Reserves</w:t>
      </w:r>
    </w:p>
    <w:p>
      <w:pPr>
        <w:spacing w:after="0" w:line="22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During the third quarter of fiscal 2013, the Board of Directors of the Company approved a world-wide restructuring plan in line with the Company's strategy, including its continuing shift to cloud and mobile computing. The plan included a reduction of approximately 500 positions and the consolidation of eight leased facilities with a total cost of up to $52.0 million.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86</w:t>
      </w:r>
    </w:p>
    <w:p>
      <w:pPr>
        <w:sectPr>
          <w:pgSz w:w="11900" w:h="16838" w:orient="portrait"/>
          <w:cols w:equalWidth="0" w:num="1">
            <w:col w:w="11420"/>
          </w:cols>
          <w:pgMar w:left="240" w:top="125"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fiscal 2013, Autodesk recorded a restructuring charge of $43.9 million. Of this amount, $40.6 million were recorded for one-time termination benefits and other costs and $3.3 million was recorded for facilities-related costs. The termination benefits and facility related liabilities have been substantially paid as of fiscal year ended January 31, 2013. Autodesk expects to pay the remainder of the termination benefits and facility related liabilities through the fourth quarter of fiscal 2019.</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restructuring activities for the fiscal years ended January 31, 2013 and 2012:</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Balances,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Balances, January 31,</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2013 Plan</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Employee termination costs</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Pr>
          <w:p>
            <w:pPr>
              <w:ind w:left="86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and asset costs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84"/>
        </w:trPr>
        <w:tc>
          <w:tcPr>
            <w:tcW w:w="3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44.3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portion(2)</w:t>
            </w:r>
          </w:p>
        </w:tc>
        <w:tc>
          <w:tcPr>
            <w:tcW w:w="3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Non-current portion(2)</w:t>
            </w:r>
          </w:p>
        </w:tc>
        <w:tc>
          <w:tcPr>
            <w:tcW w:w="360" w:type="dxa"/>
            <w:vAlign w:val="bottom"/>
          </w:tcPr>
          <w:p>
            <w:pPr>
              <w:spacing w:after="0"/>
              <w:rPr>
                <w:sz w:val="20"/>
                <w:szCs w:val="20"/>
                <w:color w:val="auto"/>
              </w:rPr>
            </w:pPr>
          </w:p>
        </w:tc>
        <w:tc>
          <w:tcPr>
            <w:tcW w:w="1140" w:type="dxa"/>
            <w:vAlign w:val="bottom"/>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current and non-current portions of the reserve are recorded in the Consolidated Balance Sheets under “Other accrued liabilities” and “Other liabilities,” respectively.</w:t>
      </w:r>
    </w:p>
    <w:p>
      <w:pPr>
        <w:spacing w:after="0" w:line="36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00"/>
              <w:spacing w:after="0"/>
              <w:rPr>
                <w:sz w:val="20"/>
                <w:szCs w:val="20"/>
                <w:color w:val="auto"/>
              </w:rPr>
            </w:pPr>
            <w:r>
              <w:rPr>
                <w:rFonts w:ascii="Arial" w:cs="Arial" w:eastAsia="Arial" w:hAnsi="Arial"/>
                <w:sz w:val="14"/>
                <w:szCs w:val="14"/>
                <w:b w:val="1"/>
                <w:bCs w:val="1"/>
                <w:color w:val="auto"/>
              </w:rPr>
              <w:t>Balances,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Additions</w:t>
            </w:r>
          </w:p>
        </w:tc>
        <w:tc>
          <w:tcPr>
            <w:tcW w:w="180" w:type="dxa"/>
            <w:vAlign w:val="bottom"/>
          </w:tcPr>
          <w:p>
            <w:pPr>
              <w:spacing w:after="0"/>
              <w:rPr>
                <w:sz w:val="14"/>
                <w:szCs w:val="14"/>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Payments</w:t>
            </w:r>
          </w:p>
        </w:tc>
        <w:tc>
          <w:tcPr>
            <w:tcW w:w="1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Adjustments(1)</w:t>
            </w:r>
          </w:p>
        </w:tc>
        <w:tc>
          <w:tcPr>
            <w:tcW w:w="200" w:type="dxa"/>
            <w:vAlign w:val="bottom"/>
          </w:tcPr>
          <w:p>
            <w:pPr>
              <w:spacing w:after="0"/>
              <w:rPr>
                <w:sz w:val="14"/>
                <w:szCs w:val="14"/>
                <w:color w:val="auto"/>
              </w:rPr>
            </w:pPr>
          </w:p>
        </w:tc>
        <w:tc>
          <w:tcPr>
            <w:tcW w:w="960" w:type="dxa"/>
            <w:vAlign w:val="bottom"/>
          </w:tcPr>
          <w:p>
            <w:pPr>
              <w:jc w:val="right"/>
              <w:ind w:right="200"/>
              <w:spacing w:after="0"/>
              <w:rPr>
                <w:sz w:val="20"/>
                <w:szCs w:val="20"/>
                <w:color w:val="auto"/>
              </w:rPr>
            </w:pPr>
            <w:r>
              <w:rPr>
                <w:rFonts w:ascii="Arial" w:cs="Arial" w:eastAsia="Arial" w:hAnsi="Arial"/>
                <w:sz w:val="14"/>
                <w:szCs w:val="14"/>
                <w:b w:val="1"/>
                <w:bCs w:val="1"/>
                <w:color w:val="auto"/>
              </w:rPr>
              <w:t>Balances,</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January 31, 2011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January 31, 2012</w:t>
            </w: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Fiscal 2011 Plan</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9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6"/>
                <w:szCs w:val="16"/>
                <w:color w:val="auto"/>
              </w:rPr>
              <w:t>Employee termination costs</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Fiscal 2010 Plan</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6"/>
                <w:szCs w:val="16"/>
                <w:color w:val="auto"/>
              </w:rPr>
              <w:t>Employee termination costs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termination and asset costs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24"/>
        </w:trPr>
        <w:tc>
          <w:tcPr>
            <w:tcW w:w="29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Fiscal 2009 Plan</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termination costs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6"/>
                <w:szCs w:val="16"/>
                <w:color w:val="auto"/>
              </w:rPr>
              <w:t>Lease termination and asset costs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6"/>
                <w:szCs w:val="16"/>
                <w:color w:val="auto"/>
              </w:rPr>
              <w:t>Employee termination costs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termination costs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84"/>
        </w:trPr>
        <w:tc>
          <w:tcPr>
            <w:tcW w:w="29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portion(2)</w:t>
            </w: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6"/>
                <w:szCs w:val="16"/>
                <w:color w:val="auto"/>
              </w:rPr>
              <w:t>Non-current portion(2)</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2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420" w:hanging="412"/>
        <w:spacing w:after="0"/>
        <w:tabs>
          <w:tab w:leader="none" w:pos="4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current and non-current portions of the reserve are recorded in the Consolidated Balance Sheets under “Other accrued liabilities” and “Other liabilities,”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87</w:t>
      </w:r>
    </w:p>
    <w:p>
      <w:pPr>
        <w:sectPr>
          <w:pgSz w:w="11900" w:h="16838" w:orient="portrait"/>
          <w:cols w:equalWidth="0" w:num="1">
            <w:col w:w="11420"/>
          </w:cols>
          <w:pgMar w:left="240" w:top="125"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Selected Quarterly Financial Information (Unaudited)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Summarized quarterly financial information for fiscal 2013 and 2012 is as follows: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3"/>
          </w:tcPr>
          <w:p>
            <w:pPr>
              <w:ind w:left="40"/>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1st quarter</w:t>
            </w:r>
          </w:p>
        </w:tc>
        <w:tc>
          <w:tcPr>
            <w:tcW w:w="26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2nd quarter</w:t>
            </w:r>
          </w:p>
        </w:tc>
        <w:tc>
          <w:tcPr>
            <w:tcW w:w="26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260" w:type="dxa"/>
            <w:vAlign w:val="bottom"/>
          </w:tcPr>
          <w:p>
            <w:pPr>
              <w:spacing w:after="0"/>
              <w:rPr>
                <w:sz w:val="14"/>
                <w:szCs w:val="14"/>
                <w:color w:val="auto"/>
              </w:rPr>
            </w:pPr>
          </w:p>
        </w:tc>
        <w:tc>
          <w:tcPr>
            <w:tcW w:w="1200" w:type="dxa"/>
            <w:vAlign w:val="bottom"/>
          </w:tcPr>
          <w:p>
            <w:pPr>
              <w:jc w:val="right"/>
              <w:ind w:right="320"/>
              <w:spacing w:after="0"/>
              <w:rPr>
                <w:sz w:val="20"/>
                <w:szCs w:val="20"/>
                <w:color w:val="auto"/>
              </w:rPr>
            </w:pPr>
            <w:r>
              <w:rPr>
                <w:rFonts w:ascii="Arial" w:cs="Arial" w:eastAsia="Arial" w:hAnsi="Arial"/>
                <w:sz w:val="14"/>
                <w:szCs w:val="14"/>
                <w:b w:val="1"/>
                <w:bCs w:val="1"/>
                <w:color w:val="auto"/>
              </w:rPr>
              <w:t>Fiscal year</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588.6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568.7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548.0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2,312.2</w:t>
            </w: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529.8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508.9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490.1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544.9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2,073.7</w:t>
            </w:r>
          </w:p>
        </w:tc>
      </w:tr>
      <w:tr>
        <w:trPr>
          <w:trHeight w:val="33"/>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305.9</w:t>
            </w: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(62.6)</w:t>
            </w:r>
          </w:p>
        </w:tc>
      </w:tr>
      <w:tr>
        <w:trPr>
          <w:trHeight w:val="33"/>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247.4</w:t>
            </w: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Basic net income per share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1.09</w:t>
            </w:r>
          </w:p>
        </w:tc>
      </w:tr>
      <w:tr>
        <w:trPr>
          <w:trHeight w:val="33"/>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Diluted net income per share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r>
      <w:tr>
        <w:trPr>
          <w:trHeight w:val="216"/>
        </w:trPr>
        <w:tc>
          <w:tcPr>
            <w:tcW w:w="354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Income from operations includes the following</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500" w:type="dxa"/>
            <w:vAlign w:val="bottom"/>
            <w:gridSpan w:val="2"/>
          </w:tcPr>
          <w:p>
            <w:pPr>
              <w:ind w:left="160"/>
              <w:spacing w:after="0"/>
              <w:rPr>
                <w:sz w:val="20"/>
                <w:szCs w:val="20"/>
                <w:color w:val="auto"/>
              </w:rPr>
            </w:pPr>
            <w:r>
              <w:rPr>
                <w:rFonts w:ascii="Arial" w:cs="Arial" w:eastAsia="Arial" w:hAnsi="Arial"/>
                <w:sz w:val="16"/>
                <w:szCs w:val="16"/>
                <w:b w:val="1"/>
                <w:bCs w:val="1"/>
                <w:color w:val="auto"/>
              </w:rPr>
              <w:t>items: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156.3</w:t>
            </w: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Amortization of acquisition related intangibles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81.8</w:t>
            </w:r>
          </w:p>
        </w:tc>
      </w:tr>
      <w:tr>
        <w:trPr>
          <w:trHeight w:val="33"/>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Restructuring charges, net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w:t>
            </w:r>
          </w:p>
        </w:tc>
      </w:tr>
      <w:tr>
        <w:trPr>
          <w:trHeight w:val="216"/>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2012</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1st quarter</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2nd quarter</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3rd quarter</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4th quarter</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Fiscal year</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1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Net 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528.3</w:t>
            </w:r>
          </w:p>
        </w:tc>
        <w:tc>
          <w:tcPr>
            <w:tcW w:w="12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546.3</w:t>
            </w:r>
          </w:p>
        </w:tc>
        <w:tc>
          <w:tcPr>
            <w:tcW w:w="12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548.6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592.4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2,215.6</w:t>
            </w:r>
          </w:p>
        </w:tc>
      </w:tr>
      <w:tr>
        <w:trPr>
          <w:trHeight w:val="33"/>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1,986.5</w:t>
            </w: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Income from operations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355.6</w:t>
            </w:r>
          </w:p>
        </w:tc>
      </w:tr>
      <w:tr>
        <w:trPr>
          <w:trHeight w:val="33"/>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w:t>
            </w: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285.3</w:t>
            </w:r>
          </w:p>
        </w:tc>
      </w:tr>
      <w:tr>
        <w:trPr>
          <w:trHeight w:val="33"/>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Basic net income per share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Diluted net income per share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0.29</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1.22</w:t>
            </w:r>
          </w:p>
        </w:tc>
      </w:tr>
      <w:tr>
        <w:trPr>
          <w:trHeight w:val="33"/>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w w:val="98"/>
              </w:rPr>
              <w:t>Income from operations includes the following</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3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items: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108.8</w:t>
            </w:r>
          </w:p>
        </w:tc>
      </w:tr>
      <w:tr>
        <w:trPr>
          <w:trHeight w:val="33"/>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Amortization of acquisition related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70.3</w:t>
            </w: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Restructuring benefits, net</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669"/>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740"/>
              <w:spacing w:after="0"/>
              <w:rPr>
                <w:sz w:val="20"/>
                <w:szCs w:val="20"/>
                <w:color w:val="auto"/>
              </w:rPr>
            </w:pPr>
            <w:r>
              <w:rPr>
                <w:rFonts w:ascii="Arial" w:cs="Arial" w:eastAsia="Arial" w:hAnsi="Arial"/>
                <w:sz w:val="14"/>
                <w:szCs w:val="14"/>
                <w:b w:val="1"/>
                <w:bCs w:val="1"/>
                <w:color w:val="auto"/>
              </w:rPr>
              <w:t>88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REPORT OF ERNST &amp; YOUNG LLP,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Autodesk, Inc.</w:t>
      </w:r>
    </w:p>
    <w:p>
      <w:pPr>
        <w:spacing w:after="0" w:line="22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We have audited the accompanying consolidated balance sheets of Autodesk, Inc. as of January 31, 2013 and 2012, and the related consolidated statements of operations, comprehensive income, cash flows and stockholders’ equity for each of the three years in the period ended January 31, 2013.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100" w:firstLine="432"/>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Autodesk, Inc. at January 31, 2013 and 2012, and the consolidated results of its operations and its cash flows for each of the three years in the period ended January 31, 2013,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Autodesk, Inc.’s internal control over financial reporting as of January 31, 2013,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March 18, 2013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89</w:t>
      </w:r>
    </w:p>
    <w:p>
      <w:pPr>
        <w:sectPr>
          <w:pgSz w:w="11900" w:h="16838" w:orient="portrait"/>
          <w:cols w:equalWidth="0" w:num="1">
            <w:col w:w="11380"/>
          </w:cols>
          <w:pgMar w:left="240" w:top="125" w:right="27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REPORT OF ERNST &amp; YOUNG LLP,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Autodesk, Inc.</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We have audited Autodesk, Inc.’s internal control over financial reporting as of January 31, 2013,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(the COSO criteria). Autodesk, Inc.’s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8"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 our opinion, Autodesk, Inc. maintained, in all material respects, effective internal control over financial reporting as of January 31, 2013, based on the COSO criteria.</w:t>
      </w:r>
    </w:p>
    <w:p>
      <w:pPr>
        <w:spacing w:after="0" w:line="17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Autodesk, Inc. as of January 31, 2013 and 2012, and the related consolidated statements of operations, comprehensive income, cash flows, and stockholders’ equity for each of the three years in the period ended January 31, 2013 of Autodesk, Inc. and our report dated March 18, 2013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90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Our management evaluated, with the participation of our Chief Executive Officer and Chief Financial Officer, the effectiveness of our disclosure controls and procedures as of the end of the period covered by this Annual Report on Form 10-K.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as amended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January 31, 2013 that have materially affected, or are reasonably likely to materially affect, our internal controls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 13a-15(f) under the Securities Exchange Act of 1934, as amended). Our management assessed the effectiveness of our internal control over financial reporting as of January 31, 2013. In making this assessment, our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Our management has concluded that, as of January 31, 2013, our internal control over financial reporting is effective to provide reasonable assurance regarding the reliability of financial reporting and the preparation of financial statements for external purposes in accordance with generally accepted accounting principles. Our independent registered public accounting firm, Ernst &amp; Young, LLP, has issued an audit report on our internal control over financial reporting, which is included in Item 8 herein.</w:t>
      </w:r>
    </w:p>
    <w:p>
      <w:pPr>
        <w:spacing w:after="0" w:line="17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91</w:t>
      </w:r>
    </w:p>
    <w:p>
      <w:pPr>
        <w:sectPr>
          <w:pgSz w:w="11900" w:h="16838" w:orient="portrait"/>
          <w:cols w:equalWidth="0" w:num="1">
            <w:col w:w="11360"/>
          </w:cols>
          <w:pgMar w:left="240" w:top="125" w:right="29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Certain information required by Part III is omitted from this Annual Report because we will file a definitive proxy statement pursuant to Regulation 14A for our Annual Meeting of Stockholders not later than 120 days after the end of the fiscal year covered by this Annual Report (the “Proxy Statement”) and certain information included therein is incorporated herein by reference. Only those sections of the Proxy Statement that specifically address the items set forth herein are incorporated by reference.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One—Election of Directors,” “Section 16(a) Beneficial Ownership Reporting Compliance,” and “Corporate Governance” in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a result of the recent internal realignment and changes in responsibilities, our Board has re-evaluated our executive officers. The following sets forth certain information as of March 18, 2013 regarding our executive officers.</w:t>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44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58"/>
        </w:trPr>
        <w:tc>
          <w:tcPr>
            <w:tcW w:w="3800" w:type="dxa"/>
            <w:vAlign w:val="bottom"/>
            <w:gridSpan w:val="2"/>
          </w:tcPr>
          <w:p>
            <w:pPr>
              <w:spacing w:after="0"/>
              <w:rPr>
                <w:sz w:val="20"/>
                <w:szCs w:val="20"/>
                <w:color w:val="auto"/>
              </w:rPr>
            </w:pPr>
            <w:r>
              <w:rPr>
                <w:rFonts w:ascii="Arial" w:cs="Arial" w:eastAsia="Arial" w:hAnsi="Arial"/>
                <w:sz w:val="16"/>
                <w:szCs w:val="16"/>
                <w:color w:val="auto"/>
              </w:rPr>
              <w:t>Carl Bass</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380" w:type="dxa"/>
            <w:vAlign w:val="bottom"/>
          </w:tcPr>
          <w:p>
            <w:pPr>
              <w:spacing w:after="0"/>
              <w:rPr>
                <w:sz w:val="22"/>
                <w:szCs w:val="22"/>
                <w:color w:val="auto"/>
              </w:rPr>
            </w:pPr>
          </w:p>
        </w:tc>
        <w:tc>
          <w:tcPr>
            <w:tcW w:w="4780" w:type="dxa"/>
            <w:vAlign w:val="bottom"/>
            <w:gridSpan w:val="3"/>
          </w:tcPr>
          <w:p>
            <w:pPr>
              <w:ind w:left="360"/>
              <w:spacing w:after="0"/>
              <w:rPr>
                <w:sz w:val="20"/>
                <w:szCs w:val="20"/>
                <w:color w:val="auto"/>
              </w:rPr>
            </w:pPr>
            <w:r>
              <w:rPr>
                <w:rFonts w:ascii="Arial" w:cs="Arial" w:eastAsia="Arial" w:hAnsi="Arial"/>
                <w:sz w:val="16"/>
                <w:szCs w:val="16"/>
                <w:color w:val="auto"/>
              </w:rPr>
              <w:t>President and Chief Executive Officer</w:t>
            </w:r>
          </w:p>
        </w:tc>
      </w:tr>
      <w:tr>
        <w:trPr>
          <w:trHeight w:val="270"/>
        </w:trPr>
        <w:tc>
          <w:tcPr>
            <w:tcW w:w="3800" w:type="dxa"/>
            <w:vAlign w:val="bottom"/>
            <w:gridSpan w:val="2"/>
          </w:tcPr>
          <w:p>
            <w:pPr>
              <w:spacing w:after="0"/>
              <w:rPr>
                <w:sz w:val="20"/>
                <w:szCs w:val="20"/>
                <w:color w:val="auto"/>
              </w:rPr>
            </w:pPr>
            <w:r>
              <w:rPr>
                <w:rFonts w:ascii="Arial" w:cs="Arial" w:eastAsia="Arial" w:hAnsi="Arial"/>
                <w:sz w:val="16"/>
                <w:szCs w:val="16"/>
                <w:color w:val="auto"/>
              </w:rPr>
              <w:t>Mark J. Hawkins</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53</w:t>
            </w:r>
          </w:p>
        </w:tc>
        <w:tc>
          <w:tcPr>
            <w:tcW w:w="380" w:type="dxa"/>
            <w:vAlign w:val="bottom"/>
          </w:tcPr>
          <w:p>
            <w:pPr>
              <w:spacing w:after="0"/>
              <w:rPr>
                <w:sz w:val="23"/>
                <w:szCs w:val="23"/>
                <w:color w:val="auto"/>
              </w:rPr>
            </w:pPr>
          </w:p>
        </w:tc>
        <w:tc>
          <w:tcPr>
            <w:tcW w:w="4780" w:type="dxa"/>
            <w:vAlign w:val="bottom"/>
            <w:gridSpan w:val="3"/>
          </w:tcPr>
          <w:p>
            <w:pPr>
              <w:ind w:left="360"/>
              <w:spacing w:after="0"/>
              <w:rPr>
                <w:sz w:val="20"/>
                <w:szCs w:val="20"/>
                <w:color w:val="auto"/>
              </w:rPr>
            </w:pPr>
            <w:r>
              <w:rPr>
                <w:rFonts w:ascii="Arial" w:cs="Arial" w:eastAsia="Arial" w:hAnsi="Arial"/>
                <w:sz w:val="16"/>
                <w:szCs w:val="16"/>
                <w:color w:val="auto"/>
              </w:rPr>
              <w:t>Executive Vice President and Chief Financial Officer</w:t>
            </w:r>
          </w:p>
        </w:tc>
      </w:tr>
      <w:tr>
        <w:trPr>
          <w:trHeight w:val="270"/>
        </w:trPr>
        <w:tc>
          <w:tcPr>
            <w:tcW w:w="3800" w:type="dxa"/>
            <w:vAlign w:val="bottom"/>
            <w:gridSpan w:val="2"/>
          </w:tcPr>
          <w:p>
            <w:pPr>
              <w:spacing w:after="0"/>
              <w:rPr>
                <w:sz w:val="20"/>
                <w:szCs w:val="20"/>
                <w:color w:val="auto"/>
              </w:rPr>
            </w:pPr>
            <w:r>
              <w:rPr>
                <w:rFonts w:ascii="Arial" w:cs="Arial" w:eastAsia="Arial" w:hAnsi="Arial"/>
                <w:sz w:val="16"/>
                <w:szCs w:val="16"/>
                <w:color w:val="auto"/>
              </w:rPr>
              <w:t>Jan Becker</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380" w:type="dxa"/>
            <w:vAlign w:val="bottom"/>
          </w:tcPr>
          <w:p>
            <w:pPr>
              <w:spacing w:after="0"/>
              <w:rPr>
                <w:sz w:val="23"/>
                <w:szCs w:val="23"/>
                <w:color w:val="auto"/>
              </w:rPr>
            </w:pPr>
          </w:p>
        </w:tc>
        <w:tc>
          <w:tcPr>
            <w:tcW w:w="4780" w:type="dxa"/>
            <w:vAlign w:val="bottom"/>
            <w:gridSpan w:val="3"/>
          </w:tcPr>
          <w:p>
            <w:pPr>
              <w:ind w:left="360"/>
              <w:spacing w:after="0"/>
              <w:rPr>
                <w:sz w:val="20"/>
                <w:szCs w:val="20"/>
                <w:color w:val="auto"/>
              </w:rPr>
            </w:pPr>
            <w:r>
              <w:rPr>
                <w:rFonts w:ascii="Arial" w:cs="Arial" w:eastAsia="Arial" w:hAnsi="Arial"/>
                <w:sz w:val="16"/>
                <w:szCs w:val="16"/>
                <w:color w:val="auto"/>
                <w:w w:val="89"/>
              </w:rPr>
              <w:t>Senior Vice President, Human Resources and Corporate Real Estate</w:t>
            </w:r>
          </w:p>
        </w:tc>
      </w:tr>
      <w:tr>
        <w:trPr>
          <w:trHeight w:val="270"/>
        </w:trPr>
        <w:tc>
          <w:tcPr>
            <w:tcW w:w="3800" w:type="dxa"/>
            <w:vAlign w:val="bottom"/>
            <w:gridSpan w:val="2"/>
          </w:tcPr>
          <w:p>
            <w:pPr>
              <w:spacing w:after="0"/>
              <w:rPr>
                <w:sz w:val="20"/>
                <w:szCs w:val="20"/>
                <w:color w:val="auto"/>
              </w:rPr>
            </w:pPr>
            <w:r>
              <w:rPr>
                <w:rFonts w:ascii="Arial" w:cs="Arial" w:eastAsia="Arial" w:hAnsi="Arial"/>
                <w:sz w:val="16"/>
                <w:szCs w:val="16"/>
                <w:color w:val="auto"/>
              </w:rPr>
              <w:t>Steve M. Blum</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380" w:type="dxa"/>
            <w:vAlign w:val="bottom"/>
          </w:tcPr>
          <w:p>
            <w:pPr>
              <w:spacing w:after="0"/>
              <w:rPr>
                <w:sz w:val="23"/>
                <w:szCs w:val="23"/>
                <w:color w:val="auto"/>
              </w:rPr>
            </w:pPr>
          </w:p>
        </w:tc>
        <w:tc>
          <w:tcPr>
            <w:tcW w:w="4780" w:type="dxa"/>
            <w:vAlign w:val="bottom"/>
            <w:gridSpan w:val="3"/>
          </w:tcPr>
          <w:p>
            <w:pPr>
              <w:ind w:left="360"/>
              <w:spacing w:after="0"/>
              <w:rPr>
                <w:sz w:val="20"/>
                <w:szCs w:val="20"/>
                <w:color w:val="auto"/>
              </w:rPr>
            </w:pPr>
            <w:r>
              <w:rPr>
                <w:rFonts w:ascii="Arial" w:cs="Arial" w:eastAsia="Arial" w:hAnsi="Arial"/>
                <w:sz w:val="16"/>
                <w:szCs w:val="16"/>
                <w:color w:val="auto"/>
              </w:rPr>
              <w:t>Senior Vice President, Worldwide Sales and Services</w:t>
            </w:r>
          </w:p>
        </w:tc>
      </w:tr>
      <w:tr>
        <w:trPr>
          <w:trHeight w:val="270"/>
        </w:trPr>
        <w:tc>
          <w:tcPr>
            <w:tcW w:w="3800" w:type="dxa"/>
            <w:vAlign w:val="bottom"/>
            <w:gridSpan w:val="2"/>
          </w:tcPr>
          <w:p>
            <w:pPr>
              <w:spacing w:after="0"/>
              <w:rPr>
                <w:sz w:val="20"/>
                <w:szCs w:val="20"/>
                <w:color w:val="auto"/>
              </w:rPr>
            </w:pPr>
            <w:r>
              <w:rPr>
                <w:rFonts w:ascii="Arial" w:cs="Arial" w:eastAsia="Arial" w:hAnsi="Arial"/>
                <w:sz w:val="16"/>
                <w:szCs w:val="16"/>
                <w:color w:val="auto"/>
              </w:rPr>
              <w:t>Pascal W. Di Fronzo</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380" w:type="dxa"/>
            <w:vAlign w:val="bottom"/>
          </w:tcPr>
          <w:p>
            <w:pPr>
              <w:spacing w:after="0"/>
              <w:rPr>
                <w:sz w:val="23"/>
                <w:szCs w:val="23"/>
                <w:color w:val="auto"/>
              </w:rPr>
            </w:pPr>
          </w:p>
        </w:tc>
        <w:tc>
          <w:tcPr>
            <w:tcW w:w="4780" w:type="dxa"/>
            <w:vAlign w:val="bottom"/>
            <w:gridSpan w:val="3"/>
          </w:tcPr>
          <w:p>
            <w:pPr>
              <w:ind w:left="360"/>
              <w:spacing w:after="0"/>
              <w:rPr>
                <w:sz w:val="20"/>
                <w:szCs w:val="20"/>
                <w:color w:val="auto"/>
              </w:rPr>
            </w:pPr>
            <w:r>
              <w:rPr>
                <w:rFonts w:ascii="Arial" w:cs="Arial" w:eastAsia="Arial" w:hAnsi="Arial"/>
                <w:sz w:val="16"/>
                <w:szCs w:val="16"/>
                <w:color w:val="auto"/>
              </w:rPr>
              <w:t>Senior Vice President, General Counsel and Secretary</w:t>
            </w:r>
          </w:p>
        </w:tc>
      </w:tr>
    </w:tbl>
    <w:p>
      <w:pPr>
        <w:spacing w:after="0" w:line="231" w:lineRule="exact"/>
        <w:rPr>
          <w:sz w:val="20"/>
          <w:szCs w:val="20"/>
          <w:color w:val="auto"/>
        </w:rPr>
      </w:pPr>
    </w:p>
    <w:p>
      <w:pPr>
        <w:ind w:right="100" w:firstLine="405"/>
        <w:spacing w:after="0" w:line="295" w:lineRule="auto"/>
        <w:rPr>
          <w:sz w:val="20"/>
          <w:szCs w:val="20"/>
          <w:color w:val="auto"/>
        </w:rPr>
      </w:pPr>
      <w:r>
        <w:rPr>
          <w:rFonts w:ascii="Arial" w:cs="Arial" w:eastAsia="Arial" w:hAnsi="Arial"/>
          <w:sz w:val="16"/>
          <w:szCs w:val="16"/>
          <w:b w:val="1"/>
          <w:bCs w:val="1"/>
          <w:color w:val="auto"/>
        </w:rPr>
        <w:t xml:space="preserve">Carl Bass </w:t>
      </w:r>
      <w:r>
        <w:rPr>
          <w:rFonts w:ascii="Arial" w:cs="Arial" w:eastAsia="Arial" w:hAnsi="Arial"/>
          <w:sz w:val="16"/>
          <w:szCs w:val="16"/>
          <w:color w:val="auto"/>
        </w:rPr>
        <w:t>joined Autodesk in September 1993 and has served as President and Chief Executive Officer since May 2006. Mr. Bass served as Interim</w:t>
      </w:r>
      <w:r>
        <w:rPr>
          <w:rFonts w:ascii="Arial" w:cs="Arial" w:eastAsia="Arial" w:hAnsi="Arial"/>
          <w:sz w:val="16"/>
          <w:szCs w:val="16"/>
          <w:b w:val="1"/>
          <w:bCs w:val="1"/>
          <w:color w:val="auto"/>
        </w:rPr>
        <w:t xml:space="preserve"> </w:t>
      </w:r>
      <w:r>
        <w:rPr>
          <w:rFonts w:ascii="Arial" w:cs="Arial" w:eastAsia="Arial" w:hAnsi="Arial"/>
          <w:sz w:val="16"/>
          <w:szCs w:val="16"/>
          <w:color w:val="auto"/>
        </w:rPr>
        <w:t>Chief Financial Officer from August 2008 to April 2009. From June 2004 to April 2006, Mr. Bass served as Chief Operating Officer. From February 2002 to June 2004, Mr. Bass served as Senior Executive Vice President, Design Solutions Group. From August 2001 to February 2002, Mr. Bass served as Executive Vice President, Emerging Business and Chief Strategy Officer. From June 1999 to July 2001, he served as President and Chief Executive Officer of Buzzsaw.com, Inc., a spin-off from Autodesk. Mr. Bass has also held other executive positions within Autodesk. Mr. Bass was a director of McAfee, Inc. from January 2008 until its acquisition by Intel Corporation in February 2011. Mr. Bass has served on the board of directors of E2open since July 2011.</w:t>
      </w:r>
    </w:p>
    <w:p>
      <w:pPr>
        <w:spacing w:after="0" w:line="156"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 xml:space="preserve">Mark J. Hawkins </w:t>
      </w:r>
      <w:r>
        <w:rPr>
          <w:rFonts w:ascii="Arial" w:cs="Arial" w:eastAsia="Arial" w:hAnsi="Arial"/>
          <w:sz w:val="18"/>
          <w:szCs w:val="18"/>
          <w:color w:val="auto"/>
        </w:rPr>
        <w:t>joined Autodesk in April 2009 and serves as Executive Vice President and Chief Financial Officer. Prior to joining Autodesk,</w:t>
      </w:r>
      <w:r>
        <w:rPr>
          <w:rFonts w:ascii="Arial" w:cs="Arial" w:eastAsia="Arial" w:hAnsi="Arial"/>
          <w:sz w:val="18"/>
          <w:szCs w:val="18"/>
          <w:b w:val="1"/>
          <w:bCs w:val="1"/>
          <w:color w:val="auto"/>
        </w:rPr>
        <w:t xml:space="preserve"> </w:t>
      </w:r>
      <w:r>
        <w:rPr>
          <w:rFonts w:ascii="Arial" w:cs="Arial" w:eastAsia="Arial" w:hAnsi="Arial"/>
          <w:sz w:val="18"/>
          <w:szCs w:val="18"/>
          <w:color w:val="auto"/>
        </w:rPr>
        <w:t>Mr. Hawkins was Chief Financial Officer and Senior Vice President of Finance and Information Technology at Logitech International S.A. from April 2006 to April 2009. Previously, he was with Dell Inc. for six years, most recently serving as Vice President of Finance for worldwide procurement and logistics. Prior to joining Dell, Mr. Hawkins was employed by Hewlett-Packard Company for 18 years in finance and business-management roles. Mr. Hawkins has served on the Board of BMC Software, Inc. since May 2010.</w:t>
      </w:r>
    </w:p>
    <w:p>
      <w:pPr>
        <w:spacing w:after="0" w:line="184" w:lineRule="exact"/>
        <w:rPr>
          <w:sz w:val="20"/>
          <w:szCs w:val="20"/>
          <w:color w:val="auto"/>
        </w:rPr>
      </w:pPr>
    </w:p>
    <w:p>
      <w:pPr>
        <w:ind w:right="40" w:firstLine="405"/>
        <w:spacing w:after="0" w:line="281" w:lineRule="auto"/>
        <w:rPr>
          <w:sz w:val="20"/>
          <w:szCs w:val="20"/>
          <w:color w:val="auto"/>
        </w:rPr>
      </w:pPr>
      <w:r>
        <w:rPr>
          <w:rFonts w:ascii="Arial" w:cs="Arial" w:eastAsia="Arial" w:hAnsi="Arial"/>
          <w:sz w:val="17"/>
          <w:szCs w:val="17"/>
          <w:b w:val="1"/>
          <w:bCs w:val="1"/>
          <w:color w:val="auto"/>
        </w:rPr>
        <w:t xml:space="preserve">Jan Becker </w:t>
      </w:r>
      <w:r>
        <w:rPr>
          <w:rFonts w:ascii="Arial" w:cs="Arial" w:eastAsia="Arial" w:hAnsi="Arial"/>
          <w:sz w:val="17"/>
          <w:szCs w:val="17"/>
          <w:color w:val="auto"/>
        </w:rPr>
        <w:t>joined Autodesk in September 1992 and has served as Senior Vice President, Human Resources and Corporate Real Estate since June 2000.</w:t>
      </w:r>
      <w:r>
        <w:rPr>
          <w:rFonts w:ascii="Arial" w:cs="Arial" w:eastAsia="Arial" w:hAnsi="Arial"/>
          <w:sz w:val="17"/>
          <w:szCs w:val="17"/>
          <w:b w:val="1"/>
          <w:bCs w:val="1"/>
          <w:color w:val="auto"/>
        </w:rPr>
        <w:t xml:space="preserve"> </w:t>
      </w:r>
      <w:r>
        <w:rPr>
          <w:rFonts w:ascii="Arial" w:cs="Arial" w:eastAsia="Arial" w:hAnsi="Arial"/>
          <w:sz w:val="17"/>
          <w:szCs w:val="17"/>
          <w:color w:val="auto"/>
        </w:rPr>
        <w:t>Ms. Becker previously served in other capacities in the Human Resources Department at Autodesk. Prior to joining Autodesk, Ms. Becker held a variety of senior management positions at Sun Microsystems. Prior to Sun Microsystems, Ms. Becker worked both domestically and internationally at a number of high-tech organizations, including Activision, Digital Equipment Corporation and Hewlett-Packard Company.</w:t>
      </w:r>
    </w:p>
    <w:p>
      <w:pPr>
        <w:spacing w:after="0" w:line="165" w:lineRule="exact"/>
        <w:rPr>
          <w:sz w:val="20"/>
          <w:szCs w:val="20"/>
          <w:color w:val="auto"/>
        </w:rPr>
      </w:pPr>
    </w:p>
    <w:p>
      <w:pPr>
        <w:ind w:right="160" w:firstLine="405"/>
        <w:spacing w:after="0" w:line="281" w:lineRule="auto"/>
        <w:rPr>
          <w:sz w:val="20"/>
          <w:szCs w:val="20"/>
          <w:color w:val="auto"/>
        </w:rPr>
      </w:pPr>
      <w:r>
        <w:rPr>
          <w:rFonts w:ascii="Arial" w:cs="Arial" w:eastAsia="Arial" w:hAnsi="Arial"/>
          <w:sz w:val="17"/>
          <w:szCs w:val="17"/>
          <w:b w:val="1"/>
          <w:bCs w:val="1"/>
          <w:color w:val="auto"/>
        </w:rPr>
        <w:t xml:space="preserve">Steven M. Blum </w:t>
      </w:r>
      <w:r>
        <w:rPr>
          <w:rFonts w:ascii="Arial" w:cs="Arial" w:eastAsia="Arial" w:hAnsi="Arial"/>
          <w:sz w:val="17"/>
          <w:szCs w:val="17"/>
          <w:color w:val="auto"/>
        </w:rPr>
        <w:t>joined Autodesk in January 2003 and has served as Senior Vice President, Worldwide Sales and Services since February 2011. From</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2003 to February 2011, he served as senior vice president of Americas Sales. Prior to this position, Blum was Executive Vice President of Sales and Account Management for Parago, Inc. Blum also held positions at Mentor Graphics, most recently serving as Vice President of America's sales. Before joining Mentor Graphics, he held engineering and sales positions at NCR Corporation and Advanced Micro Devices.</w:t>
      </w:r>
    </w:p>
    <w:p>
      <w:pPr>
        <w:spacing w:after="0" w:line="165"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b w:val="1"/>
          <w:bCs w:val="1"/>
          <w:color w:val="auto"/>
        </w:rPr>
        <w:t xml:space="preserve">Pascal W. Di Fronzo </w:t>
      </w:r>
      <w:r>
        <w:rPr>
          <w:rFonts w:ascii="Arial" w:cs="Arial" w:eastAsia="Arial" w:hAnsi="Arial"/>
          <w:sz w:val="18"/>
          <w:szCs w:val="18"/>
          <w:color w:val="auto"/>
        </w:rPr>
        <w:t>joined Autodesk in June 1998 and has served as Senior Vice President, General Counsel and Secretary since March 2007.</w:t>
      </w:r>
      <w:r>
        <w:rPr>
          <w:rFonts w:ascii="Arial" w:cs="Arial" w:eastAsia="Arial" w:hAnsi="Arial"/>
          <w:sz w:val="18"/>
          <w:szCs w:val="18"/>
          <w:b w:val="1"/>
          <w:bCs w:val="1"/>
          <w:color w:val="auto"/>
        </w:rPr>
        <w:t xml:space="preserve"> </w:t>
      </w:r>
      <w:r>
        <w:rPr>
          <w:rFonts w:ascii="Arial" w:cs="Arial" w:eastAsia="Arial" w:hAnsi="Arial"/>
          <w:sz w:val="18"/>
          <w:szCs w:val="18"/>
          <w:color w:val="auto"/>
        </w:rPr>
        <w:t>From March 2006 to March 2007, Mr. Di Fronzo served as Vice President, General Counsel and Secretary, and served as Vice President, Assistant General Counsel and Assistant Secretary from March 2005 through March</w:t>
      </w: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92</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2006. Previously, Mr. Di Fronzo served in other business and legal capacities in our Legal Department. Prior to joining Autodesk, he advised high technology and emerging growth companies on business and intellectual property transactions and litigation while in private practice.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is no family relationship among any of our directors or executive officers.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10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"Corporate Governance" and “Executive Compensation,” in our Proxy Statement.</w:t>
      </w:r>
    </w:p>
    <w:p>
      <w:pPr>
        <w:spacing w:after="0" w:line="166" w:lineRule="exact"/>
        <w:rPr>
          <w:sz w:val="20"/>
          <w:szCs w:val="20"/>
          <w:color w:val="auto"/>
        </w:rPr>
      </w:pPr>
    </w:p>
    <w:p>
      <w:pPr>
        <w:ind w:left="1300" w:right="2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“Security Ownership of Certain Beneficial Owners and Management,” and “Executive Compensation—Equity Compensation Plan Information” in our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Party Transactions” and “Corporate Governance—Independence of the Board of Directors” in our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Two—Ratification of the Appointment of Independent Registered Public Accounting Firm” in our Proxy Statement.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93</w:t>
      </w:r>
    </w:p>
    <w:p>
      <w:pPr>
        <w:sectPr>
          <w:pgSz w:w="11900" w:h="16838" w:orient="portrait"/>
          <w:cols w:equalWidth="0" w:num="1">
            <w:col w:w="11380"/>
          </w:cols>
          <w:pgMar w:left="240" w:top="125" w:right="27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9" w:lineRule="exact"/>
        <w:rPr>
          <w:sz w:val="20"/>
          <w:szCs w:val="20"/>
          <w:color w:val="auto"/>
        </w:rPr>
      </w:pPr>
    </w:p>
    <w:p>
      <w:pPr>
        <w:ind w:left="700" w:hanging="368"/>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jc w:val="both"/>
        <w:ind w:right="600" w:firstLine="818"/>
        <w:spacing w:after="0" w:line="264" w:lineRule="auto"/>
        <w:tabs>
          <w:tab w:leader="none" w:pos="1125"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information concerning Autodesk’s financial statements, and Report of Ernst &amp; Young LLP,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required by this Item is incorporated by reference herein to the section of this Report in Item 8, entitled “Financial Statements and Supplementary Data.”</w:t>
      </w:r>
    </w:p>
    <w:p>
      <w:pPr>
        <w:spacing w:after="0" w:line="181" w:lineRule="exact"/>
        <w:rPr>
          <w:rFonts w:ascii="Arial" w:cs="Arial" w:eastAsia="Arial" w:hAnsi="Arial"/>
          <w:sz w:val="18"/>
          <w:szCs w:val="18"/>
          <w:color w:val="auto"/>
        </w:rPr>
      </w:pPr>
    </w:p>
    <w:p>
      <w:pPr>
        <w:ind w:right="280" w:firstLine="818"/>
        <w:spacing w:after="0" w:line="308" w:lineRule="auto"/>
        <w:tabs>
          <w:tab w:leader="none" w:pos="1125" w:val="left"/>
        </w:tabs>
        <w:numPr>
          <w:ilvl w:val="1"/>
          <w:numId w:val="45"/>
        </w:numPr>
        <w:rPr>
          <w:rFonts w:ascii="Arial" w:cs="Arial" w:eastAsia="Arial" w:hAnsi="Arial"/>
          <w:sz w:val="17"/>
          <w:szCs w:val="17"/>
          <w:color w:val="auto"/>
        </w:rPr>
      </w:pPr>
      <w:r>
        <w:rPr>
          <w:rFonts w:ascii="Arial" w:cs="Arial" w:eastAsia="Arial" w:hAnsi="Arial"/>
          <w:sz w:val="17"/>
          <w:szCs w:val="17"/>
          <w:i w:val="1"/>
          <w:iCs w:val="1"/>
          <w:color w:val="auto"/>
        </w:rPr>
        <w:t>Financial Statement Schedule</w:t>
      </w:r>
      <w:r>
        <w:rPr>
          <w:rFonts w:ascii="Arial" w:cs="Arial" w:eastAsia="Arial" w:hAnsi="Arial"/>
          <w:sz w:val="17"/>
          <w:szCs w:val="17"/>
          <w:color w:val="auto"/>
        </w:rPr>
        <w:t>: The following financial statement schedule of Autodesk, Inc., for the fiscal years ended January 31, 2013,</w:t>
      </w:r>
      <w:r>
        <w:rPr>
          <w:rFonts w:ascii="Arial" w:cs="Arial" w:eastAsia="Arial" w:hAnsi="Arial"/>
          <w:sz w:val="17"/>
          <w:szCs w:val="17"/>
          <w:i w:val="1"/>
          <w:iCs w:val="1"/>
          <w:color w:val="auto"/>
        </w:rPr>
        <w:t xml:space="preserve"> </w:t>
      </w:r>
      <w:r>
        <w:rPr>
          <w:rFonts w:ascii="Arial" w:cs="Arial" w:eastAsia="Arial" w:hAnsi="Arial"/>
          <w:sz w:val="17"/>
          <w:szCs w:val="17"/>
          <w:color w:val="auto"/>
        </w:rPr>
        <w:t>2012 and 2011, is filed as part of this Report and should be read in conjunction with the Consolidated Financial Statements of Autodesk, Inc.</w:t>
      </w:r>
    </w:p>
    <w:p>
      <w:pPr>
        <w:spacing w:after="0" w:line="147"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8"/>
          <w:szCs w:val="18"/>
          <w:color w:val="auto"/>
        </w:rPr>
        <w:t>Schedule II</w:t>
      </w:r>
      <w:r>
        <w:rPr>
          <w:sz w:val="20"/>
          <w:szCs w:val="20"/>
          <w:color w:val="auto"/>
        </w:rPr>
        <w:tab/>
      </w:r>
      <w:r>
        <w:rPr>
          <w:rFonts w:ascii="Arial" w:cs="Arial" w:eastAsia="Arial" w:hAnsi="Arial"/>
          <w:sz w:val="16"/>
          <w:szCs w:val="16"/>
          <w:color w:val="auto"/>
        </w:rPr>
        <w:t>Valuation and Qualifying Accounts</w:t>
      </w:r>
    </w:p>
    <w:p>
      <w:pPr>
        <w:spacing w:after="0" w:line="22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70" w:lineRule="exact"/>
        <w:rPr>
          <w:sz w:val="20"/>
          <w:szCs w:val="20"/>
          <w:color w:val="auto"/>
        </w:rPr>
      </w:pPr>
    </w:p>
    <w:p>
      <w:pPr>
        <w:ind w:right="140" w:firstLine="818"/>
        <w:spacing w:after="0" w:line="277" w:lineRule="auto"/>
        <w:tabs>
          <w:tab w:leader="none" w:pos="1125"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Report by reference, the exhibits listed on the accompanying Index</w:t>
      </w:r>
      <w:r>
        <w:rPr>
          <w:rFonts w:ascii="Arial" w:cs="Arial" w:eastAsia="Arial" w:hAnsi="Arial"/>
          <w:sz w:val="18"/>
          <w:szCs w:val="18"/>
          <w:i w:val="1"/>
          <w:iCs w:val="1"/>
          <w:color w:val="auto"/>
        </w:rPr>
        <w:t xml:space="preserve"> </w:t>
      </w:r>
      <w:r>
        <w:rPr>
          <w:rFonts w:ascii="Arial" w:cs="Arial" w:eastAsia="Arial" w:hAnsi="Arial"/>
          <w:sz w:val="18"/>
          <w:szCs w:val="18"/>
          <w:color w:val="auto"/>
        </w:rPr>
        <w:t>to Exhibits immediately following the signature page of this Form 10-K.</w:t>
      </w:r>
    </w:p>
    <w:p>
      <w:pPr>
        <w:spacing w:after="0" w:line="170" w:lineRule="exact"/>
        <w:rPr>
          <w:rFonts w:ascii="Arial" w:cs="Arial" w:eastAsia="Arial" w:hAnsi="Arial"/>
          <w:sz w:val="18"/>
          <w:szCs w:val="18"/>
          <w:color w:val="auto"/>
        </w:rPr>
      </w:pPr>
    </w:p>
    <w:p>
      <w:pPr>
        <w:ind w:left="720" w:hanging="388"/>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have filed, or incorporated into the Report by reference, the exhibits listed on the accompanying Index to Exhibits immediately following the signature page of this Form 10-K.</w:t>
      </w:r>
    </w:p>
    <w:p>
      <w:pPr>
        <w:spacing w:after="0" w:line="170"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(c)</w:t>
        <w:tab/>
        <w:t>Financial Statement Schedules: See Item 15(a),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15(A)(2)  FINANCIAL STATEMENT SCHEDULE II</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center"/>
              <w:ind w:right="223"/>
              <w:spacing w:after="0"/>
              <w:rPr>
                <w:sz w:val="20"/>
                <w:szCs w:val="20"/>
                <w:color w:val="auto"/>
              </w:rPr>
            </w:pPr>
            <w:r>
              <w:rPr>
                <w:rFonts w:ascii="Arial" w:cs="Arial" w:eastAsia="Arial" w:hAnsi="Arial"/>
                <w:sz w:val="14"/>
                <w:szCs w:val="14"/>
                <w:b w:val="1"/>
                <w:bCs w:val="1"/>
                <w:color w:val="auto"/>
                <w:w w:val="92"/>
              </w:rPr>
              <w:t>Additions</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80" w:type="dxa"/>
            <w:vAlign w:val="bottom"/>
            <w:vMerge w:val="restart"/>
          </w:tcPr>
          <w:p>
            <w:pPr>
              <w:jc w:val="center"/>
              <w:ind w:left="324"/>
              <w:spacing w:after="0"/>
              <w:rPr>
                <w:sz w:val="20"/>
                <w:szCs w:val="20"/>
                <w:color w:val="auto"/>
              </w:rPr>
            </w:pPr>
            <w:r>
              <w:rPr>
                <w:rFonts w:ascii="Arial" w:cs="Arial" w:eastAsia="Arial" w:hAnsi="Arial"/>
                <w:sz w:val="14"/>
                <w:szCs w:val="14"/>
                <w:b w:val="1"/>
                <w:bCs w:val="1"/>
                <w:color w:val="auto"/>
                <w:w w:val="91"/>
              </w:rPr>
              <w:t>Balance at</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91"/>
              </w:rPr>
              <w:t>Charged to</w:t>
            </w:r>
          </w:p>
        </w:tc>
        <w:tc>
          <w:tcPr>
            <w:tcW w:w="400" w:type="dxa"/>
            <w:vAlign w:val="bottom"/>
          </w:tcPr>
          <w:p>
            <w:pPr>
              <w:spacing w:after="0"/>
              <w:rPr>
                <w:sz w:val="12"/>
                <w:szCs w:val="12"/>
                <w:color w:val="auto"/>
              </w:rPr>
            </w:pPr>
          </w:p>
        </w:tc>
        <w:tc>
          <w:tcPr>
            <w:tcW w:w="1140" w:type="dxa"/>
            <w:vAlign w:val="bottom"/>
            <w:vMerge w:val="restart"/>
          </w:tcPr>
          <w:p>
            <w:pPr>
              <w:jc w:val="center"/>
              <w:ind w:right="261"/>
              <w:spacing w:after="0"/>
              <w:rPr>
                <w:sz w:val="20"/>
                <w:szCs w:val="20"/>
                <w:color w:val="auto"/>
              </w:rPr>
            </w:pPr>
            <w:r>
              <w:rPr>
                <w:rFonts w:ascii="Arial" w:cs="Arial" w:eastAsia="Arial" w:hAnsi="Arial"/>
                <w:sz w:val="14"/>
                <w:szCs w:val="14"/>
                <w:b w:val="1"/>
                <w:bCs w:val="1"/>
                <w:color w:val="auto"/>
                <w:w w:val="89"/>
              </w:rPr>
              <w:t>Deductions</w:t>
            </w: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88"/>
              </w:rPr>
              <w:t>Costs and</w:t>
            </w:r>
          </w:p>
        </w:tc>
        <w:tc>
          <w:tcPr>
            <w:tcW w:w="4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080" w:type="dxa"/>
            <w:vAlign w:val="bottom"/>
          </w:tcPr>
          <w:p>
            <w:pPr>
              <w:jc w:val="center"/>
              <w:ind w:left="344"/>
              <w:spacing w:after="0" w:line="149" w:lineRule="exact"/>
              <w:rPr>
                <w:sz w:val="20"/>
                <w:szCs w:val="20"/>
                <w:color w:val="auto"/>
              </w:rPr>
            </w:pPr>
            <w:r>
              <w:rPr>
                <w:rFonts w:ascii="Arial" w:cs="Arial" w:eastAsia="Arial" w:hAnsi="Arial"/>
                <w:sz w:val="14"/>
                <w:szCs w:val="14"/>
                <w:b w:val="1"/>
                <w:bCs w:val="1"/>
                <w:color w:val="auto"/>
                <w:w w:val="90"/>
              </w:rPr>
              <w:t>Beginning</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center"/>
              <w:ind w:right="203"/>
              <w:spacing w:after="0" w:line="149" w:lineRule="exact"/>
              <w:rPr>
                <w:sz w:val="20"/>
                <w:szCs w:val="20"/>
                <w:color w:val="auto"/>
              </w:rPr>
            </w:pPr>
            <w:r>
              <w:rPr>
                <w:rFonts w:ascii="Arial" w:cs="Arial" w:eastAsia="Arial" w:hAnsi="Arial"/>
                <w:sz w:val="14"/>
                <w:szCs w:val="14"/>
                <w:b w:val="1"/>
                <w:bCs w:val="1"/>
                <w:color w:val="auto"/>
                <w:w w:val="88"/>
              </w:rPr>
              <w:t>Expenses or</w:t>
            </w:r>
          </w:p>
        </w:tc>
        <w:tc>
          <w:tcPr>
            <w:tcW w:w="400" w:type="dxa"/>
            <w:vAlign w:val="bottom"/>
          </w:tcPr>
          <w:p>
            <w:pPr>
              <w:spacing w:after="0"/>
              <w:rPr>
                <w:sz w:val="12"/>
                <w:szCs w:val="12"/>
                <w:color w:val="auto"/>
              </w:rPr>
            </w:pPr>
          </w:p>
        </w:tc>
        <w:tc>
          <w:tcPr>
            <w:tcW w:w="1140" w:type="dxa"/>
            <w:vAlign w:val="bottom"/>
          </w:tcPr>
          <w:p>
            <w:pPr>
              <w:jc w:val="center"/>
              <w:ind w:right="261"/>
              <w:spacing w:after="0" w:line="149" w:lineRule="exact"/>
              <w:rPr>
                <w:sz w:val="20"/>
                <w:szCs w:val="20"/>
                <w:color w:val="auto"/>
              </w:rPr>
            </w:pPr>
            <w:r>
              <w:rPr>
                <w:rFonts w:ascii="Arial" w:cs="Arial" w:eastAsia="Arial" w:hAnsi="Arial"/>
                <w:sz w:val="14"/>
                <w:szCs w:val="14"/>
                <w:b w:val="1"/>
                <w:bCs w:val="1"/>
                <w:color w:val="auto"/>
                <w:w w:val="96"/>
              </w:rPr>
              <w:t>and</w:t>
            </w: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1080" w:type="dxa"/>
            <w:vAlign w:val="bottom"/>
          </w:tcPr>
          <w:p>
            <w:pPr>
              <w:jc w:val="center"/>
              <w:ind w:left="324"/>
              <w:spacing w:after="0" w:line="158" w:lineRule="exact"/>
              <w:rPr>
                <w:sz w:val="20"/>
                <w:szCs w:val="20"/>
                <w:color w:val="auto"/>
              </w:rPr>
            </w:pPr>
            <w:r>
              <w:rPr>
                <w:rFonts w:ascii="Arial" w:cs="Arial" w:eastAsia="Arial" w:hAnsi="Arial"/>
                <w:sz w:val="14"/>
                <w:szCs w:val="14"/>
                <w:b w:val="1"/>
                <w:bCs w:val="1"/>
                <w:color w:val="auto"/>
                <w:w w:val="92"/>
              </w:rPr>
              <w:t>of Year</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center"/>
              <w:ind w:right="203"/>
              <w:spacing w:after="0" w:line="158" w:lineRule="exact"/>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3"/>
                <w:szCs w:val="13"/>
                <w:color w:val="auto"/>
              </w:rPr>
            </w:pPr>
          </w:p>
        </w:tc>
        <w:tc>
          <w:tcPr>
            <w:tcW w:w="1140" w:type="dxa"/>
            <w:vAlign w:val="bottom"/>
          </w:tcPr>
          <w:p>
            <w:pPr>
              <w:jc w:val="center"/>
              <w:ind w:right="261"/>
              <w:spacing w:after="0" w:line="158" w:lineRule="exact"/>
              <w:rPr>
                <w:sz w:val="20"/>
                <w:szCs w:val="20"/>
                <w:color w:val="auto"/>
              </w:rPr>
            </w:pPr>
            <w:r>
              <w:rPr>
                <w:rFonts w:ascii="Arial" w:cs="Arial" w:eastAsia="Arial" w:hAnsi="Arial"/>
                <w:sz w:val="14"/>
                <w:szCs w:val="14"/>
                <w:b w:val="1"/>
                <w:bCs w:val="1"/>
                <w:color w:val="auto"/>
              </w:rPr>
              <w:t>Write-Offs</w:t>
            </w:r>
          </w:p>
        </w:tc>
        <w:tc>
          <w:tcPr>
            <w:tcW w:w="340" w:type="dxa"/>
            <w:vAlign w:val="bottom"/>
          </w:tcPr>
          <w:p>
            <w:pPr>
              <w:spacing w:after="0"/>
              <w:rPr>
                <w:sz w:val="13"/>
                <w:szCs w:val="13"/>
                <w:color w:val="auto"/>
              </w:rPr>
            </w:pPr>
          </w:p>
        </w:tc>
        <w:tc>
          <w:tcPr>
            <w:tcW w:w="1220" w:type="dxa"/>
            <w:vAlign w:val="bottom"/>
          </w:tcPr>
          <w:p>
            <w:pPr>
              <w:jc w:val="right"/>
              <w:ind w:right="281"/>
              <w:spacing w:after="0" w:line="158" w:lineRule="exact"/>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ended January 31, 2013</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340"/>
              <w:spacing w:after="0"/>
              <w:rPr>
                <w:sz w:val="20"/>
                <w:szCs w:val="20"/>
                <w:color w:val="auto"/>
              </w:rPr>
            </w:pPr>
            <w:r>
              <w:rPr>
                <w:rFonts w:ascii="Arial" w:cs="Arial" w:eastAsia="Arial" w:hAnsi="Arial"/>
                <w:sz w:val="16"/>
                <w:szCs w:val="16"/>
                <w:color w:val="auto"/>
              </w:rPr>
              <w:t>Allowance for doubtful accounts</w:t>
            </w:r>
          </w:p>
        </w:tc>
        <w:tc>
          <w:tcPr>
            <w:tcW w:w="1080" w:type="dxa"/>
            <w:vAlign w:val="bottom"/>
          </w:tcPr>
          <w:p>
            <w:pPr>
              <w:jc w:val="right"/>
              <w:ind w:right="904"/>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1.5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Product returns reserves</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25.8</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26.7</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340"/>
              <w:spacing w:after="0"/>
              <w:rPr>
                <w:sz w:val="20"/>
                <w:szCs w:val="20"/>
                <w:color w:val="auto"/>
              </w:rPr>
            </w:pPr>
            <w:r>
              <w:rPr>
                <w:rFonts w:ascii="Arial" w:cs="Arial" w:eastAsia="Arial" w:hAnsi="Arial"/>
                <w:sz w:val="16"/>
                <w:szCs w:val="16"/>
                <w:color w:val="auto"/>
              </w:rPr>
              <w:t>Restructuring</w:t>
            </w:r>
          </w:p>
        </w:tc>
        <w:tc>
          <w:tcPr>
            <w:tcW w:w="10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360" w:type="dxa"/>
            <w:vAlign w:val="bottom"/>
          </w:tcPr>
          <w:p>
            <w:pPr>
              <w:spacing w:after="0"/>
              <w:rPr>
                <w:sz w:val="20"/>
                <w:szCs w:val="20"/>
                <w:color w:val="auto"/>
              </w:rPr>
            </w:pP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45.1</w:t>
            </w:r>
          </w:p>
        </w:tc>
        <w:tc>
          <w:tcPr>
            <w:tcW w:w="40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38.6</w:t>
            </w:r>
          </w:p>
        </w:tc>
        <w:tc>
          <w:tcPr>
            <w:tcW w:w="3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ended January 31, 2012</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340"/>
              <w:spacing w:after="0"/>
              <w:rPr>
                <w:sz w:val="20"/>
                <w:szCs w:val="20"/>
                <w:color w:val="auto"/>
              </w:rPr>
            </w:pPr>
            <w:r>
              <w:rPr>
                <w:rFonts w:ascii="Arial" w:cs="Arial" w:eastAsia="Arial" w:hAnsi="Arial"/>
                <w:sz w:val="16"/>
                <w:szCs w:val="16"/>
                <w:color w:val="auto"/>
              </w:rPr>
              <w:t>Allowance for doubtful accounts</w:t>
            </w:r>
          </w:p>
        </w:tc>
        <w:tc>
          <w:tcPr>
            <w:tcW w:w="1080" w:type="dxa"/>
            <w:vAlign w:val="bottom"/>
          </w:tcPr>
          <w:p>
            <w:pPr>
              <w:jc w:val="right"/>
              <w:ind w:right="904"/>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2.4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Product returns reserves</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10.6</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32.7</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37.5</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340"/>
              <w:spacing w:after="0"/>
              <w:rPr>
                <w:sz w:val="20"/>
                <w:szCs w:val="20"/>
                <w:color w:val="auto"/>
              </w:rPr>
            </w:pPr>
            <w:r>
              <w:rPr>
                <w:rFonts w:ascii="Arial" w:cs="Arial" w:eastAsia="Arial" w:hAnsi="Arial"/>
                <w:sz w:val="16"/>
                <w:szCs w:val="16"/>
                <w:color w:val="auto"/>
              </w:rPr>
              <w:t>Restructuring</w:t>
            </w:r>
          </w:p>
        </w:tc>
        <w:tc>
          <w:tcPr>
            <w:tcW w:w="10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360" w:type="dxa"/>
            <w:vAlign w:val="bottom"/>
          </w:tcPr>
          <w:p>
            <w:pPr>
              <w:spacing w:after="0"/>
              <w:rPr>
                <w:sz w:val="20"/>
                <w:szCs w:val="20"/>
                <w:color w:val="auto"/>
              </w:rPr>
            </w:pP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6.2</w:t>
            </w:r>
          </w:p>
        </w:tc>
        <w:tc>
          <w:tcPr>
            <w:tcW w:w="3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ended January 31, 2011</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340"/>
              <w:spacing w:after="0"/>
              <w:rPr>
                <w:sz w:val="20"/>
                <w:szCs w:val="20"/>
                <w:color w:val="auto"/>
              </w:rPr>
            </w:pPr>
            <w:r>
              <w:rPr>
                <w:rFonts w:ascii="Arial" w:cs="Arial" w:eastAsia="Arial" w:hAnsi="Arial"/>
                <w:sz w:val="16"/>
                <w:szCs w:val="16"/>
                <w:color w:val="auto"/>
              </w:rPr>
              <w:t>Allowance for doubtful accounts</w:t>
            </w:r>
          </w:p>
        </w:tc>
        <w:tc>
          <w:tcPr>
            <w:tcW w:w="1080" w:type="dxa"/>
            <w:vAlign w:val="bottom"/>
          </w:tcPr>
          <w:p>
            <w:pPr>
              <w:jc w:val="right"/>
              <w:ind w:right="904"/>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(0.3)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0.1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Product returns reserves</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11.8</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38.9</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40.1</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340"/>
              <w:spacing w:after="0"/>
              <w:rPr>
                <w:sz w:val="20"/>
                <w:szCs w:val="20"/>
                <w:color w:val="auto"/>
              </w:rPr>
            </w:pPr>
            <w:r>
              <w:rPr>
                <w:rFonts w:ascii="Arial" w:cs="Arial" w:eastAsia="Arial" w:hAnsi="Arial"/>
                <w:sz w:val="16"/>
                <w:szCs w:val="16"/>
                <w:color w:val="auto"/>
              </w:rPr>
              <w:t>Restructuring</w:t>
            </w:r>
          </w:p>
        </w:tc>
        <w:tc>
          <w:tcPr>
            <w:tcW w:w="10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w w:val="89"/>
              </w:rPr>
              <w:t>19.4</w:t>
            </w:r>
          </w:p>
        </w:tc>
        <w:tc>
          <w:tcPr>
            <w:tcW w:w="360" w:type="dxa"/>
            <w:vAlign w:val="bottom"/>
          </w:tcPr>
          <w:p>
            <w:pPr>
              <w:spacing w:after="0"/>
              <w:rPr>
                <w:sz w:val="20"/>
                <w:szCs w:val="20"/>
                <w:color w:val="auto"/>
              </w:rPr>
            </w:pP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13.7</w:t>
            </w:r>
          </w:p>
        </w:tc>
        <w:tc>
          <w:tcPr>
            <w:tcW w:w="40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24.5</w:t>
            </w:r>
          </w:p>
        </w:tc>
        <w:tc>
          <w:tcPr>
            <w:tcW w:w="3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831"/>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80" w:type="dxa"/>
            <w:vAlign w:val="bottom"/>
          </w:tcPr>
          <w:p>
            <w:pPr>
              <w:jc w:val="right"/>
              <w:ind w:right="324"/>
              <w:spacing w:after="0"/>
              <w:rPr>
                <w:sz w:val="20"/>
                <w:szCs w:val="20"/>
                <w:color w:val="auto"/>
              </w:rPr>
            </w:pPr>
            <w:r>
              <w:rPr>
                <w:rFonts w:ascii="Arial" w:cs="Arial" w:eastAsia="Arial" w:hAnsi="Arial"/>
                <w:sz w:val="14"/>
                <w:szCs w:val="14"/>
                <w:b w:val="1"/>
                <w:bCs w:val="1"/>
                <w:color w:val="auto"/>
              </w:rPr>
              <w:t>94</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360"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AUTODESK, INC.</w:t>
      </w:r>
    </w:p>
    <w:p>
      <w:pPr>
        <w:spacing w:after="0" w:line="54" w:lineRule="exact"/>
        <w:rPr>
          <w:sz w:val="20"/>
          <w:szCs w:val="20"/>
          <w:color w:val="auto"/>
        </w:rPr>
      </w:pPr>
    </w:p>
    <w:p>
      <w:pPr>
        <w:ind w:left="5760"/>
        <w:spacing w:after="0"/>
        <w:tabs>
          <w:tab w:leader="none" w:pos="8120" w:val="left"/>
          <w:tab w:leader="none" w:pos="84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CARL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43815</wp:posOffset>
            </wp:positionV>
            <wp:extent cx="31813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76" w:lineRule="exact"/>
        <w:rPr>
          <w:sz w:val="20"/>
          <w:szCs w:val="20"/>
          <w:color w:val="auto"/>
        </w:rPr>
      </w:pPr>
    </w:p>
    <w:p>
      <w:pPr>
        <w:jc w:val="center"/>
        <w:ind w:left="6420"/>
        <w:spacing w:after="0"/>
        <w:rPr>
          <w:sz w:val="20"/>
          <w:szCs w:val="20"/>
          <w:color w:val="auto"/>
        </w:rPr>
      </w:pPr>
      <w:r>
        <w:rPr>
          <w:rFonts w:ascii="Arial" w:cs="Arial" w:eastAsia="Arial" w:hAnsi="Arial"/>
          <w:sz w:val="16"/>
          <w:szCs w:val="16"/>
          <w:b w:val="1"/>
          <w:bCs w:val="1"/>
          <w:color w:val="auto"/>
        </w:rPr>
        <w:t>Carl Bass</w:t>
      </w:r>
    </w:p>
    <w:p>
      <w:pPr>
        <w:spacing w:after="0" w:line="86" w:lineRule="exact"/>
        <w:rPr>
          <w:sz w:val="20"/>
          <w:szCs w:val="20"/>
          <w:color w:val="auto"/>
        </w:rPr>
      </w:pPr>
    </w:p>
    <w:p>
      <w:pPr>
        <w:jc w:val="center"/>
        <w:ind w:left="64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7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March 18, 2013</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95</w:t>
      </w:r>
    </w:p>
    <w:p>
      <w:pPr>
        <w:sectPr>
          <w:pgSz w:w="11900" w:h="16838" w:orient="portrait"/>
          <w:cols w:equalWidth="0" w:num="1">
            <w:col w:w="11140"/>
          </w:cols>
          <w:pgMar w:left="240" w:top="125" w:right="51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ind w:right="40" w:firstLine="432"/>
        <w:spacing w:after="0" w:line="258"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constitutes and appoints Carl Bass and Mark J.</w:t>
      </w:r>
      <w:r>
        <w:rPr>
          <w:rFonts w:ascii="Arial" w:cs="Arial" w:eastAsia="Arial" w:hAnsi="Arial"/>
          <w:sz w:val="18"/>
          <w:szCs w:val="18"/>
          <w:b w:val="1"/>
          <w:bCs w:val="1"/>
          <w:color w:val="auto"/>
        </w:rPr>
        <w:t xml:space="preserve"> </w:t>
      </w:r>
      <w:r>
        <w:rPr>
          <w:rFonts w:ascii="Arial" w:cs="Arial" w:eastAsia="Arial" w:hAnsi="Arial"/>
          <w:sz w:val="18"/>
          <w:szCs w:val="18"/>
          <w:color w:val="auto"/>
        </w:rPr>
        <w:t>Hawkins each as his or her attorney-in-fact,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30"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as of March 18, 2013.</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80" w:type="dxa"/>
            <w:vAlign w:val="bottom"/>
            <w:gridSpan w:val="3"/>
          </w:tcPr>
          <w:p>
            <w:pPr>
              <w:jc w:val="center"/>
              <w:ind w:right="2180"/>
              <w:spacing w:after="0"/>
              <w:rPr>
                <w:sz w:val="20"/>
                <w:szCs w:val="20"/>
                <w:color w:val="auto"/>
              </w:rPr>
            </w:pPr>
            <w:r>
              <w:rPr>
                <w:rFonts w:ascii="Arial" w:cs="Arial" w:eastAsia="Arial" w:hAnsi="Arial"/>
                <w:sz w:val="14"/>
                <w:szCs w:val="14"/>
                <w:b w:val="1"/>
                <w:bCs w:val="1"/>
                <w:color w:val="auto"/>
                <w:w w:val="92"/>
              </w:rPr>
              <w:t>Signature</w:t>
            </w:r>
          </w:p>
        </w:tc>
        <w:tc>
          <w:tcPr>
            <w:tcW w:w="284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40"/>
        </w:trPr>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48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6"/>
                <w:szCs w:val="16"/>
                <w:color w:val="auto"/>
              </w:rPr>
              <w:t>President and Chief Executive Officer</w:t>
            </w:r>
          </w:p>
        </w:tc>
        <w:tc>
          <w:tcPr>
            <w:tcW w:w="300" w:type="dxa"/>
            <w:vAlign w:val="bottom"/>
            <w:tcBorders>
              <w:top w:val="single" w:sz="8" w:color="auto"/>
            </w:tcBorders>
          </w:tcPr>
          <w:p>
            <w:pPr>
              <w:spacing w:after="0"/>
              <w:rPr>
                <w:sz w:val="20"/>
                <w:szCs w:val="20"/>
                <w:color w:val="auto"/>
              </w:rPr>
            </w:pPr>
          </w:p>
        </w:tc>
        <w:tc>
          <w:tcPr>
            <w:tcW w:w="1280" w:type="dxa"/>
            <w:vAlign w:val="bottom"/>
          </w:tcPr>
          <w:p>
            <w:pPr>
              <w:spacing w:after="0"/>
              <w:rPr>
                <w:sz w:val="20"/>
                <w:szCs w:val="20"/>
                <w:color w:val="auto"/>
              </w:rPr>
            </w:pPr>
          </w:p>
        </w:tc>
      </w:tr>
      <w:tr>
        <w:trPr>
          <w:trHeight w:val="206"/>
        </w:trPr>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2"/>
              </w:rPr>
              <w:t>/s/</w:t>
            </w:r>
          </w:p>
        </w:tc>
        <w:tc>
          <w:tcPr>
            <w:tcW w:w="3380" w:type="dxa"/>
            <w:vAlign w:val="bottom"/>
            <w:gridSpan w:val="3"/>
          </w:tcPr>
          <w:p>
            <w:pPr>
              <w:jc w:val="center"/>
              <w:ind w:right="2180"/>
              <w:spacing w:after="0"/>
              <w:rPr>
                <w:sz w:val="20"/>
                <w:szCs w:val="20"/>
                <w:color w:val="auto"/>
              </w:rPr>
            </w:pPr>
            <w:r>
              <w:rPr>
                <w:rFonts w:ascii="Arial" w:cs="Arial" w:eastAsia="Arial" w:hAnsi="Arial"/>
                <w:sz w:val="16"/>
                <w:szCs w:val="16"/>
                <w:color w:val="auto"/>
                <w:w w:val="97"/>
              </w:rPr>
              <w:t>CARL BASS</w:t>
            </w:r>
          </w:p>
        </w:tc>
        <w:tc>
          <w:tcPr>
            <w:tcW w:w="4420" w:type="dxa"/>
            <w:vAlign w:val="bottom"/>
            <w:gridSpan w:val="3"/>
          </w:tcPr>
          <w:p>
            <w:pPr>
              <w:ind w:left="320"/>
              <w:spacing w:after="0"/>
              <w:rPr>
                <w:sz w:val="20"/>
                <w:szCs w:val="20"/>
                <w:color w:val="auto"/>
              </w:rPr>
            </w:pPr>
            <w:r>
              <w:rPr>
                <w:rFonts w:ascii="Arial" w:cs="Arial" w:eastAsia="Arial" w:hAnsi="Arial"/>
                <w:sz w:val="16"/>
                <w:szCs w:val="16"/>
                <w:color w:val="auto"/>
              </w:rPr>
              <w:t>(Principal Executive Officer)</w:t>
            </w:r>
          </w:p>
        </w:tc>
      </w:tr>
      <w:tr>
        <w:trPr>
          <w:trHeight w:val="33"/>
        </w:trPr>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7"/>
        </w:trPr>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3"/>
          </w:tcPr>
          <w:p>
            <w:pPr>
              <w:jc w:val="center"/>
              <w:ind w:right="2200"/>
              <w:spacing w:after="0"/>
              <w:rPr>
                <w:sz w:val="20"/>
                <w:szCs w:val="20"/>
                <w:color w:val="auto"/>
              </w:rPr>
            </w:pPr>
            <w:r>
              <w:rPr>
                <w:rFonts w:ascii="Arial" w:cs="Arial" w:eastAsia="Arial" w:hAnsi="Arial"/>
                <w:sz w:val="16"/>
                <w:szCs w:val="16"/>
                <w:color w:val="auto"/>
                <w:w w:val="89"/>
              </w:rPr>
              <w:t>Carl Bass</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88"/>
        </w:trPr>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420" w:type="dxa"/>
            <w:vAlign w:val="bottom"/>
            <w:gridSpan w:val="3"/>
          </w:tcPr>
          <w:p>
            <w:pPr>
              <w:ind w:left="160"/>
              <w:spacing w:after="0"/>
              <w:rPr>
                <w:sz w:val="20"/>
                <w:szCs w:val="20"/>
                <w:color w:val="auto"/>
              </w:rPr>
            </w:pPr>
            <w:r>
              <w:rPr>
                <w:rFonts w:ascii="Arial" w:cs="Arial" w:eastAsia="Arial" w:hAnsi="Arial"/>
                <w:sz w:val="16"/>
                <w:szCs w:val="16"/>
                <w:color w:val="auto"/>
              </w:rPr>
              <w:t>Executive Vice President and Chief Financial Officer</w:t>
            </w:r>
          </w:p>
        </w:tc>
      </w:tr>
      <w:tr>
        <w:trPr>
          <w:trHeight w:val="206"/>
        </w:trPr>
        <w:tc>
          <w:tcPr>
            <w:tcW w:w="1680" w:type="dxa"/>
            <w:vAlign w:val="bottom"/>
          </w:tcPr>
          <w:p>
            <w:pPr>
              <w:spacing w:after="0"/>
              <w:rPr>
                <w:sz w:val="17"/>
                <w:szCs w:val="17"/>
                <w:color w:val="auto"/>
              </w:rPr>
            </w:pPr>
          </w:p>
        </w:tc>
        <w:tc>
          <w:tcPr>
            <w:tcW w:w="300" w:type="dxa"/>
            <w:vAlign w:val="bottom"/>
          </w:tcPr>
          <w:p>
            <w:pPr>
              <w:ind w:left="80"/>
              <w:spacing w:after="0"/>
              <w:rPr>
                <w:sz w:val="20"/>
                <w:szCs w:val="20"/>
                <w:color w:val="auto"/>
              </w:rPr>
            </w:pPr>
            <w:r>
              <w:rPr>
                <w:rFonts w:ascii="Arial" w:cs="Arial" w:eastAsia="Arial" w:hAnsi="Arial"/>
                <w:sz w:val="16"/>
                <w:szCs w:val="16"/>
                <w:color w:val="auto"/>
              </w:rPr>
              <w:t>/s/</w:t>
            </w:r>
          </w:p>
        </w:tc>
        <w:tc>
          <w:tcPr>
            <w:tcW w:w="3600" w:type="dxa"/>
            <w:vAlign w:val="bottom"/>
            <w:gridSpan w:val="4"/>
          </w:tcPr>
          <w:p>
            <w:pPr>
              <w:jc w:val="center"/>
              <w:ind w:right="1980"/>
              <w:spacing w:after="0"/>
              <w:rPr>
                <w:sz w:val="20"/>
                <w:szCs w:val="20"/>
                <w:color w:val="auto"/>
              </w:rPr>
            </w:pPr>
            <w:r>
              <w:rPr>
                <w:rFonts w:ascii="Arial" w:cs="Arial" w:eastAsia="Arial" w:hAnsi="Arial"/>
                <w:sz w:val="16"/>
                <w:szCs w:val="16"/>
                <w:color w:val="auto"/>
                <w:w w:val="99"/>
              </w:rPr>
              <w:t>MARK J. HAWKINS</w:t>
            </w:r>
          </w:p>
        </w:tc>
        <w:tc>
          <w:tcPr>
            <w:tcW w:w="4420" w:type="dxa"/>
            <w:vAlign w:val="bottom"/>
            <w:gridSpan w:val="3"/>
          </w:tcPr>
          <w:p>
            <w:pPr>
              <w:ind w:left="320"/>
              <w:spacing w:after="0"/>
              <w:rPr>
                <w:sz w:val="20"/>
                <w:szCs w:val="20"/>
                <w:color w:val="auto"/>
              </w:rPr>
            </w:pPr>
            <w:r>
              <w:rPr>
                <w:rFonts w:ascii="Arial" w:cs="Arial" w:eastAsia="Arial" w:hAnsi="Arial"/>
                <w:sz w:val="16"/>
                <w:szCs w:val="16"/>
                <w:color w:val="auto"/>
                <w:w w:val="95"/>
              </w:rPr>
              <w:t>(Principal Financial Officer and Principal Accounting Officer )</w:t>
            </w:r>
          </w:p>
        </w:tc>
      </w:tr>
      <w:tr>
        <w:trPr>
          <w:trHeight w:val="33"/>
        </w:trPr>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7"/>
        </w:trPr>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3"/>
          </w:tcPr>
          <w:p>
            <w:pPr>
              <w:jc w:val="center"/>
              <w:ind w:right="2180"/>
              <w:spacing w:after="0"/>
              <w:rPr>
                <w:sz w:val="20"/>
                <w:szCs w:val="20"/>
                <w:color w:val="auto"/>
              </w:rPr>
            </w:pPr>
            <w:r>
              <w:rPr>
                <w:rFonts w:ascii="Arial" w:cs="Arial" w:eastAsia="Arial" w:hAnsi="Arial"/>
                <w:sz w:val="16"/>
                <w:szCs w:val="16"/>
                <w:color w:val="auto"/>
                <w:w w:val="95"/>
              </w:rPr>
              <w:t>Mark J. Hawkins</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88"/>
        </w:trPr>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420" w:type="dxa"/>
            <w:vAlign w:val="bottom"/>
            <w:gridSpan w:val="3"/>
          </w:tcPr>
          <w:p>
            <w:pPr>
              <w:ind w:left="140"/>
              <w:spacing w:after="0"/>
              <w:rPr>
                <w:sz w:val="20"/>
                <w:szCs w:val="20"/>
                <w:color w:val="auto"/>
              </w:rPr>
            </w:pPr>
            <w:r>
              <w:rPr>
                <w:rFonts w:ascii="Arial" w:cs="Arial" w:eastAsia="Arial" w:hAnsi="Arial"/>
                <w:sz w:val="16"/>
                <w:szCs w:val="16"/>
                <w:color w:val="auto"/>
              </w:rPr>
              <w:t>Director</w:t>
            </w:r>
          </w:p>
        </w:tc>
      </w:tr>
      <w:tr>
        <w:trPr>
          <w:trHeight w:val="206"/>
        </w:trPr>
        <w:tc>
          <w:tcPr>
            <w:tcW w:w="1680" w:type="dxa"/>
            <w:vAlign w:val="bottom"/>
          </w:tcPr>
          <w:p>
            <w:pPr>
              <w:ind w:left="1440"/>
              <w:spacing w:after="0"/>
              <w:rPr>
                <w:sz w:val="20"/>
                <w:szCs w:val="20"/>
                <w:color w:val="auto"/>
              </w:rPr>
            </w:pPr>
            <w:r>
              <w:rPr>
                <w:rFonts w:ascii="Arial" w:cs="Arial" w:eastAsia="Arial" w:hAnsi="Arial"/>
                <w:sz w:val="16"/>
                <w:szCs w:val="16"/>
                <w:color w:val="auto"/>
              </w:rPr>
              <w:t>/s/</w:t>
            </w:r>
          </w:p>
        </w:tc>
        <w:tc>
          <w:tcPr>
            <w:tcW w:w="3900" w:type="dxa"/>
            <w:vAlign w:val="bottom"/>
            <w:gridSpan w:val="5"/>
          </w:tcPr>
          <w:p>
            <w:pPr>
              <w:jc w:val="center"/>
              <w:ind w:right="1660"/>
              <w:spacing w:after="0"/>
              <w:rPr>
                <w:sz w:val="20"/>
                <w:szCs w:val="20"/>
                <w:color w:val="auto"/>
              </w:rPr>
            </w:pPr>
            <w:r>
              <w:rPr>
                <w:rFonts w:ascii="Arial" w:cs="Arial" w:eastAsia="Arial" w:hAnsi="Arial"/>
                <w:sz w:val="16"/>
                <w:szCs w:val="16"/>
                <w:color w:val="auto"/>
                <w:w w:val="96"/>
              </w:rPr>
              <w:t>CRAWFORD W. BEVERIDGE</w:t>
            </w:r>
          </w:p>
        </w:tc>
        <w:tc>
          <w:tcPr>
            <w:tcW w:w="4420" w:type="dxa"/>
            <w:vAlign w:val="bottom"/>
            <w:gridSpan w:val="3"/>
          </w:tcPr>
          <w:p>
            <w:pPr>
              <w:ind w:left="380"/>
              <w:spacing w:after="0"/>
              <w:rPr>
                <w:sz w:val="20"/>
                <w:szCs w:val="20"/>
                <w:color w:val="auto"/>
              </w:rPr>
            </w:pPr>
            <w:r>
              <w:rPr>
                <w:rFonts w:ascii="Arial" w:cs="Arial" w:eastAsia="Arial" w:hAnsi="Arial"/>
                <w:sz w:val="16"/>
                <w:szCs w:val="16"/>
                <w:color w:val="auto"/>
              </w:rPr>
              <w:t>(Non-executive Chairman of the Board)</w:t>
            </w:r>
          </w:p>
        </w:tc>
      </w:tr>
      <w:tr>
        <w:trPr>
          <w:trHeight w:val="33"/>
        </w:trPr>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7"/>
        </w:trPr>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gridSpan w:val="4"/>
          </w:tcPr>
          <w:p>
            <w:pPr>
              <w:jc w:val="center"/>
              <w:ind w:right="1960"/>
              <w:spacing w:after="0"/>
              <w:rPr>
                <w:sz w:val="20"/>
                <w:szCs w:val="20"/>
                <w:color w:val="auto"/>
              </w:rPr>
            </w:pPr>
            <w:r>
              <w:rPr>
                <w:rFonts w:ascii="Arial" w:cs="Arial" w:eastAsia="Arial" w:hAnsi="Arial"/>
                <w:sz w:val="16"/>
                <w:szCs w:val="16"/>
                <w:color w:val="auto"/>
                <w:w w:val="94"/>
              </w:rPr>
              <w:t>Crawford W. Beveridge</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92"/>
        </w:trPr>
        <w:tc>
          <w:tcPr>
            <w:tcW w:w="168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/s/</w:t>
            </w:r>
          </w:p>
        </w:tc>
        <w:tc>
          <w:tcPr>
            <w:tcW w:w="3600" w:type="dxa"/>
            <w:vAlign w:val="bottom"/>
            <w:gridSpan w:val="4"/>
          </w:tcPr>
          <w:p>
            <w:pPr>
              <w:jc w:val="center"/>
              <w:ind w:right="1980"/>
              <w:spacing w:after="0"/>
              <w:rPr>
                <w:sz w:val="20"/>
                <w:szCs w:val="20"/>
                <w:color w:val="auto"/>
              </w:rPr>
            </w:pPr>
            <w:r>
              <w:rPr>
                <w:rFonts w:ascii="Arial" w:cs="Arial" w:eastAsia="Arial" w:hAnsi="Arial"/>
                <w:sz w:val="16"/>
                <w:szCs w:val="16"/>
                <w:color w:val="auto"/>
              </w:rPr>
              <w:t>J. HALLAM DAWSON</w:t>
            </w:r>
          </w:p>
        </w:tc>
        <w:tc>
          <w:tcPr>
            <w:tcW w:w="44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33"/>
        </w:trPr>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7"/>
        </w:trPr>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3"/>
          </w:tcPr>
          <w:p>
            <w:pPr>
              <w:jc w:val="center"/>
              <w:ind w:right="2180"/>
              <w:spacing w:after="0"/>
              <w:rPr>
                <w:sz w:val="20"/>
                <w:szCs w:val="20"/>
                <w:color w:val="auto"/>
              </w:rPr>
            </w:pPr>
            <w:r>
              <w:rPr>
                <w:rFonts w:ascii="Arial" w:cs="Arial" w:eastAsia="Arial" w:hAnsi="Arial"/>
                <w:sz w:val="16"/>
                <w:szCs w:val="16"/>
                <w:color w:val="auto"/>
                <w:w w:val="93"/>
              </w:rPr>
              <w:t>J. Hallam Dawson</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92"/>
        </w:trPr>
        <w:tc>
          <w:tcPr>
            <w:tcW w:w="1680" w:type="dxa"/>
            <w:vAlign w:val="bottom"/>
          </w:tcPr>
          <w:p>
            <w:pPr>
              <w:ind w:left="1420"/>
              <w:spacing w:after="0"/>
              <w:rPr>
                <w:sz w:val="20"/>
                <w:szCs w:val="20"/>
                <w:color w:val="auto"/>
              </w:rPr>
            </w:pPr>
            <w:r>
              <w:rPr>
                <w:rFonts w:ascii="Arial" w:cs="Arial" w:eastAsia="Arial" w:hAnsi="Arial"/>
                <w:sz w:val="16"/>
                <w:szCs w:val="16"/>
                <w:color w:val="auto"/>
              </w:rPr>
              <w:t>/s/</w:t>
            </w:r>
          </w:p>
        </w:tc>
        <w:tc>
          <w:tcPr>
            <w:tcW w:w="3900" w:type="dxa"/>
            <w:vAlign w:val="bottom"/>
            <w:gridSpan w:val="5"/>
          </w:tcPr>
          <w:p>
            <w:pPr>
              <w:jc w:val="center"/>
              <w:ind w:right="1680"/>
              <w:spacing w:after="0"/>
              <w:rPr>
                <w:sz w:val="20"/>
                <w:szCs w:val="20"/>
                <w:color w:val="auto"/>
              </w:rPr>
            </w:pPr>
            <w:r>
              <w:rPr>
                <w:rFonts w:ascii="Arial" w:cs="Arial" w:eastAsia="Arial" w:hAnsi="Arial"/>
                <w:sz w:val="16"/>
                <w:szCs w:val="16"/>
                <w:color w:val="auto"/>
                <w:w w:val="97"/>
              </w:rPr>
              <w:t>PER-KRISTIAN HALVORSEN</w:t>
            </w:r>
          </w:p>
        </w:tc>
        <w:tc>
          <w:tcPr>
            <w:tcW w:w="44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33"/>
        </w:trPr>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7"/>
        </w:trPr>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gridSpan w:val="4"/>
          </w:tcPr>
          <w:p>
            <w:pPr>
              <w:jc w:val="center"/>
              <w:ind w:right="1980"/>
              <w:spacing w:after="0"/>
              <w:rPr>
                <w:sz w:val="20"/>
                <w:szCs w:val="20"/>
                <w:color w:val="auto"/>
              </w:rPr>
            </w:pPr>
            <w:r>
              <w:rPr>
                <w:rFonts w:ascii="Arial" w:cs="Arial" w:eastAsia="Arial" w:hAnsi="Arial"/>
                <w:sz w:val="16"/>
                <w:szCs w:val="16"/>
                <w:color w:val="auto"/>
                <w:w w:val="93"/>
              </w:rPr>
              <w:t>Per-Kristian Halvorsen</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92"/>
        </w:trPr>
        <w:tc>
          <w:tcPr>
            <w:tcW w:w="168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/s/</w:t>
            </w:r>
          </w:p>
        </w:tc>
        <w:tc>
          <w:tcPr>
            <w:tcW w:w="3600" w:type="dxa"/>
            <w:vAlign w:val="bottom"/>
            <w:gridSpan w:val="4"/>
          </w:tcPr>
          <w:p>
            <w:pPr>
              <w:jc w:val="center"/>
              <w:ind w:right="1980"/>
              <w:spacing w:after="0"/>
              <w:rPr>
                <w:sz w:val="20"/>
                <w:szCs w:val="20"/>
                <w:color w:val="auto"/>
              </w:rPr>
            </w:pPr>
            <w:r>
              <w:rPr>
                <w:rFonts w:ascii="Arial" w:cs="Arial" w:eastAsia="Arial" w:hAnsi="Arial"/>
                <w:sz w:val="16"/>
                <w:szCs w:val="16"/>
                <w:color w:val="auto"/>
              </w:rPr>
              <w:t>MARY T. MCDOWELL</w:t>
            </w:r>
          </w:p>
        </w:tc>
        <w:tc>
          <w:tcPr>
            <w:tcW w:w="44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33"/>
        </w:trPr>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7"/>
        </w:trPr>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gridSpan w:val="4"/>
          </w:tcPr>
          <w:p>
            <w:pPr>
              <w:jc w:val="center"/>
              <w:ind w:right="1960"/>
              <w:spacing w:after="0"/>
              <w:rPr>
                <w:sz w:val="20"/>
                <w:szCs w:val="20"/>
                <w:color w:val="auto"/>
              </w:rPr>
            </w:pPr>
            <w:r>
              <w:rPr>
                <w:rFonts w:ascii="Arial" w:cs="Arial" w:eastAsia="Arial" w:hAnsi="Arial"/>
                <w:sz w:val="16"/>
                <w:szCs w:val="16"/>
                <w:color w:val="auto"/>
                <w:w w:val="96"/>
              </w:rPr>
              <w:t>Mary T. McDowell</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92"/>
        </w:trPr>
        <w:tc>
          <w:tcPr>
            <w:tcW w:w="1680" w:type="dxa"/>
            <w:vAlign w:val="bottom"/>
          </w:tcPr>
          <w:p>
            <w:pPr>
              <w:ind w:left="1520"/>
              <w:spacing w:after="0"/>
              <w:rPr>
                <w:sz w:val="20"/>
                <w:szCs w:val="20"/>
                <w:color w:val="auto"/>
              </w:rPr>
            </w:pPr>
            <w:r>
              <w:rPr>
                <w:rFonts w:ascii="Arial" w:cs="Arial" w:eastAsia="Arial" w:hAnsi="Arial"/>
                <w:sz w:val="16"/>
                <w:szCs w:val="16"/>
                <w:color w:val="auto"/>
                <w:w w:val="82"/>
              </w:rPr>
              <w:t>/s/</w:t>
            </w:r>
          </w:p>
        </w:tc>
        <w:tc>
          <w:tcPr>
            <w:tcW w:w="3900" w:type="dxa"/>
            <w:vAlign w:val="bottom"/>
            <w:gridSpan w:val="5"/>
          </w:tcPr>
          <w:p>
            <w:pPr>
              <w:jc w:val="center"/>
              <w:ind w:right="1660"/>
              <w:spacing w:after="0"/>
              <w:rPr>
                <w:sz w:val="20"/>
                <w:szCs w:val="20"/>
                <w:color w:val="auto"/>
              </w:rPr>
            </w:pPr>
            <w:r>
              <w:rPr>
                <w:rFonts w:ascii="Arial" w:cs="Arial" w:eastAsia="Arial" w:hAnsi="Arial"/>
                <w:sz w:val="16"/>
                <w:szCs w:val="16"/>
                <w:color w:val="auto"/>
                <w:w w:val="98"/>
              </w:rPr>
              <w:t>LORRIE M. NORRINGTON</w:t>
            </w:r>
          </w:p>
        </w:tc>
        <w:tc>
          <w:tcPr>
            <w:tcW w:w="44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33"/>
        </w:trPr>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7"/>
        </w:trPr>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gridSpan w:val="4"/>
          </w:tcPr>
          <w:p>
            <w:pPr>
              <w:jc w:val="center"/>
              <w:ind w:right="1960"/>
              <w:spacing w:after="0"/>
              <w:rPr>
                <w:sz w:val="20"/>
                <w:szCs w:val="20"/>
                <w:color w:val="auto"/>
              </w:rPr>
            </w:pPr>
            <w:r>
              <w:rPr>
                <w:rFonts w:ascii="Arial" w:cs="Arial" w:eastAsia="Arial" w:hAnsi="Arial"/>
                <w:sz w:val="16"/>
                <w:szCs w:val="16"/>
                <w:color w:val="auto"/>
                <w:w w:val="98"/>
              </w:rPr>
              <w:t>Lorrie M. Norrington</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92"/>
        </w:trPr>
        <w:tc>
          <w:tcPr>
            <w:tcW w:w="1680" w:type="dxa"/>
            <w:vAlign w:val="bottom"/>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16"/>
                <w:szCs w:val="16"/>
                <w:color w:val="auto"/>
                <w:w w:val="82"/>
              </w:rPr>
              <w:t>/s/</w:t>
            </w:r>
          </w:p>
        </w:tc>
        <w:tc>
          <w:tcPr>
            <w:tcW w:w="3600" w:type="dxa"/>
            <w:vAlign w:val="bottom"/>
            <w:gridSpan w:val="4"/>
          </w:tcPr>
          <w:p>
            <w:pPr>
              <w:jc w:val="center"/>
              <w:ind w:right="1960"/>
              <w:spacing w:after="0"/>
              <w:rPr>
                <w:sz w:val="20"/>
                <w:szCs w:val="20"/>
                <w:color w:val="auto"/>
              </w:rPr>
            </w:pPr>
            <w:r>
              <w:rPr>
                <w:rFonts w:ascii="Arial" w:cs="Arial" w:eastAsia="Arial" w:hAnsi="Arial"/>
                <w:sz w:val="16"/>
                <w:szCs w:val="16"/>
                <w:color w:val="auto"/>
                <w:w w:val="98"/>
              </w:rPr>
              <w:t>CHARLES ROBEL</w:t>
            </w:r>
          </w:p>
        </w:tc>
        <w:tc>
          <w:tcPr>
            <w:tcW w:w="44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33"/>
        </w:trPr>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7"/>
        </w:trPr>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3"/>
          </w:tcPr>
          <w:p>
            <w:pPr>
              <w:jc w:val="center"/>
              <w:ind w:right="2180"/>
              <w:spacing w:after="0"/>
              <w:rPr>
                <w:sz w:val="20"/>
                <w:szCs w:val="20"/>
                <w:color w:val="auto"/>
              </w:rPr>
            </w:pPr>
            <w:r>
              <w:rPr>
                <w:rFonts w:ascii="Arial" w:cs="Arial" w:eastAsia="Arial" w:hAnsi="Arial"/>
                <w:sz w:val="16"/>
                <w:szCs w:val="16"/>
                <w:color w:val="auto"/>
                <w:w w:val="90"/>
              </w:rPr>
              <w:t>Charles Robel</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92"/>
        </w:trPr>
        <w:tc>
          <w:tcPr>
            <w:tcW w:w="1680" w:type="dxa"/>
            <w:vAlign w:val="bottom"/>
          </w:tcPr>
          <w:p>
            <w:pPr>
              <w:spacing w:after="0"/>
              <w:rPr>
                <w:sz w:val="24"/>
                <w:szCs w:val="24"/>
                <w:color w:val="auto"/>
              </w:rPr>
            </w:pPr>
          </w:p>
        </w:tc>
        <w:tc>
          <w:tcPr>
            <w:tcW w:w="520" w:type="dxa"/>
            <w:vAlign w:val="bottom"/>
            <w:gridSpan w:val="2"/>
          </w:tcPr>
          <w:p>
            <w:pPr>
              <w:ind w:left="220"/>
              <w:spacing w:after="0"/>
              <w:rPr>
                <w:sz w:val="20"/>
                <w:szCs w:val="20"/>
                <w:color w:val="auto"/>
              </w:rPr>
            </w:pPr>
            <w:r>
              <w:rPr>
                <w:rFonts w:ascii="Arial" w:cs="Arial" w:eastAsia="Arial" w:hAnsi="Arial"/>
                <w:sz w:val="16"/>
                <w:szCs w:val="16"/>
                <w:color w:val="auto"/>
              </w:rPr>
              <w:t>/s/</w:t>
            </w:r>
          </w:p>
        </w:tc>
        <w:tc>
          <w:tcPr>
            <w:tcW w:w="3380" w:type="dxa"/>
            <w:vAlign w:val="bottom"/>
            <w:gridSpan w:val="3"/>
          </w:tcPr>
          <w:p>
            <w:pPr>
              <w:jc w:val="center"/>
              <w:ind w:right="2160"/>
              <w:spacing w:after="0"/>
              <w:rPr>
                <w:sz w:val="20"/>
                <w:szCs w:val="20"/>
                <w:color w:val="auto"/>
              </w:rPr>
            </w:pPr>
            <w:r>
              <w:rPr>
                <w:rFonts w:ascii="Arial" w:cs="Arial" w:eastAsia="Arial" w:hAnsi="Arial"/>
                <w:sz w:val="16"/>
                <w:szCs w:val="16"/>
                <w:color w:val="auto"/>
                <w:w w:val="97"/>
              </w:rPr>
              <w:t>STACY J. SMITH</w:t>
            </w:r>
          </w:p>
        </w:tc>
        <w:tc>
          <w:tcPr>
            <w:tcW w:w="44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33"/>
        </w:trPr>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7"/>
        </w:trPr>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3"/>
          </w:tcPr>
          <w:p>
            <w:pPr>
              <w:jc w:val="center"/>
              <w:ind w:right="2180"/>
              <w:spacing w:after="0"/>
              <w:rPr>
                <w:sz w:val="20"/>
                <w:szCs w:val="20"/>
                <w:color w:val="auto"/>
              </w:rPr>
            </w:pPr>
            <w:r>
              <w:rPr>
                <w:rFonts w:ascii="Arial" w:cs="Arial" w:eastAsia="Arial" w:hAnsi="Arial"/>
                <w:sz w:val="16"/>
                <w:szCs w:val="16"/>
                <w:color w:val="auto"/>
                <w:w w:val="89"/>
              </w:rPr>
              <w:t>Stacy J. Smith</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92"/>
        </w:trPr>
        <w:tc>
          <w:tcPr>
            <w:tcW w:w="1680" w:type="dxa"/>
            <w:vAlign w:val="bottom"/>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16"/>
                <w:szCs w:val="16"/>
                <w:color w:val="auto"/>
                <w:w w:val="82"/>
              </w:rPr>
              <w:t>/s/</w:t>
            </w:r>
          </w:p>
        </w:tc>
        <w:tc>
          <w:tcPr>
            <w:tcW w:w="3600" w:type="dxa"/>
            <w:vAlign w:val="bottom"/>
            <w:gridSpan w:val="4"/>
          </w:tcPr>
          <w:p>
            <w:pPr>
              <w:jc w:val="center"/>
              <w:ind w:right="1960"/>
              <w:spacing w:after="0"/>
              <w:rPr>
                <w:sz w:val="20"/>
                <w:szCs w:val="20"/>
                <w:color w:val="auto"/>
              </w:rPr>
            </w:pPr>
            <w:r>
              <w:rPr>
                <w:rFonts w:ascii="Arial" w:cs="Arial" w:eastAsia="Arial" w:hAnsi="Arial"/>
                <w:sz w:val="16"/>
                <w:szCs w:val="16"/>
                <w:color w:val="auto"/>
                <w:w w:val="96"/>
              </w:rPr>
              <w:t>STEVEN M. WEST</w:t>
            </w:r>
          </w:p>
        </w:tc>
        <w:tc>
          <w:tcPr>
            <w:tcW w:w="44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33"/>
        </w:trPr>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7"/>
        </w:trPr>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3"/>
          </w:tcPr>
          <w:p>
            <w:pPr>
              <w:jc w:val="center"/>
              <w:ind w:right="2180"/>
              <w:spacing w:after="0"/>
              <w:rPr>
                <w:sz w:val="20"/>
                <w:szCs w:val="20"/>
                <w:color w:val="auto"/>
              </w:rPr>
            </w:pPr>
            <w:r>
              <w:rPr>
                <w:rFonts w:ascii="Arial" w:cs="Arial" w:eastAsia="Arial" w:hAnsi="Arial"/>
                <w:sz w:val="16"/>
                <w:szCs w:val="16"/>
                <w:color w:val="auto"/>
                <w:w w:val="92"/>
              </w:rPr>
              <w:t>Steven M. West</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96</w:t>
      </w:r>
    </w:p>
    <w:p>
      <w:pPr>
        <w:sectPr>
          <w:pgSz w:w="11900" w:h="16838" w:orient="portrait"/>
          <w:cols w:equalWidth="0" w:num="1">
            <w:col w:w="11240"/>
          </w:cols>
          <w:pgMar w:left="240" w:top="125" w:right="41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0300" w:type="dxa"/>
            <w:vAlign w:val="bottom"/>
            <w:gridSpan w:val="3"/>
          </w:tcPr>
          <w:p>
            <w:pPr>
              <w:ind w:left="3960"/>
              <w:spacing w:after="0"/>
              <w:rPr>
                <w:sz w:val="20"/>
                <w:szCs w:val="20"/>
                <w:color w:val="auto"/>
              </w:rPr>
            </w:pPr>
            <w:r>
              <w:rPr>
                <w:rFonts w:ascii="Arial" w:cs="Arial" w:eastAsia="Arial" w:hAnsi="Arial"/>
                <w:sz w:val="18"/>
                <w:szCs w:val="18"/>
                <w:b w:val="1"/>
                <w:bCs w:val="1"/>
                <w:color w:val="auto"/>
              </w:rPr>
              <w:t>Index to Exhibits</w:t>
            </w:r>
          </w:p>
        </w:tc>
      </w:tr>
      <w:tr>
        <w:trPr>
          <w:trHeight w:val="486"/>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Exhibit No.</w:t>
            </w:r>
          </w:p>
        </w:tc>
        <w:tc>
          <w:tcPr>
            <w:tcW w:w="506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520" w:type="dxa"/>
            <w:vAlign w:val="bottom"/>
          </w:tcPr>
          <w:p>
            <w:pPr>
              <w:spacing w:after="0"/>
              <w:rPr>
                <w:sz w:val="24"/>
                <w:szCs w:val="24"/>
                <w:color w:val="auto"/>
              </w:rPr>
            </w:pPr>
          </w:p>
        </w:tc>
      </w:tr>
      <w:tr>
        <w:trPr>
          <w:trHeight w:val="362"/>
        </w:trPr>
        <w:tc>
          <w:tcPr>
            <w:tcW w:w="700" w:type="dxa"/>
            <w:vAlign w:val="bottom"/>
          </w:tcPr>
          <w:p>
            <w:pPr>
              <w:jc w:val="right"/>
              <w:ind w:right="99"/>
              <w:spacing w:after="0"/>
              <w:rPr>
                <w:sz w:val="20"/>
                <w:szCs w:val="20"/>
                <w:color w:val="auto"/>
              </w:rPr>
            </w:pPr>
            <w:r>
              <w:rPr>
                <w:rFonts w:ascii="Arial" w:cs="Arial" w:eastAsia="Arial" w:hAnsi="Arial"/>
                <w:sz w:val="16"/>
                <w:szCs w:val="16"/>
                <w:color w:val="auto"/>
              </w:rPr>
              <w:t>3.1</w:t>
            </w:r>
          </w:p>
        </w:tc>
        <w:tc>
          <w:tcPr>
            <w:tcW w:w="10300" w:type="dxa"/>
            <w:vAlign w:val="bottom"/>
            <w:gridSpan w:val="3"/>
          </w:tcPr>
          <w:p>
            <w:pPr>
              <w:ind w:left="540"/>
              <w:spacing w:after="0"/>
              <w:rPr>
                <w:sz w:val="20"/>
                <w:szCs w:val="20"/>
                <w:color w:val="auto"/>
              </w:rPr>
            </w:pPr>
            <w:r>
              <w:rPr>
                <w:rFonts w:ascii="Arial" w:cs="Arial" w:eastAsia="Arial" w:hAnsi="Arial"/>
                <w:sz w:val="16"/>
                <w:szCs w:val="16"/>
                <w:color w:val="auto"/>
                <w:w w:val="94"/>
              </w:rPr>
              <w:t xml:space="preserve">Amended and Restated Certificate of Incorporation of Registrant </w:t>
            </w:r>
            <w:r>
              <w:rPr>
                <w:rFonts w:ascii="Arial" w:cs="Arial" w:eastAsia="Arial" w:hAnsi="Arial"/>
                <w:sz w:val="16"/>
                <w:szCs w:val="16"/>
                <w:i w:val="1"/>
                <w:iCs w:val="1"/>
                <w:color w:val="auto"/>
                <w:w w:val="94"/>
              </w:rPr>
              <w:t>(incorporated by reference to Exhibit 3.1 filed with the Registrant’s Annual Report</w:t>
            </w:r>
          </w:p>
        </w:tc>
      </w:tr>
      <w:tr>
        <w:trPr>
          <w:trHeight w:val="206"/>
        </w:trPr>
        <w:tc>
          <w:tcPr>
            <w:tcW w:w="700" w:type="dxa"/>
            <w:vAlign w:val="bottom"/>
          </w:tcPr>
          <w:p>
            <w:pPr>
              <w:spacing w:after="0"/>
              <w:rPr>
                <w:sz w:val="17"/>
                <w:szCs w:val="17"/>
                <w:color w:val="auto"/>
              </w:rPr>
            </w:pPr>
          </w:p>
        </w:tc>
        <w:tc>
          <w:tcPr>
            <w:tcW w:w="10300" w:type="dxa"/>
            <w:vAlign w:val="bottom"/>
            <w:gridSpan w:val="3"/>
          </w:tcPr>
          <w:p>
            <w:pPr>
              <w:ind w:left="540"/>
              <w:spacing w:after="0"/>
              <w:rPr>
                <w:sz w:val="20"/>
                <w:szCs w:val="20"/>
                <w:color w:val="auto"/>
              </w:rPr>
            </w:pPr>
            <w:r>
              <w:rPr>
                <w:rFonts w:ascii="Arial" w:cs="Arial" w:eastAsia="Arial" w:hAnsi="Arial"/>
                <w:sz w:val="16"/>
                <w:szCs w:val="16"/>
                <w:i w:val="1"/>
                <w:iCs w:val="1"/>
                <w:color w:val="auto"/>
              </w:rPr>
              <w:t>on Form 10-K for the fiscal year ended January 31, 2006)</w:t>
            </w:r>
          </w:p>
        </w:tc>
      </w:tr>
      <w:tr>
        <w:trPr>
          <w:trHeight w:val="374"/>
        </w:trPr>
        <w:tc>
          <w:tcPr>
            <w:tcW w:w="700" w:type="dxa"/>
            <w:vAlign w:val="bottom"/>
          </w:tcPr>
          <w:p>
            <w:pPr>
              <w:jc w:val="right"/>
              <w:ind w:right="99"/>
              <w:spacing w:after="0"/>
              <w:rPr>
                <w:sz w:val="20"/>
                <w:szCs w:val="20"/>
                <w:color w:val="auto"/>
              </w:rPr>
            </w:pPr>
            <w:r>
              <w:rPr>
                <w:rFonts w:ascii="Arial" w:cs="Arial" w:eastAsia="Arial" w:hAnsi="Arial"/>
                <w:sz w:val="16"/>
                <w:szCs w:val="16"/>
                <w:color w:val="auto"/>
              </w:rPr>
              <w:t>3.2</w:t>
            </w:r>
          </w:p>
        </w:tc>
        <w:tc>
          <w:tcPr>
            <w:tcW w:w="10300" w:type="dxa"/>
            <w:vAlign w:val="bottom"/>
            <w:gridSpan w:val="3"/>
          </w:tcPr>
          <w:p>
            <w:pPr>
              <w:ind w:left="540"/>
              <w:spacing w:after="0"/>
              <w:rPr>
                <w:sz w:val="20"/>
                <w:szCs w:val="20"/>
                <w:color w:val="auto"/>
              </w:rPr>
            </w:pPr>
            <w:r>
              <w:rPr>
                <w:rFonts w:ascii="Arial" w:cs="Arial" w:eastAsia="Arial" w:hAnsi="Arial"/>
                <w:sz w:val="16"/>
                <w:szCs w:val="16"/>
                <w:color w:val="auto"/>
                <w:w w:val="92"/>
              </w:rPr>
              <w:t>Amended and Restated Bylaws of Registrant (</w:t>
            </w:r>
            <w:r>
              <w:rPr>
                <w:rFonts w:ascii="Arial" w:cs="Arial" w:eastAsia="Arial" w:hAnsi="Arial"/>
                <w:sz w:val="16"/>
                <w:szCs w:val="16"/>
                <w:i w:val="1"/>
                <w:iCs w:val="1"/>
                <w:color w:val="auto"/>
                <w:w w:val="92"/>
              </w:rPr>
              <w:t>incorporated by reference to Exhibit 3.1 filed with the Registrant’s Current Report on Form 8-K filed on</w:t>
            </w:r>
          </w:p>
        </w:tc>
      </w:tr>
      <w:tr>
        <w:trPr>
          <w:trHeight w:val="206"/>
        </w:trPr>
        <w:tc>
          <w:tcPr>
            <w:tcW w:w="700" w:type="dxa"/>
            <w:vAlign w:val="bottom"/>
          </w:tcPr>
          <w:p>
            <w:pPr>
              <w:spacing w:after="0"/>
              <w:rPr>
                <w:sz w:val="17"/>
                <w:szCs w:val="17"/>
                <w:color w:val="auto"/>
              </w:rPr>
            </w:pPr>
          </w:p>
        </w:tc>
        <w:tc>
          <w:tcPr>
            <w:tcW w:w="10300" w:type="dxa"/>
            <w:vAlign w:val="bottom"/>
            <w:gridSpan w:val="3"/>
          </w:tcPr>
          <w:p>
            <w:pPr>
              <w:ind w:left="540"/>
              <w:spacing w:after="0"/>
              <w:rPr>
                <w:sz w:val="20"/>
                <w:szCs w:val="20"/>
                <w:color w:val="auto"/>
              </w:rPr>
            </w:pPr>
            <w:r>
              <w:rPr>
                <w:rFonts w:ascii="Arial" w:cs="Arial" w:eastAsia="Arial" w:hAnsi="Arial"/>
                <w:sz w:val="16"/>
                <w:szCs w:val="16"/>
                <w:i w:val="1"/>
                <w:iCs w:val="1"/>
                <w:color w:val="auto"/>
              </w:rPr>
              <w:t>March 29, 2011</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300" w:type="dxa"/>
            <w:vAlign w:val="bottom"/>
            <w:gridSpan w:val="3"/>
          </w:tcPr>
          <w:p>
            <w:pPr>
              <w:ind w:left="540"/>
              <w:spacing w:after="0"/>
              <w:rPr>
                <w:sz w:val="20"/>
                <w:szCs w:val="20"/>
                <w:color w:val="auto"/>
              </w:rPr>
            </w:pPr>
            <w:r>
              <w:rPr>
                <w:rFonts w:ascii="Arial" w:cs="Arial" w:eastAsia="Arial" w:hAnsi="Arial"/>
                <w:sz w:val="16"/>
                <w:szCs w:val="16"/>
                <w:color w:val="auto"/>
                <w:w w:val="94"/>
              </w:rPr>
              <w:t>Indenture dated December 13, 2012, by and between Autodesk, Inc. and U.S. Bank National Association (</w:t>
            </w:r>
            <w:r>
              <w:rPr>
                <w:rFonts w:ascii="Arial" w:cs="Arial" w:eastAsia="Arial" w:hAnsi="Arial"/>
                <w:sz w:val="16"/>
                <w:szCs w:val="16"/>
                <w:i w:val="1"/>
                <w:iCs w:val="1"/>
                <w:color w:val="auto"/>
                <w:w w:val="94"/>
              </w:rPr>
              <w:t>incorporated by reference to Exhibit 4.1</w:t>
            </w:r>
          </w:p>
        </w:tc>
      </w:tr>
      <w:tr>
        <w:trPr>
          <w:trHeight w:val="206"/>
        </w:trPr>
        <w:tc>
          <w:tcPr>
            <w:tcW w:w="700" w:type="dxa"/>
            <w:vAlign w:val="bottom"/>
          </w:tcPr>
          <w:p>
            <w:pPr>
              <w:spacing w:after="0"/>
              <w:rPr>
                <w:sz w:val="17"/>
                <w:szCs w:val="17"/>
                <w:color w:val="auto"/>
              </w:rPr>
            </w:pPr>
          </w:p>
        </w:tc>
        <w:tc>
          <w:tcPr>
            <w:tcW w:w="10300" w:type="dxa"/>
            <w:vAlign w:val="bottom"/>
            <w:gridSpan w:val="3"/>
          </w:tcPr>
          <w:p>
            <w:pPr>
              <w:ind w:left="540"/>
              <w:spacing w:after="0"/>
              <w:rPr>
                <w:sz w:val="20"/>
                <w:szCs w:val="20"/>
                <w:color w:val="auto"/>
              </w:rPr>
            </w:pPr>
            <w:r>
              <w:rPr>
                <w:rFonts w:ascii="Arial" w:cs="Arial" w:eastAsia="Arial" w:hAnsi="Arial"/>
                <w:sz w:val="16"/>
                <w:szCs w:val="16"/>
                <w:i w:val="1"/>
                <w:iCs w:val="1"/>
                <w:color w:val="auto"/>
              </w:rPr>
              <w:t>filed with the Registrant's Current Report on Form 8-K filed on December 13, 2012</w:t>
            </w:r>
            <w:r>
              <w:rPr>
                <w:rFonts w:ascii="Arial" w:cs="Arial" w:eastAsia="Arial" w:hAnsi="Arial"/>
                <w:sz w:val="16"/>
                <w:szCs w:val="16"/>
                <w:color w:val="auto"/>
              </w:rPr>
              <w:t>)</w:t>
            </w:r>
          </w:p>
        </w:tc>
      </w:tr>
      <w:tr>
        <w:trPr>
          <w:trHeight w:val="415"/>
        </w:trPr>
        <w:tc>
          <w:tcPr>
            <w:tcW w:w="7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0300" w:type="dxa"/>
            <w:vAlign w:val="bottom"/>
            <w:gridSpan w:val="3"/>
          </w:tcPr>
          <w:p>
            <w:pPr>
              <w:ind w:left="540"/>
              <w:spacing w:after="0"/>
              <w:rPr>
                <w:sz w:val="20"/>
                <w:szCs w:val="20"/>
                <w:color w:val="auto"/>
              </w:rPr>
            </w:pPr>
            <w:r>
              <w:rPr>
                <w:rFonts w:ascii="Arial" w:cs="Arial" w:eastAsia="Arial" w:hAnsi="Arial"/>
                <w:sz w:val="16"/>
                <w:szCs w:val="16"/>
                <w:color w:val="auto"/>
                <w:w w:val="99"/>
              </w:rPr>
              <w:t>First Supplemental Indenture (including Form of Notes) dated December 13, 2012, by and between Autodesk, Inc. and U.S. Bank National</w:t>
            </w:r>
          </w:p>
        </w:tc>
      </w:tr>
      <w:tr>
        <w:trPr>
          <w:trHeight w:val="206"/>
        </w:trPr>
        <w:tc>
          <w:tcPr>
            <w:tcW w:w="700" w:type="dxa"/>
            <w:vAlign w:val="bottom"/>
          </w:tcPr>
          <w:p>
            <w:pPr>
              <w:spacing w:after="0"/>
              <w:rPr>
                <w:sz w:val="17"/>
                <w:szCs w:val="17"/>
                <w:color w:val="auto"/>
              </w:rPr>
            </w:pPr>
          </w:p>
        </w:tc>
        <w:tc>
          <w:tcPr>
            <w:tcW w:w="10300" w:type="dxa"/>
            <w:vAlign w:val="bottom"/>
            <w:gridSpan w:val="3"/>
          </w:tcPr>
          <w:p>
            <w:pPr>
              <w:ind w:left="540"/>
              <w:spacing w:after="0"/>
              <w:rPr>
                <w:sz w:val="20"/>
                <w:szCs w:val="20"/>
                <w:color w:val="auto"/>
              </w:rPr>
            </w:pPr>
            <w:r>
              <w:rPr>
                <w:rFonts w:ascii="Arial" w:cs="Arial" w:eastAsia="Arial" w:hAnsi="Arial"/>
                <w:sz w:val="16"/>
                <w:szCs w:val="16"/>
                <w:color w:val="auto"/>
              </w:rPr>
              <w:t>Association. (</w:t>
            </w:r>
            <w:r>
              <w:rPr>
                <w:rFonts w:ascii="Arial" w:cs="Arial" w:eastAsia="Arial" w:hAnsi="Arial"/>
                <w:sz w:val="16"/>
                <w:szCs w:val="16"/>
                <w:i w:val="1"/>
                <w:iCs w:val="1"/>
                <w:color w:val="auto"/>
              </w:rPr>
              <w:t>incorporated by reference to Exhibit 4.2 filed with the Registrant's Current Report on Form 8-K filed on December 13, 2012</w:t>
            </w:r>
            <w:r>
              <w:rPr>
                <w:rFonts w:ascii="Arial" w:cs="Arial" w:eastAsia="Arial" w:hAnsi="Arial"/>
                <w:sz w:val="16"/>
                <w:szCs w:val="16"/>
                <w:color w:val="auto"/>
              </w:rPr>
              <w:t>)</w:t>
            </w:r>
          </w:p>
        </w:tc>
      </w:tr>
      <w:tr>
        <w:trPr>
          <w:trHeight w:val="442"/>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0300" w:type="dxa"/>
            <w:vAlign w:val="bottom"/>
            <w:gridSpan w:val="3"/>
          </w:tcPr>
          <w:p>
            <w:pPr>
              <w:ind w:left="540"/>
              <w:spacing w:after="0"/>
              <w:rPr>
                <w:sz w:val="20"/>
                <w:szCs w:val="20"/>
                <w:color w:val="auto"/>
              </w:rPr>
            </w:pPr>
            <w:r>
              <w:rPr>
                <w:rFonts w:ascii="Arial" w:cs="Arial" w:eastAsia="Arial" w:hAnsi="Arial"/>
                <w:sz w:val="16"/>
                <w:szCs w:val="16"/>
                <w:color w:val="auto"/>
                <w:w w:val="97"/>
              </w:rPr>
              <w:t>Registrant’s 1996 Stock Plan (</w:t>
            </w:r>
            <w:r>
              <w:rPr>
                <w:rFonts w:ascii="Arial" w:cs="Arial" w:eastAsia="Arial" w:hAnsi="Arial"/>
                <w:sz w:val="16"/>
                <w:szCs w:val="16"/>
                <w:i w:val="1"/>
                <w:iCs w:val="1"/>
                <w:color w:val="auto"/>
                <w:w w:val="97"/>
              </w:rPr>
              <w:t>incorporated by reference to Exhibit 10.1 filed with the Registrant’s Quarterly Report on Form 10-Q for the fiscal</w:t>
            </w:r>
          </w:p>
        </w:tc>
      </w:tr>
      <w:tr>
        <w:trPr>
          <w:trHeight w:val="206"/>
        </w:trPr>
        <w:tc>
          <w:tcPr>
            <w:tcW w:w="700" w:type="dxa"/>
            <w:vAlign w:val="bottom"/>
          </w:tcPr>
          <w:p>
            <w:pPr>
              <w:spacing w:after="0"/>
              <w:rPr>
                <w:sz w:val="17"/>
                <w:szCs w:val="17"/>
                <w:color w:val="auto"/>
              </w:rPr>
            </w:pPr>
          </w:p>
        </w:tc>
        <w:tc>
          <w:tcPr>
            <w:tcW w:w="10300" w:type="dxa"/>
            <w:vAlign w:val="bottom"/>
            <w:gridSpan w:val="3"/>
          </w:tcPr>
          <w:p>
            <w:pPr>
              <w:ind w:left="540"/>
              <w:spacing w:after="0"/>
              <w:rPr>
                <w:sz w:val="20"/>
                <w:szCs w:val="20"/>
                <w:color w:val="auto"/>
              </w:rPr>
            </w:pPr>
            <w:r>
              <w:rPr>
                <w:rFonts w:ascii="Arial" w:cs="Arial" w:eastAsia="Arial" w:hAnsi="Arial"/>
                <w:sz w:val="16"/>
                <w:szCs w:val="16"/>
                <w:i w:val="1"/>
                <w:iCs w:val="1"/>
                <w:color w:val="auto"/>
              </w:rPr>
              <w:t>quarter ended October 31, 2005</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0300" w:type="dxa"/>
            <w:vAlign w:val="bottom"/>
            <w:gridSpan w:val="3"/>
          </w:tcPr>
          <w:p>
            <w:pPr>
              <w:ind w:left="540"/>
              <w:spacing w:after="0"/>
              <w:rPr>
                <w:sz w:val="20"/>
                <w:szCs w:val="20"/>
                <w:color w:val="auto"/>
              </w:rPr>
            </w:pPr>
            <w:r>
              <w:rPr>
                <w:rFonts w:ascii="Arial" w:cs="Arial" w:eastAsia="Arial" w:hAnsi="Arial"/>
                <w:sz w:val="16"/>
                <w:szCs w:val="16"/>
                <w:color w:val="auto"/>
                <w:w w:val="93"/>
              </w:rPr>
              <w:t>Registrant’s 1996 Stock Plan Forms of Agreement (</w:t>
            </w:r>
            <w:r>
              <w:rPr>
                <w:rFonts w:ascii="Arial" w:cs="Arial" w:eastAsia="Arial" w:hAnsi="Arial"/>
                <w:sz w:val="16"/>
                <w:szCs w:val="16"/>
                <w:i w:val="1"/>
                <w:iCs w:val="1"/>
                <w:color w:val="auto"/>
                <w:w w:val="93"/>
              </w:rPr>
              <w:t>incorporated by reference to Exhibit 10.5 filed with the Registrant’s Annual Report on Form 10-K</w:t>
            </w:r>
          </w:p>
        </w:tc>
      </w:tr>
      <w:tr>
        <w:trPr>
          <w:trHeight w:val="206"/>
        </w:trPr>
        <w:tc>
          <w:tcPr>
            <w:tcW w:w="700" w:type="dxa"/>
            <w:vAlign w:val="bottom"/>
          </w:tcPr>
          <w:p>
            <w:pPr>
              <w:spacing w:after="0"/>
              <w:rPr>
                <w:sz w:val="17"/>
                <w:szCs w:val="17"/>
                <w:color w:val="auto"/>
              </w:rPr>
            </w:pPr>
          </w:p>
        </w:tc>
        <w:tc>
          <w:tcPr>
            <w:tcW w:w="10300" w:type="dxa"/>
            <w:vAlign w:val="bottom"/>
            <w:gridSpan w:val="3"/>
          </w:tcPr>
          <w:p>
            <w:pPr>
              <w:ind w:left="540"/>
              <w:spacing w:after="0"/>
              <w:rPr>
                <w:sz w:val="20"/>
                <w:szCs w:val="20"/>
                <w:color w:val="auto"/>
              </w:rPr>
            </w:pPr>
            <w:r>
              <w:rPr>
                <w:rFonts w:ascii="Arial" w:cs="Arial" w:eastAsia="Arial" w:hAnsi="Arial"/>
                <w:sz w:val="16"/>
                <w:szCs w:val="16"/>
                <w:i w:val="1"/>
                <w:iCs w:val="1"/>
                <w:color w:val="auto"/>
              </w:rPr>
              <w:t>for the fiscal year ended January 31, 2005</w:t>
            </w:r>
            <w:r>
              <w:rPr>
                <w:rFonts w:ascii="Arial" w:cs="Arial" w:eastAsia="Arial" w:hAnsi="Arial"/>
                <w:sz w:val="16"/>
                <w:szCs w:val="16"/>
                <w:color w:val="auto"/>
              </w:rPr>
              <w:t>)</w:t>
            </w:r>
          </w:p>
        </w:tc>
      </w:tr>
      <w:tr>
        <w:trPr>
          <w:trHeight w:val="378"/>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10300" w:type="dxa"/>
            <w:vAlign w:val="bottom"/>
            <w:gridSpan w:val="3"/>
          </w:tcPr>
          <w:p>
            <w:pPr>
              <w:ind w:left="540"/>
              <w:spacing w:after="0"/>
              <w:rPr>
                <w:sz w:val="20"/>
                <w:szCs w:val="20"/>
                <w:color w:val="auto"/>
              </w:rPr>
            </w:pPr>
            <w:r>
              <w:rPr>
                <w:rFonts w:ascii="Arial" w:cs="Arial" w:eastAsia="Arial" w:hAnsi="Arial"/>
                <w:sz w:val="16"/>
                <w:szCs w:val="16"/>
                <w:color w:val="auto"/>
              </w:rPr>
              <w:t xml:space="preserve">Registrant’s 1998 Employee Qualified Stock Purchase Plan, as amended on June 10, 2010 </w:t>
            </w:r>
            <w:r>
              <w:rPr>
                <w:rFonts w:ascii="Arial" w:cs="Arial" w:eastAsia="Arial" w:hAnsi="Arial"/>
                <w:sz w:val="16"/>
                <w:szCs w:val="16"/>
                <w:i w:val="1"/>
                <w:iCs w:val="1"/>
                <w:color w:val="auto"/>
              </w:rPr>
              <w:t>(filed herewith)</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10300" w:type="dxa"/>
            <w:vAlign w:val="bottom"/>
            <w:gridSpan w:val="3"/>
          </w:tcPr>
          <w:p>
            <w:pPr>
              <w:ind w:left="540"/>
              <w:spacing w:after="0"/>
              <w:rPr>
                <w:sz w:val="20"/>
                <w:szCs w:val="20"/>
                <w:color w:val="auto"/>
              </w:rPr>
            </w:pPr>
            <w:r>
              <w:rPr>
                <w:rFonts w:ascii="Arial" w:cs="Arial" w:eastAsia="Arial" w:hAnsi="Arial"/>
                <w:sz w:val="16"/>
                <w:szCs w:val="16"/>
                <w:color w:val="auto"/>
                <w:w w:val="92"/>
              </w:rPr>
              <w:t>Registrant’s 1998 Employee Qualified Stock Purchase Plan Forms of Agreement (</w:t>
            </w:r>
            <w:r>
              <w:rPr>
                <w:rFonts w:ascii="Arial" w:cs="Arial" w:eastAsia="Arial" w:hAnsi="Arial"/>
                <w:sz w:val="16"/>
                <w:szCs w:val="16"/>
                <w:i w:val="1"/>
                <w:iCs w:val="1"/>
                <w:color w:val="auto"/>
                <w:w w:val="92"/>
              </w:rPr>
              <w:t>incorporated by reference to Exhibit 10.2 filed with the Registrant’s</w:t>
            </w:r>
          </w:p>
        </w:tc>
      </w:tr>
      <w:tr>
        <w:trPr>
          <w:trHeight w:val="206"/>
        </w:trPr>
        <w:tc>
          <w:tcPr>
            <w:tcW w:w="700" w:type="dxa"/>
            <w:vAlign w:val="bottom"/>
          </w:tcPr>
          <w:p>
            <w:pPr>
              <w:spacing w:after="0"/>
              <w:rPr>
                <w:sz w:val="17"/>
                <w:szCs w:val="17"/>
                <w:color w:val="auto"/>
              </w:rPr>
            </w:pPr>
          </w:p>
        </w:tc>
        <w:tc>
          <w:tcPr>
            <w:tcW w:w="10300" w:type="dxa"/>
            <w:vAlign w:val="bottom"/>
            <w:gridSpan w:val="3"/>
          </w:tcPr>
          <w:p>
            <w:pPr>
              <w:ind w:left="540"/>
              <w:spacing w:after="0"/>
              <w:rPr>
                <w:sz w:val="20"/>
                <w:szCs w:val="20"/>
                <w:color w:val="auto"/>
              </w:rPr>
            </w:pPr>
            <w:r>
              <w:rPr>
                <w:rFonts w:ascii="Arial" w:cs="Arial" w:eastAsia="Arial" w:hAnsi="Arial"/>
                <w:sz w:val="16"/>
                <w:szCs w:val="16"/>
                <w:i w:val="1"/>
                <w:iCs w:val="1"/>
                <w:color w:val="auto"/>
              </w:rPr>
              <w:t>Annual Report on Form 10-K for the fiscal year ended January 31, 2005</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10300" w:type="dxa"/>
            <w:vAlign w:val="bottom"/>
            <w:gridSpan w:val="3"/>
          </w:tcPr>
          <w:p>
            <w:pPr>
              <w:ind w:left="540"/>
              <w:spacing w:after="0"/>
              <w:rPr>
                <w:sz w:val="20"/>
                <w:szCs w:val="20"/>
                <w:color w:val="auto"/>
              </w:rPr>
            </w:pPr>
            <w:r>
              <w:rPr>
                <w:rFonts w:ascii="Arial" w:cs="Arial" w:eastAsia="Arial" w:hAnsi="Arial"/>
                <w:sz w:val="16"/>
                <w:szCs w:val="16"/>
                <w:color w:val="auto"/>
                <w:w w:val="95"/>
              </w:rPr>
              <w:t>Registrant’s 1998 Employee Qualified Stock Purchase Plan Form of Agreement (non-U.S. Employees) (</w:t>
            </w:r>
            <w:r>
              <w:rPr>
                <w:rFonts w:ascii="Arial" w:cs="Arial" w:eastAsia="Arial" w:hAnsi="Arial"/>
                <w:sz w:val="16"/>
                <w:szCs w:val="16"/>
                <w:i w:val="1"/>
                <w:iCs w:val="1"/>
                <w:color w:val="auto"/>
                <w:w w:val="95"/>
              </w:rPr>
              <w:t>incorporated by reference to Exhibit 10.5</w:t>
            </w:r>
          </w:p>
        </w:tc>
      </w:tr>
      <w:tr>
        <w:trPr>
          <w:trHeight w:val="206"/>
        </w:trPr>
        <w:tc>
          <w:tcPr>
            <w:tcW w:w="700" w:type="dxa"/>
            <w:vAlign w:val="bottom"/>
          </w:tcPr>
          <w:p>
            <w:pPr>
              <w:spacing w:after="0"/>
              <w:rPr>
                <w:sz w:val="17"/>
                <w:szCs w:val="17"/>
                <w:color w:val="auto"/>
              </w:rPr>
            </w:pPr>
          </w:p>
        </w:tc>
        <w:tc>
          <w:tcPr>
            <w:tcW w:w="10300" w:type="dxa"/>
            <w:vAlign w:val="bottom"/>
            <w:gridSpan w:val="3"/>
          </w:tcPr>
          <w:p>
            <w:pPr>
              <w:ind w:left="540"/>
              <w:spacing w:after="0"/>
              <w:rPr>
                <w:sz w:val="20"/>
                <w:szCs w:val="20"/>
                <w:color w:val="auto"/>
              </w:rPr>
            </w:pPr>
            <w:r>
              <w:rPr>
                <w:rFonts w:ascii="Arial" w:cs="Arial" w:eastAsia="Arial" w:hAnsi="Arial"/>
                <w:sz w:val="16"/>
                <w:szCs w:val="16"/>
                <w:i w:val="1"/>
                <w:iCs w:val="1"/>
                <w:color w:val="auto"/>
              </w:rPr>
              <w:t>filed with the Registrant’s Annual Report on Form 10-K for the fiscal year ended January 31, 2009</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10300" w:type="dxa"/>
            <w:vAlign w:val="bottom"/>
            <w:gridSpan w:val="3"/>
          </w:tcPr>
          <w:p>
            <w:pPr>
              <w:ind w:left="540"/>
              <w:spacing w:after="0"/>
              <w:rPr>
                <w:sz w:val="20"/>
                <w:szCs w:val="20"/>
                <w:color w:val="auto"/>
              </w:rPr>
            </w:pPr>
            <w:r>
              <w:rPr>
                <w:rFonts w:ascii="Arial" w:cs="Arial" w:eastAsia="Arial" w:hAnsi="Arial"/>
                <w:sz w:val="16"/>
                <w:szCs w:val="16"/>
                <w:color w:val="auto"/>
                <w:w w:val="94"/>
              </w:rPr>
              <w:t>Registrant’s 2000 Directors’ Option Plan, as amended (</w:t>
            </w:r>
            <w:r>
              <w:rPr>
                <w:rFonts w:ascii="Arial" w:cs="Arial" w:eastAsia="Arial" w:hAnsi="Arial"/>
                <w:sz w:val="16"/>
                <w:szCs w:val="16"/>
                <w:i w:val="1"/>
                <w:iCs w:val="1"/>
                <w:color w:val="auto"/>
                <w:w w:val="94"/>
              </w:rPr>
              <w:t>incorporated by reference to Exhibit 10.3 filed with the Registrant’s Current Report on Form</w:t>
            </w:r>
          </w:p>
        </w:tc>
      </w:tr>
      <w:tr>
        <w:trPr>
          <w:trHeight w:val="206"/>
        </w:trPr>
        <w:tc>
          <w:tcPr>
            <w:tcW w:w="700" w:type="dxa"/>
            <w:vAlign w:val="bottom"/>
          </w:tcPr>
          <w:p>
            <w:pPr>
              <w:spacing w:after="0"/>
              <w:rPr>
                <w:sz w:val="17"/>
                <w:szCs w:val="17"/>
                <w:color w:val="auto"/>
              </w:rPr>
            </w:pPr>
          </w:p>
        </w:tc>
        <w:tc>
          <w:tcPr>
            <w:tcW w:w="10300" w:type="dxa"/>
            <w:vAlign w:val="bottom"/>
            <w:gridSpan w:val="3"/>
          </w:tcPr>
          <w:p>
            <w:pPr>
              <w:ind w:left="540"/>
              <w:spacing w:after="0"/>
              <w:rPr>
                <w:sz w:val="20"/>
                <w:szCs w:val="20"/>
                <w:color w:val="auto"/>
              </w:rPr>
            </w:pPr>
            <w:r>
              <w:rPr>
                <w:rFonts w:ascii="Arial" w:cs="Arial" w:eastAsia="Arial" w:hAnsi="Arial"/>
                <w:sz w:val="16"/>
                <w:szCs w:val="16"/>
                <w:i w:val="1"/>
                <w:iCs w:val="1"/>
                <w:color w:val="auto"/>
              </w:rPr>
              <w:t>8-K filed on June 18, 2008</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10300" w:type="dxa"/>
            <w:vAlign w:val="bottom"/>
            <w:gridSpan w:val="3"/>
          </w:tcPr>
          <w:p>
            <w:pPr>
              <w:ind w:left="540"/>
              <w:spacing w:after="0"/>
              <w:rPr>
                <w:sz w:val="20"/>
                <w:szCs w:val="20"/>
                <w:color w:val="auto"/>
              </w:rPr>
            </w:pPr>
            <w:r>
              <w:rPr>
                <w:rFonts w:ascii="Arial" w:cs="Arial" w:eastAsia="Arial" w:hAnsi="Arial"/>
                <w:sz w:val="16"/>
                <w:szCs w:val="16"/>
                <w:color w:val="auto"/>
                <w:w w:val="93"/>
              </w:rPr>
              <w:t>Registrant’s 2000 Directors’ Option Plan Forms of Agreements (</w:t>
            </w:r>
            <w:r>
              <w:rPr>
                <w:rFonts w:ascii="Arial" w:cs="Arial" w:eastAsia="Arial" w:hAnsi="Arial"/>
                <w:sz w:val="16"/>
                <w:szCs w:val="16"/>
                <w:i w:val="1"/>
                <w:iCs w:val="1"/>
                <w:color w:val="auto"/>
                <w:w w:val="93"/>
              </w:rPr>
              <w:t>incorporated by reference to Exhibit 10.2 filed with the Registrant’s Quarterly Report</w:t>
            </w:r>
          </w:p>
        </w:tc>
      </w:tr>
      <w:tr>
        <w:trPr>
          <w:trHeight w:val="206"/>
        </w:trPr>
        <w:tc>
          <w:tcPr>
            <w:tcW w:w="700" w:type="dxa"/>
            <w:vAlign w:val="bottom"/>
          </w:tcPr>
          <w:p>
            <w:pPr>
              <w:spacing w:after="0"/>
              <w:rPr>
                <w:sz w:val="17"/>
                <w:szCs w:val="17"/>
                <w:color w:val="auto"/>
              </w:rPr>
            </w:pPr>
          </w:p>
        </w:tc>
        <w:tc>
          <w:tcPr>
            <w:tcW w:w="10300" w:type="dxa"/>
            <w:vAlign w:val="bottom"/>
            <w:gridSpan w:val="3"/>
          </w:tcPr>
          <w:p>
            <w:pPr>
              <w:ind w:left="540"/>
              <w:spacing w:after="0"/>
              <w:rPr>
                <w:sz w:val="20"/>
                <w:szCs w:val="20"/>
                <w:color w:val="auto"/>
              </w:rPr>
            </w:pPr>
            <w:r>
              <w:rPr>
                <w:rFonts w:ascii="Arial" w:cs="Arial" w:eastAsia="Arial" w:hAnsi="Arial"/>
                <w:sz w:val="16"/>
                <w:szCs w:val="16"/>
                <w:i w:val="1"/>
                <w:iCs w:val="1"/>
                <w:color w:val="auto"/>
              </w:rPr>
              <w:t>on Form 10-Q for the fiscal quarter ended April 30, 2008</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10.8*</w:t>
            </w:r>
          </w:p>
        </w:tc>
        <w:tc>
          <w:tcPr>
            <w:tcW w:w="10300" w:type="dxa"/>
            <w:vAlign w:val="bottom"/>
            <w:gridSpan w:val="3"/>
          </w:tcPr>
          <w:p>
            <w:pPr>
              <w:ind w:left="540"/>
              <w:spacing w:after="0"/>
              <w:rPr>
                <w:sz w:val="20"/>
                <w:szCs w:val="20"/>
                <w:color w:val="auto"/>
              </w:rPr>
            </w:pPr>
            <w:r>
              <w:rPr>
                <w:rFonts w:ascii="Arial" w:cs="Arial" w:eastAsia="Arial" w:hAnsi="Arial"/>
                <w:sz w:val="16"/>
                <w:szCs w:val="16"/>
                <w:color w:val="auto"/>
                <w:w w:val="95"/>
              </w:rPr>
              <w:t>Registrant’s 2006 Employee Stock Plan (</w:t>
            </w:r>
            <w:r>
              <w:rPr>
                <w:rFonts w:ascii="Arial" w:cs="Arial" w:eastAsia="Arial" w:hAnsi="Arial"/>
                <w:sz w:val="16"/>
                <w:szCs w:val="16"/>
                <w:i w:val="1"/>
                <w:iCs w:val="1"/>
                <w:color w:val="auto"/>
                <w:w w:val="95"/>
              </w:rPr>
              <w:t>incorporated by reference to Exhibit 10.2 filed with the Registrant’s Current Report on Form 8-K filed on</w:t>
            </w:r>
          </w:p>
        </w:tc>
      </w:tr>
      <w:tr>
        <w:trPr>
          <w:trHeight w:val="206"/>
        </w:trPr>
        <w:tc>
          <w:tcPr>
            <w:tcW w:w="700" w:type="dxa"/>
            <w:vAlign w:val="bottom"/>
          </w:tcPr>
          <w:p>
            <w:pPr>
              <w:spacing w:after="0"/>
              <w:rPr>
                <w:sz w:val="17"/>
                <w:szCs w:val="17"/>
                <w:color w:val="auto"/>
              </w:rPr>
            </w:pPr>
          </w:p>
        </w:tc>
        <w:tc>
          <w:tcPr>
            <w:tcW w:w="10300" w:type="dxa"/>
            <w:vAlign w:val="bottom"/>
            <w:gridSpan w:val="3"/>
          </w:tcPr>
          <w:p>
            <w:pPr>
              <w:ind w:left="540"/>
              <w:spacing w:after="0"/>
              <w:rPr>
                <w:sz w:val="20"/>
                <w:szCs w:val="20"/>
                <w:color w:val="auto"/>
              </w:rPr>
            </w:pPr>
            <w:r>
              <w:rPr>
                <w:rFonts w:ascii="Arial" w:cs="Arial" w:eastAsia="Arial" w:hAnsi="Arial"/>
                <w:sz w:val="16"/>
                <w:szCs w:val="16"/>
                <w:i w:val="1"/>
                <w:iCs w:val="1"/>
                <w:color w:val="auto"/>
              </w:rPr>
              <w:t>November 15, 2005</w:t>
            </w:r>
            <w:r>
              <w:rPr>
                <w:rFonts w:ascii="Arial" w:cs="Arial" w:eastAsia="Arial" w:hAnsi="Arial"/>
                <w:sz w:val="16"/>
                <w:szCs w:val="16"/>
                <w:color w:val="auto"/>
              </w:rPr>
              <w:t>)</w:t>
            </w:r>
          </w:p>
        </w:tc>
      </w:tr>
      <w:tr>
        <w:trPr>
          <w:trHeight w:val="388"/>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10300" w:type="dxa"/>
            <w:vAlign w:val="bottom"/>
            <w:gridSpan w:val="3"/>
          </w:tcPr>
          <w:p>
            <w:pPr>
              <w:ind w:left="540"/>
              <w:spacing w:after="0"/>
              <w:rPr>
                <w:sz w:val="20"/>
                <w:szCs w:val="20"/>
                <w:color w:val="auto"/>
              </w:rPr>
            </w:pPr>
            <w:r>
              <w:rPr>
                <w:rFonts w:ascii="Arial" w:cs="Arial" w:eastAsia="Arial" w:hAnsi="Arial"/>
                <w:sz w:val="16"/>
                <w:szCs w:val="16"/>
                <w:color w:val="auto"/>
                <w:w w:val="93"/>
              </w:rPr>
              <w:t>Registrant’s 2006 Employee Stock Plan Forms of Agreement (</w:t>
            </w:r>
            <w:r>
              <w:rPr>
                <w:rFonts w:ascii="Arial" w:cs="Arial" w:eastAsia="Arial" w:hAnsi="Arial"/>
                <w:sz w:val="16"/>
                <w:szCs w:val="16"/>
                <w:i w:val="1"/>
                <w:iCs w:val="1"/>
                <w:color w:val="auto"/>
                <w:w w:val="93"/>
              </w:rPr>
              <w:t>incorporated by reference to Exhibit 10.8 filed with the Registrant’s Annual Report on</w:t>
            </w:r>
          </w:p>
        </w:tc>
      </w:tr>
      <w:tr>
        <w:trPr>
          <w:trHeight w:val="203"/>
        </w:trPr>
        <w:tc>
          <w:tcPr>
            <w:tcW w:w="700" w:type="dxa"/>
            <w:vAlign w:val="bottom"/>
          </w:tcPr>
          <w:p>
            <w:pPr>
              <w:spacing w:after="0"/>
              <w:rPr>
                <w:sz w:val="17"/>
                <w:szCs w:val="17"/>
                <w:color w:val="auto"/>
              </w:rPr>
            </w:pPr>
          </w:p>
        </w:tc>
        <w:tc>
          <w:tcPr>
            <w:tcW w:w="10300" w:type="dxa"/>
            <w:vAlign w:val="bottom"/>
            <w:gridSpan w:val="3"/>
          </w:tcPr>
          <w:p>
            <w:pPr>
              <w:ind w:left="540"/>
              <w:spacing w:after="0"/>
              <w:rPr>
                <w:sz w:val="20"/>
                <w:szCs w:val="20"/>
                <w:color w:val="auto"/>
              </w:rPr>
            </w:pPr>
            <w:r>
              <w:rPr>
                <w:rFonts w:ascii="Arial" w:cs="Arial" w:eastAsia="Arial" w:hAnsi="Arial"/>
                <w:sz w:val="16"/>
                <w:szCs w:val="16"/>
                <w:i w:val="1"/>
                <w:iCs w:val="1"/>
                <w:color w:val="auto"/>
                <w:w w:val="96"/>
              </w:rPr>
              <w:t>Form 10-K for the fiscal year ended January 31, 2006 and Exhibit 10.1 filed with the Registrant’s Current Report on Form 8-K filed on June 20,</w:t>
            </w:r>
          </w:p>
        </w:tc>
      </w:tr>
      <w:tr>
        <w:trPr>
          <w:trHeight w:val="206"/>
        </w:trPr>
        <w:tc>
          <w:tcPr>
            <w:tcW w:w="700" w:type="dxa"/>
            <w:vAlign w:val="bottom"/>
          </w:tcPr>
          <w:p>
            <w:pPr>
              <w:spacing w:after="0"/>
              <w:rPr>
                <w:sz w:val="17"/>
                <w:szCs w:val="17"/>
                <w:color w:val="auto"/>
              </w:rPr>
            </w:pPr>
          </w:p>
        </w:tc>
        <w:tc>
          <w:tcPr>
            <w:tcW w:w="5060" w:type="dxa"/>
            <w:vAlign w:val="bottom"/>
          </w:tcPr>
          <w:p>
            <w:pPr>
              <w:ind w:left="540"/>
              <w:spacing w:after="0"/>
              <w:rPr>
                <w:sz w:val="20"/>
                <w:szCs w:val="20"/>
                <w:color w:val="auto"/>
              </w:rPr>
            </w:pPr>
            <w:r>
              <w:rPr>
                <w:rFonts w:ascii="Arial" w:cs="Arial" w:eastAsia="Arial" w:hAnsi="Arial"/>
                <w:sz w:val="16"/>
                <w:szCs w:val="16"/>
                <w:i w:val="1"/>
                <w:iCs w:val="1"/>
                <w:color w:val="auto"/>
              </w:rPr>
              <w:t>2007</w:t>
            </w: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4520" w:type="dxa"/>
            <w:vAlign w:val="bottom"/>
          </w:tcPr>
          <w:p>
            <w:pPr>
              <w:spacing w:after="0"/>
              <w:rPr>
                <w:sz w:val="17"/>
                <w:szCs w:val="17"/>
                <w:color w:val="auto"/>
              </w:rPr>
            </w:pP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10.10*</w:t>
            </w:r>
          </w:p>
        </w:tc>
        <w:tc>
          <w:tcPr>
            <w:tcW w:w="10300" w:type="dxa"/>
            <w:vAlign w:val="bottom"/>
            <w:gridSpan w:val="3"/>
          </w:tcPr>
          <w:p>
            <w:pPr>
              <w:ind w:left="540"/>
              <w:spacing w:after="0"/>
              <w:rPr>
                <w:sz w:val="20"/>
                <w:szCs w:val="20"/>
                <w:color w:val="auto"/>
              </w:rPr>
            </w:pPr>
            <w:r>
              <w:rPr>
                <w:rFonts w:ascii="Arial" w:cs="Arial" w:eastAsia="Arial" w:hAnsi="Arial"/>
                <w:sz w:val="16"/>
                <w:szCs w:val="16"/>
                <w:color w:val="auto"/>
                <w:w w:val="95"/>
              </w:rPr>
              <w:t>Registrant’s 2008 Employee Stock Plan, as amended and restated (</w:t>
            </w:r>
            <w:r>
              <w:rPr>
                <w:rFonts w:ascii="Arial" w:cs="Arial" w:eastAsia="Arial" w:hAnsi="Arial"/>
                <w:sz w:val="16"/>
                <w:szCs w:val="16"/>
                <w:i w:val="1"/>
                <w:iCs w:val="1"/>
                <w:color w:val="auto"/>
                <w:w w:val="95"/>
              </w:rPr>
              <w:t>incorporated by reference to Exhibit 10.2 filed with the Registrant’s Quarterly</w:t>
            </w:r>
          </w:p>
        </w:tc>
      </w:tr>
      <w:tr>
        <w:trPr>
          <w:trHeight w:val="206"/>
        </w:trPr>
        <w:tc>
          <w:tcPr>
            <w:tcW w:w="700" w:type="dxa"/>
            <w:vAlign w:val="bottom"/>
          </w:tcPr>
          <w:p>
            <w:pPr>
              <w:spacing w:after="0"/>
              <w:rPr>
                <w:sz w:val="17"/>
                <w:szCs w:val="17"/>
                <w:color w:val="auto"/>
              </w:rPr>
            </w:pPr>
          </w:p>
        </w:tc>
        <w:tc>
          <w:tcPr>
            <w:tcW w:w="10300" w:type="dxa"/>
            <w:vAlign w:val="bottom"/>
            <w:gridSpan w:val="3"/>
          </w:tcPr>
          <w:p>
            <w:pPr>
              <w:ind w:left="540"/>
              <w:spacing w:after="0"/>
              <w:rPr>
                <w:sz w:val="20"/>
                <w:szCs w:val="20"/>
                <w:color w:val="auto"/>
              </w:rPr>
            </w:pPr>
            <w:r>
              <w:rPr>
                <w:rFonts w:ascii="Arial" w:cs="Arial" w:eastAsia="Arial" w:hAnsi="Arial"/>
                <w:sz w:val="16"/>
                <w:szCs w:val="16"/>
                <w:i w:val="1"/>
                <w:iCs w:val="1"/>
                <w:color w:val="auto"/>
              </w:rPr>
              <w:t>Report on Form 10-Q for the fiscal quarter ended July 31, 2010)</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10.11*</w:t>
            </w:r>
          </w:p>
        </w:tc>
        <w:tc>
          <w:tcPr>
            <w:tcW w:w="10300" w:type="dxa"/>
            <w:vAlign w:val="bottom"/>
            <w:gridSpan w:val="3"/>
          </w:tcPr>
          <w:p>
            <w:pPr>
              <w:ind w:left="540"/>
              <w:spacing w:after="0"/>
              <w:rPr>
                <w:sz w:val="20"/>
                <w:szCs w:val="20"/>
                <w:color w:val="auto"/>
              </w:rPr>
            </w:pPr>
            <w:r>
              <w:rPr>
                <w:rFonts w:ascii="Arial" w:cs="Arial" w:eastAsia="Arial" w:hAnsi="Arial"/>
                <w:sz w:val="16"/>
                <w:szCs w:val="16"/>
                <w:color w:val="auto"/>
                <w:w w:val="94"/>
              </w:rPr>
              <w:t>Registrant’s 2008 Employee Stock Plan Forms of Agreement (</w:t>
            </w:r>
            <w:r>
              <w:rPr>
                <w:rFonts w:ascii="Arial" w:cs="Arial" w:eastAsia="Arial" w:hAnsi="Arial"/>
                <w:sz w:val="16"/>
                <w:szCs w:val="16"/>
                <w:i w:val="1"/>
                <w:iCs w:val="1"/>
                <w:color w:val="auto"/>
                <w:w w:val="94"/>
              </w:rPr>
              <w:t>incorporated by reference to Exhibit 10.1 filed with the Registrant’s Quarterly Report</w:t>
            </w:r>
          </w:p>
        </w:tc>
      </w:tr>
      <w:tr>
        <w:trPr>
          <w:trHeight w:val="206"/>
        </w:trPr>
        <w:tc>
          <w:tcPr>
            <w:tcW w:w="700" w:type="dxa"/>
            <w:vAlign w:val="bottom"/>
          </w:tcPr>
          <w:p>
            <w:pPr>
              <w:spacing w:after="0"/>
              <w:rPr>
                <w:sz w:val="17"/>
                <w:szCs w:val="17"/>
                <w:color w:val="auto"/>
              </w:rPr>
            </w:pPr>
          </w:p>
        </w:tc>
        <w:tc>
          <w:tcPr>
            <w:tcW w:w="10300" w:type="dxa"/>
            <w:vAlign w:val="bottom"/>
            <w:gridSpan w:val="3"/>
          </w:tcPr>
          <w:p>
            <w:pPr>
              <w:ind w:left="540"/>
              <w:spacing w:after="0"/>
              <w:rPr>
                <w:sz w:val="20"/>
                <w:szCs w:val="20"/>
                <w:color w:val="auto"/>
              </w:rPr>
            </w:pPr>
            <w:r>
              <w:rPr>
                <w:rFonts w:ascii="Arial" w:cs="Arial" w:eastAsia="Arial" w:hAnsi="Arial"/>
                <w:sz w:val="16"/>
                <w:szCs w:val="16"/>
                <w:i w:val="1"/>
                <w:iCs w:val="1"/>
                <w:color w:val="auto"/>
              </w:rPr>
              <w:t>on Form 10-Q for the fiscal quarter ended April 30, 2008</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10.12*</w:t>
            </w:r>
          </w:p>
        </w:tc>
        <w:tc>
          <w:tcPr>
            <w:tcW w:w="10300" w:type="dxa"/>
            <w:vAlign w:val="bottom"/>
            <w:gridSpan w:val="3"/>
          </w:tcPr>
          <w:p>
            <w:pPr>
              <w:ind w:left="540"/>
              <w:spacing w:after="0"/>
              <w:rPr>
                <w:sz w:val="20"/>
                <w:szCs w:val="20"/>
                <w:color w:val="auto"/>
              </w:rPr>
            </w:pPr>
            <w:r>
              <w:rPr>
                <w:rFonts w:ascii="Arial" w:cs="Arial" w:eastAsia="Arial" w:hAnsi="Arial"/>
                <w:sz w:val="16"/>
                <w:szCs w:val="16"/>
                <w:color w:val="auto"/>
                <w:w w:val="94"/>
              </w:rPr>
              <w:t>Registrant’s 2008 Employee Stock Plan Form of Agreement (</w:t>
            </w:r>
            <w:r>
              <w:rPr>
                <w:rFonts w:ascii="Arial" w:cs="Arial" w:eastAsia="Arial" w:hAnsi="Arial"/>
                <w:sz w:val="16"/>
                <w:szCs w:val="16"/>
                <w:i w:val="1"/>
                <w:iCs w:val="1"/>
                <w:color w:val="auto"/>
                <w:w w:val="94"/>
              </w:rPr>
              <w:t>incorporated by reference to Exhibit 10.1 filed with the Registrant’s Current Report on</w:t>
            </w:r>
          </w:p>
        </w:tc>
      </w:tr>
      <w:tr>
        <w:trPr>
          <w:trHeight w:val="206"/>
        </w:trPr>
        <w:tc>
          <w:tcPr>
            <w:tcW w:w="700" w:type="dxa"/>
            <w:vAlign w:val="bottom"/>
          </w:tcPr>
          <w:p>
            <w:pPr>
              <w:spacing w:after="0"/>
              <w:rPr>
                <w:sz w:val="17"/>
                <w:szCs w:val="17"/>
                <w:color w:val="auto"/>
              </w:rPr>
            </w:pPr>
          </w:p>
        </w:tc>
        <w:tc>
          <w:tcPr>
            <w:tcW w:w="10300" w:type="dxa"/>
            <w:vAlign w:val="bottom"/>
            <w:gridSpan w:val="3"/>
          </w:tcPr>
          <w:p>
            <w:pPr>
              <w:ind w:left="540"/>
              <w:spacing w:after="0"/>
              <w:rPr>
                <w:sz w:val="20"/>
                <w:szCs w:val="20"/>
                <w:color w:val="auto"/>
              </w:rPr>
            </w:pPr>
            <w:r>
              <w:rPr>
                <w:rFonts w:ascii="Arial" w:cs="Arial" w:eastAsia="Arial" w:hAnsi="Arial"/>
                <w:sz w:val="16"/>
                <w:szCs w:val="16"/>
                <w:i w:val="1"/>
                <w:iCs w:val="1"/>
                <w:color w:val="auto"/>
              </w:rPr>
              <w:t>Form 8-K filed on February 6, 2009</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10.13*</w:t>
            </w:r>
          </w:p>
        </w:tc>
        <w:tc>
          <w:tcPr>
            <w:tcW w:w="10300" w:type="dxa"/>
            <w:vAlign w:val="bottom"/>
            <w:gridSpan w:val="3"/>
          </w:tcPr>
          <w:p>
            <w:pPr>
              <w:ind w:left="540"/>
              <w:spacing w:after="0"/>
              <w:rPr>
                <w:sz w:val="20"/>
                <w:szCs w:val="20"/>
                <w:color w:val="auto"/>
              </w:rPr>
            </w:pPr>
            <w:r>
              <w:rPr>
                <w:rFonts w:ascii="Arial" w:cs="Arial" w:eastAsia="Arial" w:hAnsi="Arial"/>
                <w:sz w:val="16"/>
                <w:szCs w:val="16"/>
                <w:color w:val="auto"/>
                <w:w w:val="98"/>
              </w:rPr>
              <w:t>Registrant’s 2008 Employee Stock Plan Forms of Restricted Stock Unit Agreements (</w:t>
            </w:r>
            <w:r>
              <w:rPr>
                <w:rFonts w:ascii="Arial" w:cs="Arial" w:eastAsia="Arial" w:hAnsi="Arial"/>
                <w:sz w:val="16"/>
                <w:szCs w:val="16"/>
                <w:i w:val="1"/>
                <w:iCs w:val="1"/>
                <w:color w:val="auto"/>
                <w:w w:val="98"/>
              </w:rPr>
              <w:t>incorporated by reference to Exhibit 10.2 filed with the</w:t>
            </w:r>
          </w:p>
        </w:tc>
      </w:tr>
      <w:tr>
        <w:trPr>
          <w:trHeight w:val="206"/>
        </w:trPr>
        <w:tc>
          <w:tcPr>
            <w:tcW w:w="700" w:type="dxa"/>
            <w:vAlign w:val="bottom"/>
          </w:tcPr>
          <w:p>
            <w:pPr>
              <w:spacing w:after="0"/>
              <w:rPr>
                <w:sz w:val="17"/>
                <w:szCs w:val="17"/>
                <w:color w:val="auto"/>
              </w:rPr>
            </w:pPr>
          </w:p>
        </w:tc>
        <w:tc>
          <w:tcPr>
            <w:tcW w:w="10300" w:type="dxa"/>
            <w:vAlign w:val="bottom"/>
            <w:gridSpan w:val="3"/>
          </w:tcPr>
          <w:p>
            <w:pPr>
              <w:ind w:left="540"/>
              <w:spacing w:after="0"/>
              <w:rPr>
                <w:sz w:val="20"/>
                <w:szCs w:val="20"/>
                <w:color w:val="auto"/>
              </w:rPr>
            </w:pPr>
            <w:r>
              <w:rPr>
                <w:rFonts w:ascii="Arial" w:cs="Arial" w:eastAsia="Arial" w:hAnsi="Arial"/>
                <w:sz w:val="16"/>
                <w:szCs w:val="16"/>
                <w:i w:val="1"/>
                <w:iCs w:val="1"/>
                <w:color w:val="auto"/>
              </w:rPr>
              <w:t>Registrant’s Current Report on Form 8-K filed on June 18, 2008</w:t>
            </w:r>
            <w:r>
              <w:rPr>
                <w:rFonts w:ascii="Arial" w:cs="Arial" w:eastAsia="Arial" w:hAnsi="Arial"/>
                <w:sz w:val="16"/>
                <w:szCs w:val="16"/>
                <w:color w:val="auto"/>
              </w:rPr>
              <w:t>)</w:t>
            </w:r>
          </w:p>
        </w:tc>
      </w:tr>
      <w:tr>
        <w:trPr>
          <w:trHeight w:val="38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10.14*</w:t>
            </w:r>
          </w:p>
        </w:tc>
        <w:tc>
          <w:tcPr>
            <w:tcW w:w="10300" w:type="dxa"/>
            <w:vAlign w:val="bottom"/>
            <w:gridSpan w:val="3"/>
          </w:tcPr>
          <w:p>
            <w:pPr>
              <w:ind w:left="540"/>
              <w:spacing w:after="0"/>
              <w:rPr>
                <w:sz w:val="20"/>
                <w:szCs w:val="20"/>
                <w:color w:val="auto"/>
              </w:rPr>
            </w:pPr>
            <w:r>
              <w:rPr>
                <w:rFonts w:ascii="Arial" w:cs="Arial" w:eastAsia="Arial" w:hAnsi="Arial"/>
                <w:sz w:val="16"/>
                <w:szCs w:val="16"/>
                <w:color w:val="auto"/>
                <w:w w:val="98"/>
              </w:rPr>
              <w:t>Registrant’s 2008 Employee Stock Plan Forms of Agreement (non-U.S. Employees) (</w:t>
            </w:r>
            <w:r>
              <w:rPr>
                <w:rFonts w:ascii="Arial" w:cs="Arial" w:eastAsia="Arial" w:hAnsi="Arial"/>
                <w:sz w:val="16"/>
                <w:szCs w:val="16"/>
                <w:i w:val="1"/>
                <w:iCs w:val="1"/>
                <w:color w:val="auto"/>
                <w:w w:val="98"/>
              </w:rPr>
              <w:t>incorporated by reference to Exhibit 10.14 filed with the</w:t>
            </w:r>
          </w:p>
        </w:tc>
      </w:tr>
      <w:tr>
        <w:trPr>
          <w:trHeight w:val="206"/>
        </w:trPr>
        <w:tc>
          <w:tcPr>
            <w:tcW w:w="700" w:type="dxa"/>
            <w:vAlign w:val="bottom"/>
          </w:tcPr>
          <w:p>
            <w:pPr>
              <w:spacing w:after="0"/>
              <w:rPr>
                <w:sz w:val="17"/>
                <w:szCs w:val="17"/>
                <w:color w:val="auto"/>
              </w:rPr>
            </w:pPr>
          </w:p>
        </w:tc>
        <w:tc>
          <w:tcPr>
            <w:tcW w:w="10300" w:type="dxa"/>
            <w:vAlign w:val="bottom"/>
            <w:gridSpan w:val="3"/>
          </w:tcPr>
          <w:p>
            <w:pPr>
              <w:ind w:left="540"/>
              <w:spacing w:after="0"/>
              <w:rPr>
                <w:sz w:val="20"/>
                <w:szCs w:val="20"/>
                <w:color w:val="auto"/>
              </w:rPr>
            </w:pPr>
            <w:r>
              <w:rPr>
                <w:rFonts w:ascii="Arial" w:cs="Arial" w:eastAsia="Arial" w:hAnsi="Arial"/>
                <w:sz w:val="16"/>
                <w:szCs w:val="16"/>
                <w:i w:val="1"/>
                <w:iCs w:val="1"/>
                <w:color w:val="auto"/>
              </w:rPr>
              <w:t>Registrant’s Annual Report on Form 10-K for the fiscal year ended January 31, 2009</w:t>
            </w: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97</w:t>
      </w:r>
    </w:p>
    <w:p>
      <w:pPr>
        <w:sectPr>
          <w:pgSz w:w="11900" w:h="16838" w:orient="portrait"/>
          <w:cols w:equalWidth="0" w:num="1">
            <w:col w:w="11400"/>
          </w:cols>
          <w:pgMar w:left="240" w:top="125" w:right="25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506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480" w:type="dxa"/>
            <w:vAlign w:val="bottom"/>
          </w:tcPr>
          <w:p>
            <w:pPr>
              <w:spacing w:after="0"/>
              <w:rPr>
                <w:sz w:val="14"/>
                <w:szCs w:val="14"/>
                <w:color w:val="auto"/>
              </w:rPr>
            </w:pPr>
          </w:p>
        </w:tc>
      </w:tr>
      <w:tr>
        <w:trPr>
          <w:trHeight w:val="240"/>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10.15*</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5"/>
              </w:rPr>
              <w:t>Registrant's 2012 Employee Stock Plan (</w:t>
            </w:r>
            <w:r>
              <w:rPr>
                <w:rFonts w:ascii="Arial" w:cs="Arial" w:eastAsia="Arial" w:hAnsi="Arial"/>
                <w:sz w:val="16"/>
                <w:szCs w:val="16"/>
                <w:i w:val="1"/>
                <w:iCs w:val="1"/>
                <w:color w:val="auto"/>
                <w:w w:val="95"/>
              </w:rPr>
              <w:t>incorporated by reference to Exhibit 10.1 filed with the Registrant's Current Report on Form 8-K filed on</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January 6, 2012</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10.16*</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rPr>
              <w:t>Registrant's 2012 Employee Stock Plan Form of Restricted Stock Unit Agreement (</w:t>
            </w:r>
            <w:r>
              <w:rPr>
                <w:rFonts w:ascii="Arial" w:cs="Arial" w:eastAsia="Arial" w:hAnsi="Arial"/>
                <w:sz w:val="16"/>
                <w:szCs w:val="16"/>
                <w:i w:val="1"/>
                <w:iCs w:val="1"/>
                <w:color w:val="auto"/>
              </w:rPr>
              <w:t>incorporated by reference to Exhibit 10.3 filed with the</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Registrant's Current Report on Form 8-K filed on March 13, 2012</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10.17*</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7"/>
              </w:rPr>
              <w:t>Registrant's 2012 Employee Stock Plan Form of Stock Option Agreement (</w:t>
            </w:r>
            <w:r>
              <w:rPr>
                <w:rFonts w:ascii="Arial" w:cs="Arial" w:eastAsia="Arial" w:hAnsi="Arial"/>
                <w:sz w:val="16"/>
                <w:szCs w:val="16"/>
                <w:i w:val="1"/>
                <w:iCs w:val="1"/>
                <w:color w:val="auto"/>
                <w:w w:val="97"/>
              </w:rPr>
              <w:t>incorporated by reference to Exhibit 10.2 filed with the Registrant's</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Current Report on Form 8-K filed on March 13, 2012)</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10.18*</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2"/>
              </w:rPr>
              <w:t xml:space="preserve">Registrant's 2012 Employee Stock Plan Form of Stock Option Agreement (non-U.S. Employees) </w:t>
            </w:r>
            <w:r>
              <w:rPr>
                <w:rFonts w:ascii="Arial" w:cs="Arial" w:eastAsia="Arial" w:hAnsi="Arial"/>
                <w:sz w:val="16"/>
                <w:szCs w:val="16"/>
                <w:i w:val="1"/>
                <w:iCs w:val="1"/>
                <w:color w:val="auto"/>
                <w:w w:val="92"/>
              </w:rPr>
              <w:t>(incorporated by reference to Exhibit 10.4 filed with</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the Registrant's Current Report on Form 8-K filed on March 13, 2012)</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10.19*</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3"/>
              </w:rPr>
              <w:t>Text of amendment to certain stock option agreements (</w:t>
            </w:r>
            <w:r>
              <w:rPr>
                <w:rFonts w:ascii="Arial" w:cs="Arial" w:eastAsia="Arial" w:hAnsi="Arial"/>
                <w:sz w:val="16"/>
                <w:szCs w:val="16"/>
                <w:i w:val="1"/>
                <w:iCs w:val="1"/>
                <w:color w:val="auto"/>
                <w:w w:val="93"/>
              </w:rPr>
              <w:t>incorporated by reference to Exhibit 10.1 filed with the Registrant’s Current Report on Form</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8-K filed on September 22, 2006</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10.20*</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3"/>
              </w:rPr>
              <w:t>Amendments to certain stock option agreements (</w:t>
            </w:r>
            <w:r>
              <w:rPr>
                <w:rFonts w:ascii="Arial" w:cs="Arial" w:eastAsia="Arial" w:hAnsi="Arial"/>
                <w:sz w:val="16"/>
                <w:szCs w:val="16"/>
                <w:i w:val="1"/>
                <w:iCs w:val="1"/>
                <w:color w:val="auto"/>
                <w:w w:val="93"/>
              </w:rPr>
              <w:t>incorporated by reference to Exhibit 10.16 filed with the Registrant’s Annual Report on Form 10-K</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for the fiscal year ended January 31, 2009</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10.21*</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5"/>
              </w:rPr>
              <w:t>Registrant’s 2010 Outside Directors’ Stock Plan (</w:t>
            </w:r>
            <w:r>
              <w:rPr>
                <w:rFonts w:ascii="Arial" w:cs="Arial" w:eastAsia="Arial" w:hAnsi="Arial"/>
                <w:sz w:val="16"/>
                <w:szCs w:val="16"/>
                <w:i w:val="1"/>
                <w:iCs w:val="1"/>
                <w:color w:val="auto"/>
                <w:w w:val="95"/>
              </w:rPr>
              <w:t>incorporated by reference to Exhibit 10.1 filed with the Registrant’s Current Report on Form 8-K</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filed on June 16, 2009</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10.22*</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8"/>
              </w:rPr>
              <w:t>Autodesk, Inc. 2010 Outside Directors’ Stock Plan Form of Stock Option Agreement (</w:t>
            </w:r>
            <w:r>
              <w:rPr>
                <w:rFonts w:ascii="Arial" w:cs="Arial" w:eastAsia="Arial" w:hAnsi="Arial"/>
                <w:sz w:val="16"/>
                <w:szCs w:val="16"/>
                <w:i w:val="1"/>
                <w:iCs w:val="1"/>
                <w:color w:val="auto"/>
                <w:w w:val="98"/>
              </w:rPr>
              <w:t>incorporated by reference to Exhibit 10.1 filed with the</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Registrant’s Current Report on Form 8-K filed on March 31, 2010</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10.23*</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4"/>
              </w:rPr>
              <w:t>Autodesk, Inc. 2010 Outside Directors’ Stock Plan Form of Restricted Stock Award Agreement (</w:t>
            </w:r>
            <w:r>
              <w:rPr>
                <w:rFonts w:ascii="Arial" w:cs="Arial" w:eastAsia="Arial" w:hAnsi="Arial"/>
                <w:sz w:val="16"/>
                <w:szCs w:val="16"/>
                <w:i w:val="1"/>
                <w:iCs w:val="1"/>
                <w:color w:val="auto"/>
                <w:w w:val="94"/>
              </w:rPr>
              <w:t>incorporated by reference to Exhibit 10.2 filed with</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the Registrant’s Current Report on Form 8-K filed on March 31, 2010</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10.24*</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5"/>
              </w:rPr>
              <w:t>Registrant's 2012 Outside Directors' Stock Plan (</w:t>
            </w:r>
            <w:r>
              <w:rPr>
                <w:rFonts w:ascii="Arial" w:cs="Arial" w:eastAsia="Arial" w:hAnsi="Arial"/>
                <w:sz w:val="16"/>
                <w:szCs w:val="16"/>
                <w:i w:val="1"/>
                <w:iCs w:val="1"/>
                <w:color w:val="auto"/>
                <w:w w:val="95"/>
              </w:rPr>
              <w:t>incorporated by reference to Exhibit 10.2 filed with the Registrant's Current Report on Form 8-K</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filed on January 6, 2012</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10.25*</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4"/>
              </w:rPr>
              <w:t xml:space="preserve">Registrant's 2012 Outside Directors' Stock Plan Form of Restricted Stock Unit Agreement </w:t>
            </w:r>
            <w:r>
              <w:rPr>
                <w:rFonts w:ascii="Arial" w:cs="Arial" w:eastAsia="Arial" w:hAnsi="Arial"/>
                <w:sz w:val="16"/>
                <w:szCs w:val="16"/>
                <w:i w:val="1"/>
                <w:iCs w:val="1"/>
                <w:color w:val="auto"/>
                <w:w w:val="94"/>
              </w:rPr>
              <w:t>(incorporated by reference to Exhibit 10.5 filed with the</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Registrant's Current Report on Form 8-K filed on March 13, 2012)</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10.26*</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8"/>
              </w:rPr>
              <w:t>Form of Promise to Make Cash Payment and Option Amendment (U.S. Employees) (</w:t>
            </w:r>
            <w:r>
              <w:rPr>
                <w:rFonts w:ascii="Arial" w:cs="Arial" w:eastAsia="Arial" w:hAnsi="Arial"/>
                <w:sz w:val="16"/>
                <w:szCs w:val="16"/>
                <w:i w:val="1"/>
                <w:iCs w:val="1"/>
                <w:color w:val="auto"/>
                <w:w w:val="98"/>
              </w:rPr>
              <w:t>incorporated by reference to Exhibit 99.1 filed with the</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Registrant’s Current Report on Form 8-K filed on July 27, 2007</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10.27*</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5"/>
              </w:rPr>
              <w:t>Form of Promise to Make Cash Payment and Option Amendment (Canadian Employees) (</w:t>
            </w:r>
            <w:r>
              <w:rPr>
                <w:rFonts w:ascii="Arial" w:cs="Arial" w:eastAsia="Arial" w:hAnsi="Arial"/>
                <w:sz w:val="16"/>
                <w:szCs w:val="16"/>
                <w:i w:val="1"/>
                <w:iCs w:val="1"/>
                <w:color w:val="auto"/>
                <w:w w:val="95"/>
              </w:rPr>
              <w:t>incorporated by reference to Exhibit 99.2 filed with the</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Registrant’s Current Report on Form 8-K filed on July 27, 2007</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10.28*</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2"/>
              </w:rPr>
              <w:t>Registrant’s Executive Incentive Plan, as amended and restated (</w:t>
            </w:r>
            <w:r>
              <w:rPr>
                <w:rFonts w:ascii="Arial" w:cs="Arial" w:eastAsia="Arial" w:hAnsi="Arial"/>
                <w:sz w:val="16"/>
                <w:szCs w:val="16"/>
                <w:i w:val="1"/>
                <w:iCs w:val="1"/>
                <w:color w:val="auto"/>
                <w:w w:val="92"/>
              </w:rPr>
              <w:t>incorporated by reference to Exhibit 10.1 filed with the Registrant’s Current Report</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on Form 8-K filed on June 14, 2010</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10.29*</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3"/>
              </w:rPr>
              <w:t>Registrant’s 2005 Non-Qualified Deferred Compensation Plan, as amended and restated, effective as of January 1, 2008, as further amended and</w:t>
            </w:r>
          </w:p>
        </w:tc>
      </w:tr>
      <w:tr>
        <w:trPr>
          <w:trHeight w:val="203"/>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8"/>
              </w:rPr>
              <w:t xml:space="preserve">restated, effective as of December 31, 2008, as further amended and restated, effective as of January 1, 2010 </w:t>
            </w:r>
            <w:r>
              <w:rPr>
                <w:rFonts w:ascii="Arial" w:cs="Arial" w:eastAsia="Arial" w:hAnsi="Arial"/>
                <w:sz w:val="16"/>
                <w:szCs w:val="16"/>
                <w:i w:val="1"/>
                <w:iCs w:val="1"/>
                <w:color w:val="auto"/>
                <w:w w:val="98"/>
              </w:rPr>
              <w:t>(incorporated by reference to</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Exhibit 10.1 filed with the Registrant’s Quarterly Report on Form 10-Q for the fiscal quarter ended October 31, 2009)</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10.30*</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4"/>
              </w:rPr>
              <w:t>Participants, target awards and payout formulas for fiscal year 2012 under the Registrant’s Executive Incentive Plan (</w:t>
            </w:r>
            <w:r>
              <w:rPr>
                <w:rFonts w:ascii="Arial" w:cs="Arial" w:eastAsia="Arial" w:hAnsi="Arial"/>
                <w:sz w:val="16"/>
                <w:szCs w:val="16"/>
                <w:i w:val="1"/>
                <w:iCs w:val="1"/>
                <w:color w:val="auto"/>
                <w:w w:val="94"/>
              </w:rPr>
              <w:t>incorporated by reference to</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Item 5.02 of the Registrant’s Current Report on Form 8-K filed on March 13, 2012</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10.31*</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2"/>
              </w:rPr>
              <w:t>Executive Change in Control Program, as amended and restated (</w:t>
            </w:r>
            <w:r>
              <w:rPr>
                <w:rFonts w:ascii="Arial" w:cs="Arial" w:eastAsia="Arial" w:hAnsi="Arial"/>
                <w:sz w:val="16"/>
                <w:szCs w:val="16"/>
                <w:i w:val="1"/>
                <w:iCs w:val="1"/>
                <w:color w:val="auto"/>
                <w:w w:val="92"/>
              </w:rPr>
              <w:t>incorporated by reference to Exhibit 10.1 filed with the Registrant’s Current report</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on Form 8-K filed on December 15, 2010</w:t>
            </w:r>
            <w:r>
              <w:rPr>
                <w:rFonts w:ascii="Arial" w:cs="Arial" w:eastAsia="Arial" w:hAnsi="Arial"/>
                <w:sz w:val="16"/>
                <w:szCs w:val="16"/>
                <w:color w:val="auto"/>
              </w:rPr>
              <w:t>)</w:t>
            </w:r>
          </w:p>
        </w:tc>
      </w:tr>
      <w:tr>
        <w:trPr>
          <w:trHeight w:val="37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10.32*</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rPr>
              <w:t>Sub-Plan of the Autodesk, Inc. 1998 Employee Qualified Stock Purchase Plan, as amended and restated (</w:t>
            </w:r>
            <w:r>
              <w:rPr>
                <w:rFonts w:ascii="Arial" w:cs="Arial" w:eastAsia="Arial" w:hAnsi="Arial"/>
                <w:sz w:val="16"/>
                <w:szCs w:val="16"/>
                <w:i w:val="1"/>
                <w:iCs w:val="1"/>
                <w:color w:val="auto"/>
              </w:rPr>
              <w:t>filed herewith</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10.33*</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3"/>
              </w:rPr>
              <w:t>Form of Indemnification Agreement executed by Autodesk and each of its officers and directors (</w:t>
            </w:r>
            <w:r>
              <w:rPr>
                <w:rFonts w:ascii="Arial" w:cs="Arial" w:eastAsia="Arial" w:hAnsi="Arial"/>
                <w:sz w:val="16"/>
                <w:szCs w:val="16"/>
                <w:i w:val="1"/>
                <w:iCs w:val="1"/>
                <w:color w:val="auto"/>
                <w:w w:val="93"/>
              </w:rPr>
              <w:t>incorporated by reference to Exhibit 10.8 filed with</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the Registrant’s Annual Report on Form 10-K for the fiscal year ended January 31, 2005</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10.34*</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1"/>
              </w:rPr>
              <w:t>Second Amended and Restated Employment Agreement between Registrant and Carl Bass dated March 8, 2012 (</w:t>
            </w:r>
            <w:r>
              <w:rPr>
                <w:rFonts w:ascii="Arial" w:cs="Arial" w:eastAsia="Arial" w:hAnsi="Arial"/>
                <w:sz w:val="16"/>
                <w:szCs w:val="16"/>
                <w:i w:val="1"/>
                <w:iCs w:val="1"/>
                <w:color w:val="auto"/>
                <w:w w:val="91"/>
              </w:rPr>
              <w:t>incorporated by reference to Exhibit</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10.1 filed with the Registrant’s Current Report on Form 8-K filed on March 13, 2012</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10.35*</w:t>
            </w:r>
          </w:p>
        </w:tc>
        <w:tc>
          <w:tcPr>
            <w:tcW w:w="10260" w:type="dxa"/>
            <w:vAlign w:val="bottom"/>
            <w:gridSpan w:val="3"/>
          </w:tcPr>
          <w:p>
            <w:pPr>
              <w:ind w:left="540"/>
              <w:spacing w:after="0"/>
              <w:rPr>
                <w:sz w:val="20"/>
                <w:szCs w:val="20"/>
                <w:color w:val="auto"/>
              </w:rPr>
            </w:pPr>
            <w:r>
              <w:rPr>
                <w:rFonts w:ascii="Arial" w:cs="Arial" w:eastAsia="Arial" w:hAnsi="Arial"/>
                <w:sz w:val="16"/>
                <w:szCs w:val="16"/>
                <w:color w:val="auto"/>
                <w:w w:val="94"/>
              </w:rPr>
              <w:t>Relocation Policy Addendum for Mark Hawkins (</w:t>
            </w:r>
            <w:r>
              <w:rPr>
                <w:rFonts w:ascii="Arial" w:cs="Arial" w:eastAsia="Arial" w:hAnsi="Arial"/>
                <w:sz w:val="16"/>
                <w:szCs w:val="16"/>
                <w:i w:val="1"/>
                <w:iCs w:val="1"/>
                <w:color w:val="auto"/>
                <w:w w:val="94"/>
              </w:rPr>
              <w:t>incorporated by reference to Exhibit 10.1 filed with the Registrant's Quarterly Report on Form 10-</w:t>
            </w:r>
          </w:p>
        </w:tc>
      </w:tr>
      <w:tr>
        <w:trPr>
          <w:trHeight w:val="206"/>
        </w:trPr>
        <w:tc>
          <w:tcPr>
            <w:tcW w:w="700" w:type="dxa"/>
            <w:vAlign w:val="bottom"/>
          </w:tcPr>
          <w:p>
            <w:pPr>
              <w:spacing w:after="0"/>
              <w:rPr>
                <w:sz w:val="17"/>
                <w:szCs w:val="17"/>
                <w:color w:val="auto"/>
              </w:rPr>
            </w:pPr>
          </w:p>
        </w:tc>
        <w:tc>
          <w:tcPr>
            <w:tcW w:w="10260" w:type="dxa"/>
            <w:vAlign w:val="bottom"/>
            <w:gridSpan w:val="3"/>
          </w:tcPr>
          <w:p>
            <w:pPr>
              <w:ind w:left="540"/>
              <w:spacing w:after="0"/>
              <w:rPr>
                <w:sz w:val="20"/>
                <w:szCs w:val="20"/>
                <w:color w:val="auto"/>
              </w:rPr>
            </w:pPr>
            <w:r>
              <w:rPr>
                <w:rFonts w:ascii="Arial" w:cs="Arial" w:eastAsia="Arial" w:hAnsi="Arial"/>
                <w:sz w:val="16"/>
                <w:szCs w:val="16"/>
                <w:i w:val="1"/>
                <w:iCs w:val="1"/>
                <w:color w:val="auto"/>
              </w:rPr>
              <w:t>Q for the fiscal quarter ended October 21, 2011</w:t>
            </w: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98</w:t>
      </w:r>
    </w:p>
    <w:p>
      <w:pPr>
        <w:sectPr>
          <w:pgSz w:w="11900" w:h="16838" w:orient="portrait"/>
          <w:cols w:equalWidth="0" w:num="1">
            <w:col w:w="11360"/>
          </w:cols>
          <w:pgMar w:left="240" w:top="125" w:right="29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506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500" w:type="dxa"/>
            <w:vAlign w:val="bottom"/>
          </w:tcPr>
          <w:p>
            <w:pPr>
              <w:spacing w:after="0"/>
              <w:rPr>
                <w:sz w:val="14"/>
                <w:szCs w:val="14"/>
                <w:color w:val="auto"/>
              </w:rPr>
            </w:pPr>
          </w:p>
        </w:tc>
      </w:tr>
      <w:tr>
        <w:trPr>
          <w:trHeight w:val="362"/>
        </w:trPr>
        <w:tc>
          <w:tcPr>
            <w:tcW w:w="700" w:type="dxa"/>
            <w:vAlign w:val="bottom"/>
          </w:tcPr>
          <w:p>
            <w:pPr>
              <w:jc w:val="center"/>
              <w:ind w:left="40"/>
              <w:spacing w:after="0"/>
              <w:rPr>
                <w:sz w:val="20"/>
                <w:szCs w:val="20"/>
                <w:color w:val="auto"/>
              </w:rPr>
            </w:pPr>
            <w:r>
              <w:rPr>
                <w:rFonts w:ascii="Arial" w:cs="Arial" w:eastAsia="Arial" w:hAnsi="Arial"/>
                <w:sz w:val="16"/>
                <w:szCs w:val="16"/>
                <w:color w:val="auto"/>
                <w:w w:val="99"/>
              </w:rPr>
              <w:t>10.36*</w:t>
            </w:r>
          </w:p>
        </w:tc>
        <w:tc>
          <w:tcPr>
            <w:tcW w:w="10280" w:type="dxa"/>
            <w:vAlign w:val="bottom"/>
            <w:gridSpan w:val="3"/>
          </w:tcPr>
          <w:p>
            <w:pPr>
              <w:ind w:left="540"/>
              <w:spacing w:after="0"/>
              <w:rPr>
                <w:sz w:val="20"/>
                <w:szCs w:val="20"/>
                <w:color w:val="auto"/>
              </w:rPr>
            </w:pPr>
            <w:r>
              <w:rPr>
                <w:rFonts w:ascii="Arial" w:cs="Arial" w:eastAsia="Arial" w:hAnsi="Arial"/>
                <w:sz w:val="16"/>
                <w:szCs w:val="16"/>
                <w:color w:val="auto"/>
                <w:w w:val="91"/>
              </w:rPr>
              <w:t>Registrant’s Equity Incentive Deferral Plan as amended and restated effective as of June 12, 2008 (</w:t>
            </w:r>
            <w:r>
              <w:rPr>
                <w:rFonts w:ascii="Arial" w:cs="Arial" w:eastAsia="Arial" w:hAnsi="Arial"/>
                <w:sz w:val="16"/>
                <w:szCs w:val="16"/>
                <w:i w:val="1"/>
                <w:iCs w:val="1"/>
                <w:color w:val="auto"/>
                <w:w w:val="91"/>
              </w:rPr>
              <w:t>incorporated by reference to Exhibit 10.4 filed with</w:t>
            </w:r>
          </w:p>
        </w:tc>
      </w:tr>
      <w:tr>
        <w:trPr>
          <w:trHeight w:val="206"/>
        </w:trPr>
        <w:tc>
          <w:tcPr>
            <w:tcW w:w="700" w:type="dxa"/>
            <w:vAlign w:val="bottom"/>
          </w:tcPr>
          <w:p>
            <w:pPr>
              <w:spacing w:after="0"/>
              <w:rPr>
                <w:sz w:val="17"/>
                <w:szCs w:val="17"/>
                <w:color w:val="auto"/>
              </w:rPr>
            </w:pPr>
          </w:p>
        </w:tc>
        <w:tc>
          <w:tcPr>
            <w:tcW w:w="10280" w:type="dxa"/>
            <w:vAlign w:val="bottom"/>
            <w:gridSpan w:val="3"/>
          </w:tcPr>
          <w:p>
            <w:pPr>
              <w:ind w:left="540"/>
              <w:spacing w:after="0"/>
              <w:rPr>
                <w:sz w:val="20"/>
                <w:szCs w:val="20"/>
                <w:color w:val="auto"/>
              </w:rPr>
            </w:pPr>
            <w:r>
              <w:rPr>
                <w:rFonts w:ascii="Arial" w:cs="Arial" w:eastAsia="Arial" w:hAnsi="Arial"/>
                <w:sz w:val="16"/>
                <w:szCs w:val="16"/>
                <w:i w:val="1"/>
                <w:iCs w:val="1"/>
                <w:color w:val="auto"/>
              </w:rPr>
              <w:t>the Registrant’s Quarterly Report on Form 10-Q for the fiscal quarter ended July 31, 2008</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10.37*</w:t>
            </w:r>
          </w:p>
        </w:tc>
        <w:tc>
          <w:tcPr>
            <w:tcW w:w="10280" w:type="dxa"/>
            <w:vAlign w:val="bottom"/>
            <w:gridSpan w:val="3"/>
          </w:tcPr>
          <w:p>
            <w:pPr>
              <w:ind w:left="540"/>
              <w:spacing w:after="0"/>
              <w:rPr>
                <w:sz w:val="20"/>
                <w:szCs w:val="20"/>
                <w:color w:val="auto"/>
              </w:rPr>
            </w:pPr>
            <w:r>
              <w:rPr>
                <w:rFonts w:ascii="Arial" w:cs="Arial" w:eastAsia="Arial" w:hAnsi="Arial"/>
                <w:sz w:val="16"/>
                <w:szCs w:val="16"/>
                <w:color w:val="auto"/>
                <w:w w:val="92"/>
              </w:rPr>
              <w:t xml:space="preserve">Amendment to Registrant's Equity Incentive Deferral Plan effective as of February 17, 2012 </w:t>
            </w:r>
            <w:r>
              <w:rPr>
                <w:rFonts w:ascii="Arial" w:cs="Arial" w:eastAsia="Arial" w:hAnsi="Arial"/>
                <w:sz w:val="16"/>
                <w:szCs w:val="16"/>
                <w:i w:val="1"/>
                <w:iCs w:val="1"/>
                <w:color w:val="auto"/>
                <w:w w:val="92"/>
              </w:rPr>
              <w:t>(incorporated by reference to Exhibit 10.37 filed with the</w:t>
            </w:r>
          </w:p>
        </w:tc>
      </w:tr>
      <w:tr>
        <w:trPr>
          <w:trHeight w:val="206"/>
        </w:trPr>
        <w:tc>
          <w:tcPr>
            <w:tcW w:w="700" w:type="dxa"/>
            <w:vAlign w:val="bottom"/>
          </w:tcPr>
          <w:p>
            <w:pPr>
              <w:spacing w:after="0"/>
              <w:rPr>
                <w:sz w:val="17"/>
                <w:szCs w:val="17"/>
                <w:color w:val="auto"/>
              </w:rPr>
            </w:pPr>
          </w:p>
        </w:tc>
        <w:tc>
          <w:tcPr>
            <w:tcW w:w="10280" w:type="dxa"/>
            <w:vAlign w:val="bottom"/>
            <w:gridSpan w:val="3"/>
          </w:tcPr>
          <w:p>
            <w:pPr>
              <w:ind w:left="540"/>
              <w:spacing w:after="0" w:line="184" w:lineRule="exact"/>
              <w:rPr>
                <w:sz w:val="20"/>
                <w:szCs w:val="20"/>
                <w:color w:val="auto"/>
              </w:rPr>
            </w:pPr>
            <w:r>
              <w:rPr>
                <w:rFonts w:ascii="Arial" w:cs="Arial" w:eastAsia="Arial" w:hAnsi="Arial"/>
                <w:sz w:val="16"/>
                <w:szCs w:val="16"/>
                <w:i w:val="1"/>
                <w:iCs w:val="1"/>
                <w:color w:val="auto"/>
              </w:rPr>
              <w:t>Registrant's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for the fiscal year ended January 31, 2012)</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10.38*</w:t>
            </w:r>
          </w:p>
        </w:tc>
        <w:tc>
          <w:tcPr>
            <w:tcW w:w="10280" w:type="dxa"/>
            <w:vAlign w:val="bottom"/>
            <w:gridSpan w:val="3"/>
          </w:tcPr>
          <w:p>
            <w:pPr>
              <w:ind w:left="540"/>
              <w:spacing w:after="0"/>
              <w:rPr>
                <w:sz w:val="20"/>
                <w:szCs w:val="20"/>
                <w:color w:val="auto"/>
              </w:rPr>
            </w:pPr>
            <w:r>
              <w:rPr>
                <w:rFonts w:ascii="Arial" w:cs="Arial" w:eastAsia="Arial" w:hAnsi="Arial"/>
                <w:sz w:val="16"/>
                <w:szCs w:val="16"/>
                <w:color w:val="auto"/>
              </w:rPr>
              <w:t>Description of Sales Commission Plan (</w:t>
            </w:r>
            <w:r>
              <w:rPr>
                <w:rFonts w:ascii="Arial" w:cs="Arial" w:eastAsia="Arial" w:hAnsi="Arial"/>
                <w:sz w:val="16"/>
                <w:szCs w:val="16"/>
                <w:i w:val="1"/>
                <w:iCs w:val="1"/>
                <w:color w:val="auto"/>
              </w:rPr>
              <w:t>incorporated by reference to Item 5.02 of the Registrant’s Current</w:t>
            </w:r>
          </w:p>
        </w:tc>
      </w:tr>
      <w:tr>
        <w:trPr>
          <w:trHeight w:val="206"/>
        </w:trPr>
        <w:tc>
          <w:tcPr>
            <w:tcW w:w="700" w:type="dxa"/>
            <w:vAlign w:val="bottom"/>
          </w:tcPr>
          <w:p>
            <w:pPr>
              <w:spacing w:after="0"/>
              <w:rPr>
                <w:sz w:val="17"/>
                <w:szCs w:val="17"/>
                <w:color w:val="auto"/>
              </w:rPr>
            </w:pPr>
          </w:p>
        </w:tc>
        <w:tc>
          <w:tcPr>
            <w:tcW w:w="10280" w:type="dxa"/>
            <w:vAlign w:val="bottom"/>
            <w:gridSpan w:val="3"/>
          </w:tcPr>
          <w:p>
            <w:pPr>
              <w:ind w:left="540"/>
              <w:spacing w:after="0"/>
              <w:rPr>
                <w:sz w:val="20"/>
                <w:szCs w:val="20"/>
                <w:color w:val="auto"/>
              </w:rPr>
            </w:pPr>
            <w:r>
              <w:rPr>
                <w:rFonts w:ascii="Arial" w:cs="Arial" w:eastAsia="Arial" w:hAnsi="Arial"/>
                <w:sz w:val="16"/>
                <w:szCs w:val="16"/>
                <w:i w:val="1"/>
                <w:iCs w:val="1"/>
                <w:color w:val="auto"/>
              </w:rPr>
              <w:t>Report on Form 8-K filed on March 13, 2012</w:t>
            </w:r>
            <w:r>
              <w:rPr>
                <w:rFonts w:ascii="Arial" w:cs="Arial" w:eastAsia="Arial" w:hAnsi="Arial"/>
                <w:sz w:val="16"/>
                <w:szCs w:val="16"/>
                <w:color w:val="auto"/>
              </w:rPr>
              <w:t>)</w:t>
            </w:r>
          </w:p>
        </w:tc>
      </w:tr>
      <w:tr>
        <w:trPr>
          <w:trHeight w:val="42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10.39</w:t>
            </w:r>
          </w:p>
        </w:tc>
        <w:tc>
          <w:tcPr>
            <w:tcW w:w="10280" w:type="dxa"/>
            <w:vAlign w:val="bottom"/>
            <w:gridSpan w:val="3"/>
          </w:tcPr>
          <w:p>
            <w:pPr>
              <w:ind w:left="540"/>
              <w:spacing w:after="0"/>
              <w:rPr>
                <w:sz w:val="20"/>
                <w:szCs w:val="20"/>
                <w:color w:val="auto"/>
              </w:rPr>
            </w:pPr>
            <w:r>
              <w:rPr>
                <w:rFonts w:ascii="Arial" w:cs="Arial" w:eastAsia="Arial" w:hAnsi="Arial"/>
                <w:sz w:val="16"/>
                <w:szCs w:val="16"/>
                <w:color w:val="auto"/>
                <w:w w:val="93"/>
              </w:rPr>
              <w:t>Office Lease between Registrant and the J.H.S. Trust for 111 McInnis Parkway, San Rafael, CA, as amended (</w:t>
            </w:r>
            <w:r>
              <w:rPr>
                <w:rFonts w:ascii="Arial" w:cs="Arial" w:eastAsia="Arial" w:hAnsi="Arial"/>
                <w:sz w:val="16"/>
                <w:szCs w:val="16"/>
                <w:i w:val="1"/>
                <w:iCs w:val="1"/>
                <w:color w:val="auto"/>
                <w:w w:val="93"/>
              </w:rPr>
              <w:t>incorporated by reference to Exhibit</w:t>
            </w:r>
          </w:p>
        </w:tc>
      </w:tr>
      <w:tr>
        <w:trPr>
          <w:trHeight w:val="206"/>
        </w:trPr>
        <w:tc>
          <w:tcPr>
            <w:tcW w:w="700" w:type="dxa"/>
            <w:vAlign w:val="bottom"/>
          </w:tcPr>
          <w:p>
            <w:pPr>
              <w:spacing w:after="0"/>
              <w:rPr>
                <w:sz w:val="17"/>
                <w:szCs w:val="17"/>
                <w:color w:val="auto"/>
              </w:rPr>
            </w:pPr>
          </w:p>
        </w:tc>
        <w:tc>
          <w:tcPr>
            <w:tcW w:w="10280" w:type="dxa"/>
            <w:vAlign w:val="bottom"/>
            <w:gridSpan w:val="3"/>
          </w:tcPr>
          <w:p>
            <w:pPr>
              <w:ind w:left="540"/>
              <w:spacing w:after="0"/>
              <w:rPr>
                <w:sz w:val="20"/>
                <w:szCs w:val="20"/>
                <w:color w:val="auto"/>
              </w:rPr>
            </w:pPr>
            <w:r>
              <w:rPr>
                <w:rFonts w:ascii="Arial" w:cs="Arial" w:eastAsia="Arial" w:hAnsi="Arial"/>
                <w:sz w:val="16"/>
                <w:szCs w:val="16"/>
                <w:i w:val="1"/>
                <w:iCs w:val="1"/>
                <w:color w:val="auto"/>
              </w:rPr>
              <w:t>10.1 filed with the Registrant’s Quarterly Report on Form 10-Q for the fiscal quarter ended October 31, 2004</w:t>
            </w:r>
            <w:r>
              <w:rPr>
                <w:rFonts w:ascii="Arial" w:cs="Arial" w:eastAsia="Arial" w:hAnsi="Arial"/>
                <w:sz w:val="16"/>
                <w:szCs w:val="16"/>
                <w:color w:val="auto"/>
              </w:rPr>
              <w:t>)</w:t>
            </w:r>
          </w:p>
        </w:tc>
      </w:tr>
      <w:tr>
        <w:trPr>
          <w:trHeight w:val="374"/>
        </w:trPr>
        <w:tc>
          <w:tcPr>
            <w:tcW w:w="700" w:type="dxa"/>
            <w:vAlign w:val="bottom"/>
          </w:tcPr>
          <w:p>
            <w:pPr>
              <w:jc w:val="center"/>
              <w:ind w:left="40"/>
              <w:spacing w:after="0"/>
              <w:rPr>
                <w:sz w:val="20"/>
                <w:szCs w:val="20"/>
                <w:color w:val="auto"/>
              </w:rPr>
            </w:pPr>
            <w:r>
              <w:rPr>
                <w:rFonts w:ascii="Arial" w:cs="Arial" w:eastAsia="Arial" w:hAnsi="Arial"/>
                <w:sz w:val="16"/>
                <w:szCs w:val="16"/>
                <w:color w:val="auto"/>
                <w:w w:val="94"/>
              </w:rPr>
              <w:t>10.40</w:t>
            </w:r>
          </w:p>
        </w:tc>
        <w:tc>
          <w:tcPr>
            <w:tcW w:w="10280" w:type="dxa"/>
            <w:vAlign w:val="bottom"/>
            <w:gridSpan w:val="3"/>
          </w:tcPr>
          <w:p>
            <w:pPr>
              <w:ind w:left="540"/>
              <w:spacing w:after="0"/>
              <w:rPr>
                <w:sz w:val="20"/>
                <w:szCs w:val="20"/>
                <w:color w:val="auto"/>
              </w:rPr>
            </w:pPr>
            <w:r>
              <w:rPr>
                <w:rFonts w:ascii="Arial" w:cs="Arial" w:eastAsia="Arial" w:hAnsi="Arial"/>
                <w:sz w:val="16"/>
                <w:szCs w:val="16"/>
                <w:color w:val="auto"/>
                <w:w w:val="91"/>
              </w:rPr>
              <w:t xml:space="preserve">Fourth Amendment to Lease between Registrant and the J.H.S. Holdings L.P. for 111 McInnis Parkway, San Rafael, CA </w:t>
            </w:r>
            <w:r>
              <w:rPr>
                <w:rFonts w:ascii="Arial" w:cs="Arial" w:eastAsia="Arial" w:hAnsi="Arial"/>
                <w:sz w:val="16"/>
                <w:szCs w:val="16"/>
                <w:i w:val="1"/>
                <w:iCs w:val="1"/>
                <w:color w:val="auto"/>
                <w:w w:val="91"/>
              </w:rPr>
              <w:t>(incorporated by reference to</w:t>
            </w:r>
          </w:p>
        </w:tc>
      </w:tr>
      <w:tr>
        <w:trPr>
          <w:trHeight w:val="206"/>
        </w:trPr>
        <w:tc>
          <w:tcPr>
            <w:tcW w:w="700" w:type="dxa"/>
            <w:vAlign w:val="bottom"/>
          </w:tcPr>
          <w:p>
            <w:pPr>
              <w:spacing w:after="0"/>
              <w:rPr>
                <w:sz w:val="17"/>
                <w:szCs w:val="17"/>
                <w:color w:val="auto"/>
              </w:rPr>
            </w:pPr>
          </w:p>
        </w:tc>
        <w:tc>
          <w:tcPr>
            <w:tcW w:w="10280" w:type="dxa"/>
            <w:vAlign w:val="bottom"/>
            <w:gridSpan w:val="3"/>
          </w:tcPr>
          <w:p>
            <w:pPr>
              <w:ind w:left="540"/>
              <w:spacing w:after="0" w:line="184" w:lineRule="exact"/>
              <w:rPr>
                <w:sz w:val="20"/>
                <w:szCs w:val="20"/>
                <w:color w:val="auto"/>
              </w:rPr>
            </w:pPr>
            <w:r>
              <w:rPr>
                <w:rFonts w:ascii="Arial" w:cs="Arial" w:eastAsia="Arial" w:hAnsi="Arial"/>
                <w:sz w:val="16"/>
                <w:szCs w:val="16"/>
                <w:i w:val="1"/>
                <w:iCs w:val="1"/>
                <w:color w:val="auto"/>
              </w:rPr>
              <w:t>Exhibit 10.30 filed with the Registrant’s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for the fiscal year ended January 31, 2010)</w:t>
            </w:r>
          </w:p>
        </w:tc>
      </w:tr>
      <w:tr>
        <w:trPr>
          <w:trHeight w:val="374"/>
        </w:trPr>
        <w:tc>
          <w:tcPr>
            <w:tcW w:w="700" w:type="dxa"/>
            <w:vAlign w:val="bottom"/>
          </w:tcPr>
          <w:p>
            <w:pPr>
              <w:jc w:val="center"/>
              <w:ind w:left="40"/>
              <w:spacing w:after="0"/>
              <w:rPr>
                <w:sz w:val="20"/>
                <w:szCs w:val="20"/>
                <w:color w:val="auto"/>
              </w:rPr>
            </w:pPr>
            <w:r>
              <w:rPr>
                <w:rFonts w:ascii="Arial" w:cs="Arial" w:eastAsia="Arial" w:hAnsi="Arial"/>
                <w:sz w:val="16"/>
                <w:szCs w:val="16"/>
                <w:color w:val="auto"/>
                <w:w w:val="94"/>
              </w:rPr>
              <w:t>10.41</w:t>
            </w:r>
          </w:p>
        </w:tc>
        <w:tc>
          <w:tcPr>
            <w:tcW w:w="10280" w:type="dxa"/>
            <w:vAlign w:val="bottom"/>
            <w:gridSpan w:val="3"/>
          </w:tcPr>
          <w:p>
            <w:pPr>
              <w:ind w:left="540"/>
              <w:spacing w:after="0"/>
              <w:rPr>
                <w:sz w:val="20"/>
                <w:szCs w:val="20"/>
                <w:color w:val="auto"/>
              </w:rPr>
            </w:pPr>
            <w:r>
              <w:rPr>
                <w:rFonts w:ascii="Arial" w:cs="Arial" w:eastAsia="Arial" w:hAnsi="Arial"/>
                <w:sz w:val="16"/>
                <w:szCs w:val="16"/>
                <w:color w:val="auto"/>
                <w:w w:val="97"/>
              </w:rPr>
              <w:t>Credit Agreement between Registrant and CITIBANK, N.A. dated as of May 26, 2011 (</w:t>
            </w:r>
            <w:r>
              <w:rPr>
                <w:rFonts w:ascii="Arial" w:cs="Arial" w:eastAsia="Arial" w:hAnsi="Arial"/>
                <w:sz w:val="16"/>
                <w:szCs w:val="16"/>
                <w:i w:val="1"/>
                <w:iCs w:val="1"/>
                <w:color w:val="auto"/>
                <w:w w:val="97"/>
              </w:rPr>
              <w:t>incorporated by reference to Exhibit 10.1 filed with the</w:t>
            </w:r>
          </w:p>
        </w:tc>
      </w:tr>
      <w:tr>
        <w:trPr>
          <w:trHeight w:val="206"/>
        </w:trPr>
        <w:tc>
          <w:tcPr>
            <w:tcW w:w="700" w:type="dxa"/>
            <w:vAlign w:val="bottom"/>
          </w:tcPr>
          <w:p>
            <w:pPr>
              <w:spacing w:after="0"/>
              <w:rPr>
                <w:sz w:val="17"/>
                <w:szCs w:val="17"/>
                <w:color w:val="auto"/>
              </w:rPr>
            </w:pPr>
          </w:p>
        </w:tc>
        <w:tc>
          <w:tcPr>
            <w:tcW w:w="10280" w:type="dxa"/>
            <w:vAlign w:val="bottom"/>
            <w:gridSpan w:val="3"/>
          </w:tcPr>
          <w:p>
            <w:pPr>
              <w:ind w:left="540"/>
              <w:spacing w:after="0"/>
              <w:rPr>
                <w:sz w:val="20"/>
                <w:szCs w:val="20"/>
                <w:color w:val="auto"/>
              </w:rPr>
            </w:pPr>
            <w:r>
              <w:rPr>
                <w:rFonts w:ascii="Arial" w:cs="Arial" w:eastAsia="Arial" w:hAnsi="Arial"/>
                <w:sz w:val="16"/>
                <w:szCs w:val="16"/>
                <w:i w:val="1"/>
                <w:iCs w:val="1"/>
                <w:color w:val="auto"/>
              </w:rPr>
              <w:t>Registrant’s Current Report on Form 8-K filed on May 27, 2011</w:t>
            </w:r>
            <w:r>
              <w:rPr>
                <w:rFonts w:ascii="Arial" w:cs="Arial" w:eastAsia="Arial" w:hAnsi="Arial"/>
                <w:sz w:val="16"/>
                <w:szCs w:val="16"/>
                <w:color w:val="auto"/>
              </w:rPr>
              <w:t>)</w:t>
            </w:r>
          </w:p>
        </w:tc>
      </w:tr>
      <w:tr>
        <w:trPr>
          <w:trHeight w:val="378"/>
        </w:trPr>
        <w:tc>
          <w:tcPr>
            <w:tcW w:w="700" w:type="dxa"/>
            <w:vAlign w:val="bottom"/>
          </w:tcPr>
          <w:p>
            <w:pPr>
              <w:jc w:val="center"/>
              <w:ind w:left="40"/>
              <w:spacing w:after="0"/>
              <w:rPr>
                <w:sz w:val="20"/>
                <w:szCs w:val="20"/>
                <w:color w:val="auto"/>
              </w:rPr>
            </w:pPr>
            <w:r>
              <w:rPr>
                <w:rFonts w:ascii="Arial" w:cs="Arial" w:eastAsia="Arial" w:hAnsi="Arial"/>
                <w:sz w:val="16"/>
                <w:szCs w:val="16"/>
                <w:color w:val="auto"/>
                <w:w w:val="96"/>
              </w:rPr>
              <w:t>21.1</w:t>
            </w:r>
          </w:p>
        </w:tc>
        <w:tc>
          <w:tcPr>
            <w:tcW w:w="10280" w:type="dxa"/>
            <w:vAlign w:val="bottom"/>
            <w:gridSpan w:val="3"/>
          </w:tcPr>
          <w:p>
            <w:pPr>
              <w:ind w:left="540"/>
              <w:spacing w:after="0"/>
              <w:rPr>
                <w:sz w:val="20"/>
                <w:szCs w:val="20"/>
                <w:color w:val="auto"/>
              </w:rPr>
            </w:pPr>
            <w:r>
              <w:rPr>
                <w:rFonts w:ascii="Arial" w:cs="Arial" w:eastAsia="Arial" w:hAnsi="Arial"/>
                <w:sz w:val="16"/>
                <w:szCs w:val="16"/>
                <w:color w:val="auto"/>
              </w:rPr>
              <w:t xml:space="preserve">List of Subsidiaries </w:t>
            </w:r>
            <w:r>
              <w:rPr>
                <w:rFonts w:ascii="Arial" w:cs="Arial" w:eastAsia="Arial" w:hAnsi="Arial"/>
                <w:sz w:val="16"/>
                <w:szCs w:val="16"/>
                <w:i w:val="1"/>
                <w:iCs w:val="1"/>
                <w:color w:val="auto"/>
              </w:rPr>
              <w:t>(filed herewith)</w:t>
            </w:r>
          </w:p>
        </w:tc>
      </w:tr>
      <w:tr>
        <w:trPr>
          <w:trHeight w:val="378"/>
        </w:trPr>
        <w:tc>
          <w:tcPr>
            <w:tcW w:w="700" w:type="dxa"/>
            <w:vAlign w:val="bottom"/>
          </w:tcPr>
          <w:p>
            <w:pPr>
              <w:jc w:val="center"/>
              <w:ind w:left="40"/>
              <w:spacing w:after="0"/>
              <w:rPr>
                <w:sz w:val="20"/>
                <w:szCs w:val="20"/>
                <w:color w:val="auto"/>
              </w:rPr>
            </w:pPr>
            <w:r>
              <w:rPr>
                <w:rFonts w:ascii="Arial" w:cs="Arial" w:eastAsia="Arial" w:hAnsi="Arial"/>
                <w:sz w:val="16"/>
                <w:szCs w:val="16"/>
                <w:color w:val="auto"/>
                <w:w w:val="96"/>
              </w:rPr>
              <w:t>23.1</w:t>
            </w:r>
          </w:p>
        </w:tc>
        <w:tc>
          <w:tcPr>
            <w:tcW w:w="10280" w:type="dxa"/>
            <w:vAlign w:val="bottom"/>
            <w:gridSpan w:val="3"/>
          </w:tcPr>
          <w:p>
            <w:pPr>
              <w:ind w:left="540"/>
              <w:spacing w:after="0"/>
              <w:rPr>
                <w:sz w:val="20"/>
                <w:szCs w:val="20"/>
                <w:color w:val="auto"/>
              </w:rPr>
            </w:pPr>
            <w:r>
              <w:rPr>
                <w:rFonts w:ascii="Arial" w:cs="Arial" w:eastAsia="Arial" w:hAnsi="Arial"/>
                <w:sz w:val="16"/>
                <w:szCs w:val="16"/>
                <w:color w:val="auto"/>
              </w:rPr>
              <w:t xml:space="preserve">Consent of Independent Registered Public Accounting Firm (Ernst &amp; Young LLP) </w:t>
            </w:r>
            <w:r>
              <w:rPr>
                <w:rFonts w:ascii="Arial" w:cs="Arial" w:eastAsia="Arial" w:hAnsi="Arial"/>
                <w:sz w:val="16"/>
                <w:szCs w:val="16"/>
                <w:i w:val="1"/>
                <w:iCs w:val="1"/>
                <w:color w:val="auto"/>
              </w:rPr>
              <w:t>(filed herewith)</w:t>
            </w:r>
          </w:p>
        </w:tc>
      </w:tr>
      <w:tr>
        <w:trPr>
          <w:trHeight w:val="378"/>
        </w:trPr>
        <w:tc>
          <w:tcPr>
            <w:tcW w:w="700" w:type="dxa"/>
            <w:vAlign w:val="bottom"/>
          </w:tcPr>
          <w:p>
            <w:pPr>
              <w:jc w:val="center"/>
              <w:ind w:left="40"/>
              <w:spacing w:after="0"/>
              <w:rPr>
                <w:sz w:val="20"/>
                <w:szCs w:val="20"/>
                <w:color w:val="auto"/>
              </w:rPr>
            </w:pPr>
            <w:r>
              <w:rPr>
                <w:rFonts w:ascii="Arial" w:cs="Arial" w:eastAsia="Arial" w:hAnsi="Arial"/>
                <w:sz w:val="16"/>
                <w:szCs w:val="16"/>
                <w:color w:val="auto"/>
                <w:w w:val="96"/>
              </w:rPr>
              <w:t>24.1</w:t>
            </w:r>
          </w:p>
        </w:tc>
        <w:tc>
          <w:tcPr>
            <w:tcW w:w="10280" w:type="dxa"/>
            <w:vAlign w:val="bottom"/>
            <w:gridSpan w:val="3"/>
          </w:tcPr>
          <w:p>
            <w:pPr>
              <w:ind w:left="540"/>
              <w:spacing w:after="0"/>
              <w:rPr>
                <w:sz w:val="20"/>
                <w:szCs w:val="20"/>
                <w:color w:val="auto"/>
              </w:rPr>
            </w:pPr>
            <w:r>
              <w:rPr>
                <w:rFonts w:ascii="Arial" w:cs="Arial" w:eastAsia="Arial" w:hAnsi="Arial"/>
                <w:sz w:val="16"/>
                <w:szCs w:val="16"/>
                <w:color w:val="auto"/>
              </w:rPr>
              <w:t>Power of Attorney (contained in the signature page to this Annual Report)</w:t>
            </w:r>
          </w:p>
        </w:tc>
      </w:tr>
      <w:tr>
        <w:trPr>
          <w:trHeight w:val="378"/>
        </w:trPr>
        <w:tc>
          <w:tcPr>
            <w:tcW w:w="700" w:type="dxa"/>
            <w:vAlign w:val="bottom"/>
          </w:tcPr>
          <w:p>
            <w:pPr>
              <w:jc w:val="center"/>
              <w:ind w:left="40"/>
              <w:spacing w:after="0"/>
              <w:rPr>
                <w:sz w:val="20"/>
                <w:szCs w:val="20"/>
                <w:color w:val="auto"/>
              </w:rPr>
            </w:pPr>
            <w:r>
              <w:rPr>
                <w:rFonts w:ascii="Arial" w:cs="Arial" w:eastAsia="Arial" w:hAnsi="Arial"/>
                <w:sz w:val="16"/>
                <w:szCs w:val="16"/>
                <w:color w:val="auto"/>
                <w:w w:val="96"/>
              </w:rPr>
              <w:t>31.1</w:t>
            </w:r>
          </w:p>
        </w:tc>
        <w:tc>
          <w:tcPr>
            <w:tcW w:w="10280" w:type="dxa"/>
            <w:vAlign w:val="bottom"/>
            <w:gridSpan w:val="3"/>
          </w:tcPr>
          <w:p>
            <w:pPr>
              <w:ind w:left="540"/>
              <w:spacing w:after="0"/>
              <w:rPr>
                <w:sz w:val="20"/>
                <w:szCs w:val="20"/>
                <w:color w:val="auto"/>
              </w:rPr>
            </w:pPr>
            <w:r>
              <w:rPr>
                <w:rFonts w:ascii="Arial" w:cs="Arial" w:eastAsia="Arial" w:hAnsi="Arial"/>
                <w:sz w:val="16"/>
                <w:szCs w:val="16"/>
                <w:color w:val="auto"/>
              </w:rPr>
              <w:t>Certification of Chief Executive Officer pursuant to Rule 13a-14(a) of the Securities Exchange Act of 1934 (</w:t>
            </w:r>
            <w:r>
              <w:rPr>
                <w:rFonts w:ascii="Arial" w:cs="Arial" w:eastAsia="Arial" w:hAnsi="Arial"/>
                <w:sz w:val="16"/>
                <w:szCs w:val="16"/>
                <w:i w:val="1"/>
                <w:iCs w:val="1"/>
                <w:color w:val="auto"/>
              </w:rPr>
              <w:t>filed herewith</w:t>
            </w:r>
            <w:r>
              <w:rPr>
                <w:rFonts w:ascii="Arial" w:cs="Arial" w:eastAsia="Arial" w:hAnsi="Arial"/>
                <w:sz w:val="16"/>
                <w:szCs w:val="16"/>
                <w:color w:val="auto"/>
              </w:rPr>
              <w:t>)</w:t>
            </w:r>
          </w:p>
        </w:tc>
      </w:tr>
      <w:tr>
        <w:trPr>
          <w:trHeight w:val="378"/>
        </w:trPr>
        <w:tc>
          <w:tcPr>
            <w:tcW w:w="700" w:type="dxa"/>
            <w:vAlign w:val="bottom"/>
          </w:tcPr>
          <w:p>
            <w:pPr>
              <w:jc w:val="center"/>
              <w:ind w:left="40"/>
              <w:spacing w:after="0"/>
              <w:rPr>
                <w:sz w:val="20"/>
                <w:szCs w:val="20"/>
                <w:color w:val="auto"/>
              </w:rPr>
            </w:pPr>
            <w:r>
              <w:rPr>
                <w:rFonts w:ascii="Arial" w:cs="Arial" w:eastAsia="Arial" w:hAnsi="Arial"/>
                <w:sz w:val="16"/>
                <w:szCs w:val="16"/>
                <w:color w:val="auto"/>
                <w:w w:val="96"/>
              </w:rPr>
              <w:t>31.2</w:t>
            </w:r>
          </w:p>
        </w:tc>
        <w:tc>
          <w:tcPr>
            <w:tcW w:w="10280" w:type="dxa"/>
            <w:vAlign w:val="bottom"/>
            <w:gridSpan w:val="3"/>
          </w:tcPr>
          <w:p>
            <w:pPr>
              <w:ind w:left="540"/>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 (</w:t>
            </w:r>
            <w:r>
              <w:rPr>
                <w:rFonts w:ascii="Arial" w:cs="Arial" w:eastAsia="Arial" w:hAnsi="Arial"/>
                <w:sz w:val="16"/>
                <w:szCs w:val="16"/>
                <w:i w:val="1"/>
                <w:iCs w:val="1"/>
                <w:color w:val="auto"/>
              </w:rPr>
              <w:t>filed herewith</w:t>
            </w:r>
            <w:r>
              <w:rPr>
                <w:rFonts w:ascii="Arial" w:cs="Arial" w:eastAsia="Arial" w:hAnsi="Arial"/>
                <w:sz w:val="16"/>
                <w:szCs w:val="16"/>
                <w:color w:val="auto"/>
              </w:rPr>
              <w:t>)</w:t>
            </w:r>
          </w:p>
        </w:tc>
      </w:tr>
      <w:tr>
        <w:trPr>
          <w:trHeight w:val="374"/>
        </w:trPr>
        <w:tc>
          <w:tcPr>
            <w:tcW w:w="700" w:type="dxa"/>
            <w:vAlign w:val="bottom"/>
          </w:tcPr>
          <w:p>
            <w:pPr>
              <w:jc w:val="center"/>
              <w:ind w:left="40"/>
              <w:spacing w:after="0"/>
              <w:rPr>
                <w:sz w:val="20"/>
                <w:szCs w:val="20"/>
                <w:color w:val="auto"/>
              </w:rPr>
            </w:pPr>
            <w:r>
              <w:rPr>
                <w:rFonts w:ascii="Arial" w:cs="Arial" w:eastAsia="Arial" w:hAnsi="Arial"/>
                <w:sz w:val="16"/>
                <w:szCs w:val="16"/>
                <w:color w:val="auto"/>
                <w:w w:val="94"/>
              </w:rPr>
              <w:t>32.1†</w:t>
            </w:r>
          </w:p>
        </w:tc>
        <w:tc>
          <w:tcPr>
            <w:tcW w:w="10280" w:type="dxa"/>
            <w:vAlign w:val="bottom"/>
            <w:gridSpan w:val="3"/>
          </w:tcPr>
          <w:p>
            <w:pPr>
              <w:ind w:left="540"/>
              <w:spacing w:after="0"/>
              <w:rPr>
                <w:sz w:val="20"/>
                <w:szCs w:val="20"/>
                <w:color w:val="auto"/>
              </w:rPr>
            </w:pPr>
            <w:r>
              <w:rPr>
                <w:rFonts w:ascii="Arial" w:cs="Arial" w:eastAsia="Arial" w:hAnsi="Arial"/>
                <w:sz w:val="16"/>
                <w:szCs w:val="16"/>
                <w:color w:val="auto"/>
                <w:w w:val="94"/>
              </w:rPr>
              <w:t>Certification of Chief Executive Officer and Chief Financial Officer pursuant to 18 U.S.C. Section 1350, as adopted pursuant to Section 906 of the</w:t>
            </w:r>
          </w:p>
        </w:tc>
      </w:tr>
      <w:tr>
        <w:trPr>
          <w:trHeight w:val="206"/>
        </w:trPr>
        <w:tc>
          <w:tcPr>
            <w:tcW w:w="700" w:type="dxa"/>
            <w:vAlign w:val="bottom"/>
          </w:tcPr>
          <w:p>
            <w:pPr>
              <w:spacing w:after="0"/>
              <w:rPr>
                <w:sz w:val="17"/>
                <w:szCs w:val="17"/>
                <w:color w:val="auto"/>
              </w:rPr>
            </w:pPr>
          </w:p>
        </w:tc>
        <w:tc>
          <w:tcPr>
            <w:tcW w:w="10280" w:type="dxa"/>
            <w:vAlign w:val="bottom"/>
            <w:gridSpan w:val="3"/>
          </w:tcPr>
          <w:p>
            <w:pPr>
              <w:ind w:left="540"/>
              <w:spacing w:after="0"/>
              <w:rPr>
                <w:sz w:val="20"/>
                <w:szCs w:val="20"/>
                <w:color w:val="auto"/>
              </w:rPr>
            </w:pPr>
            <w:r>
              <w:rPr>
                <w:rFonts w:ascii="Arial" w:cs="Arial" w:eastAsia="Arial" w:hAnsi="Arial"/>
                <w:sz w:val="16"/>
                <w:szCs w:val="16"/>
                <w:color w:val="auto"/>
              </w:rPr>
              <w:t xml:space="preserve">Sarbanes-Oxley Act of 2002 </w:t>
            </w:r>
            <w:r>
              <w:rPr>
                <w:rFonts w:ascii="Arial" w:cs="Arial" w:eastAsia="Arial" w:hAnsi="Arial"/>
                <w:sz w:val="16"/>
                <w:szCs w:val="16"/>
                <w:i w:val="1"/>
                <w:iCs w:val="1"/>
                <w:color w:val="auto"/>
              </w:rPr>
              <w:t>(filed herewith)</w:t>
            </w:r>
          </w:p>
        </w:tc>
      </w:tr>
    </w:tbl>
    <w:p>
      <w:pPr>
        <w:spacing w:after="0" w:line="172" w:lineRule="exact"/>
        <w:rPr>
          <w:sz w:val="20"/>
          <w:szCs w:val="20"/>
          <w:color w:val="auto"/>
        </w:rPr>
      </w:pPr>
    </w:p>
    <w:p>
      <w:pPr>
        <w:ind w:left="380"/>
        <w:spacing w:after="0"/>
        <w:tabs>
          <w:tab w:leader="none" w:pos="1620" w:val="left"/>
        </w:tabs>
        <w:rPr>
          <w:sz w:val="20"/>
          <w:szCs w:val="20"/>
          <w:color w:val="auto"/>
        </w:rPr>
      </w:pPr>
      <w:r>
        <w:rPr>
          <w:rFonts w:ascii="Arial" w:cs="Arial" w:eastAsia="Arial" w:hAnsi="Arial"/>
          <w:sz w:val="16"/>
          <w:szCs w:val="16"/>
          <w:color w:val="auto"/>
        </w:rPr>
        <w:t>101.INS ††</w:t>
      </w:r>
      <w:r>
        <w:rPr>
          <w:sz w:val="20"/>
          <w:szCs w:val="20"/>
          <w:color w:val="auto"/>
        </w:rPr>
        <w:tab/>
      </w:r>
      <w:r>
        <w:rPr>
          <w:rFonts w:ascii="Arial" w:cs="Arial" w:eastAsia="Arial" w:hAnsi="Arial"/>
          <w:sz w:val="15"/>
          <w:szCs w:val="15"/>
          <w:color w:val="auto"/>
        </w:rPr>
        <w:t>XBRL Instance Document</w:t>
      </w:r>
    </w:p>
    <w:p>
      <w:pPr>
        <w:spacing w:after="0" w:line="194"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16"/>
          <w:szCs w:val="16"/>
          <w:color w:val="auto"/>
        </w:rPr>
        <w:t>101.SCH ††</w:t>
      </w:r>
      <w:r>
        <w:rPr>
          <w:sz w:val="20"/>
          <w:szCs w:val="20"/>
          <w:color w:val="auto"/>
        </w:rPr>
        <w:tab/>
      </w:r>
      <w:r>
        <w:rPr>
          <w:rFonts w:ascii="Arial" w:cs="Arial" w:eastAsia="Arial" w:hAnsi="Arial"/>
          <w:sz w:val="14"/>
          <w:szCs w:val="14"/>
          <w:color w:val="auto"/>
        </w:rPr>
        <w:t>XBRL Taxonomy Extension Schema</w:t>
      </w:r>
    </w:p>
    <w:p>
      <w:pPr>
        <w:spacing w:after="0" w:line="194"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16"/>
          <w:szCs w:val="16"/>
          <w:color w:val="auto"/>
        </w:rPr>
        <w:t>101.CAL ††</w:t>
      </w:r>
      <w:r>
        <w:rPr>
          <w:sz w:val="20"/>
          <w:szCs w:val="20"/>
          <w:color w:val="auto"/>
        </w:rPr>
        <w:tab/>
      </w:r>
      <w:r>
        <w:rPr>
          <w:rFonts w:ascii="Arial" w:cs="Arial" w:eastAsia="Arial" w:hAnsi="Arial"/>
          <w:sz w:val="15"/>
          <w:szCs w:val="15"/>
          <w:color w:val="auto"/>
        </w:rPr>
        <w:t>XBRL Taxonomy Extension Calculation Linkbase</w:t>
      </w:r>
    </w:p>
    <w:p>
      <w:pPr>
        <w:spacing w:after="0" w:line="194"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16"/>
          <w:szCs w:val="16"/>
          <w:color w:val="auto"/>
        </w:rPr>
        <w:t>101.DEF ††</w:t>
      </w:r>
      <w:r>
        <w:rPr>
          <w:sz w:val="20"/>
          <w:szCs w:val="20"/>
          <w:color w:val="auto"/>
        </w:rPr>
        <w:tab/>
      </w:r>
      <w:r>
        <w:rPr>
          <w:rFonts w:ascii="Arial" w:cs="Arial" w:eastAsia="Arial" w:hAnsi="Arial"/>
          <w:sz w:val="15"/>
          <w:szCs w:val="15"/>
          <w:color w:val="auto"/>
        </w:rPr>
        <w:t>XBRL Taxonomy Extension Definition Linkbase</w:t>
      </w:r>
    </w:p>
    <w:p>
      <w:pPr>
        <w:spacing w:after="0" w:line="194"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16"/>
          <w:szCs w:val="16"/>
          <w:color w:val="auto"/>
        </w:rPr>
        <w:t>101.LAB ††</w:t>
      </w:r>
      <w:r>
        <w:rPr>
          <w:sz w:val="20"/>
          <w:szCs w:val="20"/>
          <w:color w:val="auto"/>
        </w:rPr>
        <w:tab/>
      </w:r>
      <w:r>
        <w:rPr>
          <w:rFonts w:ascii="Arial" w:cs="Arial" w:eastAsia="Arial" w:hAnsi="Arial"/>
          <w:sz w:val="15"/>
          <w:szCs w:val="15"/>
          <w:color w:val="auto"/>
        </w:rPr>
        <w:t>XBRL Taxonomy Extension Label Linkbase</w:t>
      </w:r>
    </w:p>
    <w:p>
      <w:pPr>
        <w:spacing w:after="0" w:line="194" w:lineRule="exact"/>
        <w:rPr>
          <w:sz w:val="20"/>
          <w:szCs w:val="20"/>
          <w:color w:val="auto"/>
        </w:rPr>
      </w:pPr>
    </w:p>
    <w:p>
      <w:pPr>
        <w:ind w:left="360"/>
        <w:spacing w:after="0"/>
        <w:tabs>
          <w:tab w:leader="none" w:pos="1620" w:val="left"/>
        </w:tabs>
        <w:rPr>
          <w:sz w:val="20"/>
          <w:szCs w:val="20"/>
          <w:color w:val="auto"/>
        </w:rPr>
      </w:pPr>
      <w:r>
        <w:rPr>
          <w:rFonts w:ascii="Arial" w:cs="Arial" w:eastAsia="Arial" w:hAnsi="Arial"/>
          <w:sz w:val="16"/>
          <w:szCs w:val="16"/>
          <w:color w:val="auto"/>
        </w:rPr>
        <w:t>101.PRE ††</w:t>
      </w:r>
      <w:r>
        <w:rPr>
          <w:sz w:val="20"/>
          <w:szCs w:val="20"/>
          <w:color w:val="auto"/>
        </w:rPr>
        <w:tab/>
      </w:r>
      <w:r>
        <w:rPr>
          <w:rFonts w:ascii="Arial" w:cs="Arial" w:eastAsia="Arial" w:hAnsi="Arial"/>
          <w:sz w:val="14"/>
          <w:szCs w:val="14"/>
          <w:color w:val="auto"/>
        </w:rPr>
        <w:t>XBRL Taxonomy Extension Presentation Linkbase</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9" w:lineRule="exact"/>
        <w:rPr>
          <w:sz w:val="20"/>
          <w:szCs w:val="20"/>
          <w:color w:val="auto"/>
        </w:rPr>
      </w:pPr>
    </w:p>
    <w:p>
      <w:pPr>
        <w:ind w:left="420" w:right="180" w:hanging="412"/>
        <w:spacing w:after="0" w:line="281" w:lineRule="auto"/>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Annual Report on Form 10-K, are not deemed filed with the Securities and Exchange Commission and are not to be incorporated by reference into any filing of Autodesk, Inc. under the Securities Act of 1933, as amended, or the Securities Exchange Act of 1934, as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amended, whether made before or after the date of this Form 10-K, irrespective of any general incorporation language contained in such filing.</w:t>
      </w:r>
    </w:p>
    <w:p>
      <w:pPr>
        <w:spacing w:after="0" w:line="5" w:lineRule="exact"/>
        <w:rPr>
          <w:sz w:val="20"/>
          <w:szCs w:val="20"/>
          <w:color w:val="auto"/>
        </w:rPr>
      </w:pPr>
    </w:p>
    <w:p>
      <w:pPr>
        <w:ind w:left="420" w:hanging="412"/>
        <w:spacing w:after="0"/>
        <w:tabs>
          <w:tab w:leader="none" w:pos="4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99</w:t>
      </w:r>
    </w:p>
    <w:p>
      <w:pPr>
        <w:sectPr>
          <w:pgSz w:w="11900" w:h="16838" w:orient="portrait"/>
          <w:cols w:equalWidth="0" w:num="1">
            <w:col w:w="11380"/>
          </w:cols>
          <w:pgMar w:left="240" w:top="125" w:right="27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1998 EMPLOYEE QUALIFIED STOCK PURCHASE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June 10, 2010)</w:t>
      </w:r>
    </w:p>
    <w:p>
      <w:pPr>
        <w:spacing w:after="0" w:line="200" w:lineRule="exact"/>
        <w:rPr>
          <w:sz w:val="20"/>
          <w:szCs w:val="20"/>
          <w:color w:val="auto"/>
        </w:rPr>
      </w:pPr>
    </w:p>
    <w:p>
      <w:pPr>
        <w:spacing w:after="0" w:line="24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constitute the provisions of the 1998 Employee Qualified Stock Purchase Plan (herein called the “Plan”) of Autodesk, Inc. (herein called the “Company”).</w:t>
      </w:r>
    </w:p>
    <w:p>
      <w:pPr>
        <w:spacing w:after="0" w:line="197" w:lineRule="exact"/>
        <w:rPr>
          <w:sz w:val="20"/>
          <w:szCs w:val="20"/>
          <w:color w:val="auto"/>
        </w:rPr>
      </w:pPr>
    </w:p>
    <w:p>
      <w:pPr>
        <w:ind w:right="180" w:firstLine="656"/>
        <w:spacing w:after="0" w:line="329" w:lineRule="auto"/>
        <w:tabs>
          <w:tab w:leader="none" w:pos="1431"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Plan is to provide employees of the Company and its Designated Subsidiaries with an opportunity to purchase Common Stock of the Company through accumulated payroll deductions. It is the intention of the Company to have the Plan qualify as an “Employee Stock Purchase Plan” under Section 423 of the Internal Revenue Code of 1986. The provisions of the Plan shall, accordingly, be construed so as to extend and limit participation in a manner consistent with the requirements of that section of the Code.</w:t>
      </w:r>
    </w:p>
    <w:p>
      <w:pPr>
        <w:spacing w:after="0" w:line="143" w:lineRule="exact"/>
        <w:rPr>
          <w:rFonts w:ascii="Arial" w:cs="Arial" w:eastAsia="Arial" w:hAnsi="Arial"/>
          <w:sz w:val="17"/>
          <w:szCs w:val="17"/>
          <w:color w:val="auto"/>
        </w:rPr>
      </w:pPr>
    </w:p>
    <w:p>
      <w:pPr>
        <w:ind w:left="980" w:hanging="324"/>
        <w:spacing w:after="0"/>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680" w:hanging="375"/>
        <w:spacing w:after="0"/>
        <w:tabs>
          <w:tab w:leader="none" w:pos="1680" w:val="left"/>
        </w:tabs>
        <w:numPr>
          <w:ilvl w:val="2"/>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700" w:hanging="395"/>
        <w:spacing w:after="0"/>
        <w:tabs>
          <w:tab w:leader="none" w:pos="17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680" w:hanging="375"/>
        <w:spacing w:after="0"/>
        <w:tabs>
          <w:tab w:leader="none" w:pos="1680" w:val="left"/>
        </w:tabs>
        <w:numPr>
          <w:ilvl w:val="2"/>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par value $0.01 per share, of the Company.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700" w:hanging="395"/>
        <w:spacing w:after="0"/>
        <w:tabs>
          <w:tab w:leader="none" w:pos="17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Autodesk, Inc., a Delaware corporation.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right="120" w:firstLine="1305"/>
        <w:spacing w:after="0" w:line="277" w:lineRule="auto"/>
        <w:tabs>
          <w:tab w:leader="none" w:pos="1721" w:val="left"/>
        </w:tabs>
        <w:numPr>
          <w:ilvl w:val="2"/>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shall mean all regular straight time earnings, payments for overtime, shift premium and commissions, but exclusive of any incentive compensation, incentive payments, bonuses, or other compensation.</w:t>
      </w:r>
    </w:p>
    <w:p>
      <w:pPr>
        <w:spacing w:after="0" w:line="386" w:lineRule="exact"/>
        <w:rPr>
          <w:rFonts w:ascii="Arial" w:cs="Arial" w:eastAsia="Arial" w:hAnsi="Arial"/>
          <w:sz w:val="18"/>
          <w:szCs w:val="18"/>
          <w:color w:val="auto"/>
        </w:rPr>
      </w:pPr>
    </w:p>
    <w:p>
      <w:pPr>
        <w:ind w:right="80" w:firstLine="1305"/>
        <w:spacing w:after="0" w:line="312" w:lineRule="auto"/>
        <w:tabs>
          <w:tab w:leader="none" w:pos="1656" w:val="left"/>
        </w:tabs>
        <w:numPr>
          <w:ilvl w:val="2"/>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Status as an Employee</w:t>
      </w:r>
      <w:r>
        <w:rPr>
          <w:rFonts w:ascii="Arial" w:cs="Arial" w:eastAsia="Arial" w:hAnsi="Arial"/>
          <w:sz w:val="16"/>
          <w:szCs w:val="16"/>
          <w:color w:val="auto"/>
        </w:rPr>
        <w:t>” shall mean the absence of any interruption or termination of service as an Employee. Continuous Status as an Employee shall not be considered interrupted in the case of a leave of absence agreed to in writing by the Company, provided that such leave is for a period of not more than 90 days or reemployment upon the expiration of such leave is guaranteed by contract or statute.</w:t>
      </w:r>
    </w:p>
    <w:p>
      <w:pPr>
        <w:spacing w:after="0" w:line="362" w:lineRule="exact"/>
        <w:rPr>
          <w:rFonts w:ascii="Arial" w:cs="Arial" w:eastAsia="Arial" w:hAnsi="Arial"/>
          <w:sz w:val="16"/>
          <w:szCs w:val="16"/>
          <w:color w:val="auto"/>
        </w:rPr>
      </w:pPr>
    </w:p>
    <w:p>
      <w:pPr>
        <w:ind w:right="740" w:firstLine="1305"/>
        <w:spacing w:after="0" w:line="277" w:lineRule="auto"/>
        <w:tabs>
          <w:tab w:leader="none" w:pos="1686" w:val="left"/>
        </w:tabs>
        <w:numPr>
          <w:ilvl w:val="2"/>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Subsidiaries</w:t>
      </w:r>
      <w:r>
        <w:rPr>
          <w:rFonts w:ascii="Arial" w:cs="Arial" w:eastAsia="Arial" w:hAnsi="Arial"/>
          <w:sz w:val="18"/>
          <w:szCs w:val="18"/>
          <w:color w:val="auto"/>
        </w:rPr>
        <w:t>” shall mean the Subsidiaries which have been designated by the Board from time to time in its sole discretion as eligible to participate in the Plan.</w:t>
      </w:r>
    </w:p>
    <w:p>
      <w:pPr>
        <w:spacing w:after="0" w:line="386" w:lineRule="exact"/>
        <w:rPr>
          <w:rFonts w:ascii="Arial" w:cs="Arial" w:eastAsia="Arial" w:hAnsi="Arial"/>
          <w:sz w:val="18"/>
          <w:szCs w:val="18"/>
          <w:color w:val="auto"/>
        </w:rPr>
      </w:pPr>
    </w:p>
    <w:p>
      <w:pPr>
        <w:ind w:right="340" w:firstLine="1305"/>
        <w:spacing w:after="0" w:line="277" w:lineRule="auto"/>
        <w:tabs>
          <w:tab w:leader="none" w:pos="1686" w:val="left"/>
        </w:tabs>
        <w:numPr>
          <w:ilvl w:val="2"/>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person, including an officer, who is customarily employed for at least twenty (20) hours per week and more than five (5) months in a calendar year by the Company or one of its Designated Subsidiaries.</w:t>
      </w:r>
    </w:p>
    <w:p>
      <w:pPr>
        <w:spacing w:after="0" w:line="386" w:lineRule="exact"/>
        <w:rPr>
          <w:rFonts w:ascii="Arial" w:cs="Arial" w:eastAsia="Arial" w:hAnsi="Arial"/>
          <w:sz w:val="18"/>
          <w:szCs w:val="18"/>
          <w:color w:val="auto"/>
        </w:rPr>
      </w:pPr>
    </w:p>
    <w:p>
      <w:pPr>
        <w:ind w:left="1660" w:hanging="355"/>
        <w:spacing w:after="0"/>
        <w:tabs>
          <w:tab w:leader="none" w:pos="1660" w:val="left"/>
        </w:tabs>
        <w:numPr>
          <w:ilvl w:val="2"/>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Enrollment Period</w:t>
      </w:r>
      <w:r>
        <w:rPr>
          <w:rFonts w:ascii="Arial" w:cs="Arial" w:eastAsia="Arial" w:hAnsi="Arial"/>
          <w:sz w:val="17"/>
          <w:szCs w:val="17"/>
          <w:color w:val="auto"/>
        </w:rPr>
        <w:t>” shall mean the first fifteen (15) days of the month immediately preceding the month in which an Offering Date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occurs.</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660" w:hanging="355"/>
        <w:spacing w:after="0"/>
        <w:tabs>
          <w:tab w:leader="none" w:pos="1660" w:val="left"/>
        </w:tabs>
        <w:numPr>
          <w:ilvl w:val="2"/>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Date</w:t>
      </w:r>
      <w:r>
        <w:rPr>
          <w:rFonts w:ascii="Arial" w:cs="Arial" w:eastAsia="Arial" w:hAnsi="Arial"/>
          <w:sz w:val="16"/>
          <w:szCs w:val="16"/>
          <w:color w:val="auto"/>
        </w:rPr>
        <w:t>” shall mean the date one day prior to the date six (6) months, twelve (12) months, eighteen (18) months or twenty-four</w:t>
      </w:r>
    </w:p>
    <w:p>
      <w:pPr>
        <w:spacing w:after="0" w:line="46" w:lineRule="exact"/>
        <w:rPr>
          <w:rFonts w:ascii="Arial" w:cs="Arial" w:eastAsia="Arial" w:hAnsi="Arial"/>
          <w:sz w:val="16"/>
          <w:szCs w:val="16"/>
          <w:color w:val="auto"/>
        </w:rPr>
      </w:pPr>
    </w:p>
    <w:p>
      <w:pPr>
        <w:ind w:left="360" w:hanging="352"/>
        <w:spacing w:after="0"/>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months after the Offering Date of each Offering Period.</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right="100" w:firstLine="1305"/>
        <w:spacing w:after="0" w:line="277" w:lineRule="auto"/>
        <w:tabs>
          <w:tab w:leader="none" w:pos="1686" w:val="left"/>
        </w:tabs>
        <w:numPr>
          <w:ilvl w:val="2"/>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Period</w:t>
      </w:r>
      <w:r>
        <w:rPr>
          <w:rFonts w:ascii="Arial" w:cs="Arial" w:eastAsia="Arial" w:hAnsi="Arial"/>
          <w:sz w:val="18"/>
          <w:szCs w:val="18"/>
          <w:color w:val="auto"/>
        </w:rPr>
        <w:t>” shall mean a period commencing on an Offering Date or on the day after an Exercise Date and terminating one day prior to the date six (6) months later.</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100" w:name="page101"/>
    <w:bookmarkEnd w:id="100"/>
    <w:p>
      <w:pPr>
        <w:ind w:left="-40" w:right="400" w:firstLine="1305"/>
        <w:spacing w:after="0" w:line="277" w:lineRule="auto"/>
        <w:tabs>
          <w:tab w:leader="none" w:pos="1606"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shall mean a period of twenty-four (24) months consisting of four (4) six-month Exercise Periods during which options granted pursuant to the Plan may be exercised.</w:t>
      </w:r>
    </w:p>
    <w:p>
      <w:pPr>
        <w:spacing w:after="0" w:line="386" w:lineRule="exact"/>
        <w:rPr>
          <w:rFonts w:ascii="Arial" w:cs="Arial" w:eastAsia="Arial" w:hAnsi="Arial"/>
          <w:sz w:val="18"/>
          <w:szCs w:val="18"/>
          <w:color w:val="auto"/>
        </w:rPr>
      </w:pPr>
    </w:p>
    <w:p>
      <w:pPr>
        <w:ind w:left="1700" w:hanging="435"/>
        <w:spacing w:after="0"/>
        <w:tabs>
          <w:tab w:leader="none" w:pos="1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Date</w:t>
      </w:r>
      <w:r>
        <w:rPr>
          <w:rFonts w:ascii="Arial" w:cs="Arial" w:eastAsia="Arial" w:hAnsi="Arial"/>
          <w:sz w:val="18"/>
          <w:szCs w:val="18"/>
          <w:color w:val="auto"/>
        </w:rPr>
        <w:t>” shall mean the first day of each Offering Period of the Plan.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700" w:hanging="435"/>
        <w:spacing w:after="0"/>
        <w:tabs>
          <w:tab w:leader="none" w:pos="1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this 1998 Employee Qualified Stock Purchase Plan.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0" w:right="100" w:firstLine="1305"/>
        <w:spacing w:after="0" w:line="308" w:lineRule="auto"/>
        <w:tabs>
          <w:tab w:leader="none" w:pos="1646" w:val="left"/>
        </w:tabs>
        <w:numPr>
          <w:ilvl w:val="1"/>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a corporation, domestic or foreign, of which not less than 50% of the voting shares are held by the Company or a Subsidiary, whether or not such corporation now exists or is hereafter organized or acquired by the Company or a Subsidiary.</w:t>
      </w:r>
    </w:p>
    <w:p>
      <w:pPr>
        <w:spacing w:after="0" w:line="146" w:lineRule="exact"/>
        <w:rPr>
          <w:rFonts w:ascii="Arial" w:cs="Arial" w:eastAsia="Arial" w:hAnsi="Arial"/>
          <w:sz w:val="17"/>
          <w:szCs w:val="17"/>
          <w:color w:val="auto"/>
        </w:rPr>
      </w:pPr>
    </w:p>
    <w:p>
      <w:pPr>
        <w:ind w:left="940" w:hanging="324"/>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0" w:right="500" w:firstLine="1305"/>
        <w:spacing w:after="0" w:line="308" w:lineRule="auto"/>
        <w:tabs>
          <w:tab w:leader="none" w:pos="1626"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Employee as defined in paragraph 2 who shall be employed by the Company as of the last day of Enrollment Period for the applicable Offering Period shall be eligible to participate in the Plan, subject to limitations imposed by Section 423(b) of the Code.</w:t>
      </w:r>
    </w:p>
    <w:p>
      <w:pPr>
        <w:spacing w:after="0" w:line="362" w:lineRule="exact"/>
        <w:rPr>
          <w:rFonts w:ascii="Arial" w:cs="Arial" w:eastAsia="Arial" w:hAnsi="Arial"/>
          <w:sz w:val="17"/>
          <w:szCs w:val="17"/>
          <w:color w:val="auto"/>
        </w:rPr>
      </w:pPr>
    </w:p>
    <w:p>
      <w:pPr>
        <w:ind w:left="-40" w:firstLine="1305"/>
        <w:spacing w:after="0" w:line="273" w:lineRule="auto"/>
        <w:tabs>
          <w:tab w:leader="none" w:pos="1636"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of the Company, or (ii) which permits such Employee’s rights to purchase stock under all employee stock purchase plans of the Company and its subsidiaries to accrue at a rate which exceeds Twenty-Five Thousand Dollars ($25,000) of fair market value of such stock (determined at the time such option is granted) for each calendar year in which such option is outstanding at any time.</w:t>
      </w:r>
    </w:p>
    <w:p>
      <w:pPr>
        <w:spacing w:after="0" w:line="178" w:lineRule="exact"/>
        <w:rPr>
          <w:rFonts w:ascii="Arial" w:cs="Arial" w:eastAsia="Arial" w:hAnsi="Arial"/>
          <w:sz w:val="17"/>
          <w:szCs w:val="17"/>
          <w:color w:val="auto"/>
        </w:rPr>
      </w:pPr>
    </w:p>
    <w:p>
      <w:pPr>
        <w:ind w:left="-40" w:right="60" w:firstLine="656"/>
        <w:spacing w:after="0" w:line="302" w:lineRule="auto"/>
        <w:tabs>
          <w:tab w:leader="none" w:pos="923"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Offering Periods</w:t>
      </w:r>
      <w:r>
        <w:rPr>
          <w:rFonts w:ascii="Arial" w:cs="Arial" w:eastAsia="Arial" w:hAnsi="Arial"/>
          <w:sz w:val="16"/>
          <w:szCs w:val="16"/>
          <w:color w:val="auto"/>
        </w:rPr>
        <w:t>. The Plan shall be implemented by twenty-four (24) month Offering Periods beginning every six (6) months, until terminated in accordance with Section 20 hereof; provided that, the first Offering Period shall begin on the first business day after the Company’s Special Meeting on March 31, 1998. The Board of Directors of the Company shall have the power to change the duration of offering periods with respect to future offerings without stockholder approval if such change is announced at least fifteen (15) days prior to the scheduled beginning of the first offering period to be affected.</w:t>
      </w:r>
    </w:p>
    <w:p>
      <w:pPr>
        <w:spacing w:after="0" w:line="154" w:lineRule="exact"/>
        <w:rPr>
          <w:rFonts w:ascii="Arial" w:cs="Arial" w:eastAsia="Arial" w:hAnsi="Arial"/>
          <w:sz w:val="16"/>
          <w:szCs w:val="16"/>
          <w:color w:val="auto"/>
        </w:rPr>
      </w:pPr>
    </w:p>
    <w:p>
      <w:pPr>
        <w:ind w:left="940" w:hanging="324"/>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0" w:right="40" w:firstLine="1305"/>
        <w:spacing w:after="0" w:line="286" w:lineRule="auto"/>
        <w:tabs>
          <w:tab w:leader="none" w:pos="1626"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 eligible Employee may become a participant in the Plan by completing a subscription agreement authorizing payroll deductions on the form provided by the Company and filing it with the Company’s payroll office during the Enrollment Period for the applicable Offering Period, unless a later or earlier time for filing the subscription agreement is set by the Board for all eligible Employees with respect to a given offering.</w:t>
      </w:r>
    </w:p>
    <w:p>
      <w:pPr>
        <w:spacing w:after="0" w:line="381" w:lineRule="exact"/>
        <w:rPr>
          <w:rFonts w:ascii="Arial" w:cs="Arial" w:eastAsia="Arial" w:hAnsi="Arial"/>
          <w:sz w:val="17"/>
          <w:szCs w:val="17"/>
          <w:color w:val="auto"/>
        </w:rPr>
      </w:pPr>
    </w:p>
    <w:p>
      <w:pPr>
        <w:ind w:left="-40" w:right="120" w:firstLine="1305"/>
        <w:spacing w:after="0" w:line="312" w:lineRule="auto"/>
        <w:tabs>
          <w:tab w:leader="none" w:pos="1646" w:val="left"/>
        </w:tabs>
        <w:numPr>
          <w:ilvl w:val="1"/>
          <w:numId w:val="54"/>
        </w:numPr>
        <w:rPr>
          <w:rFonts w:ascii="Arial" w:cs="Arial" w:eastAsia="Arial" w:hAnsi="Arial"/>
          <w:sz w:val="16"/>
          <w:szCs w:val="16"/>
          <w:color w:val="auto"/>
        </w:rPr>
      </w:pPr>
      <w:r>
        <w:rPr>
          <w:rFonts w:ascii="Arial" w:cs="Arial" w:eastAsia="Arial" w:hAnsi="Arial"/>
          <w:sz w:val="16"/>
          <w:szCs w:val="16"/>
          <w:color w:val="auto"/>
        </w:rPr>
        <w:t>Payroll deductions for a participant shall continue at the rate specified in the subscription agreement throughout the Offering Period with automatic re-enrollment for the Offering Period which commences the day after the Exercise Date at the same rate specified in the original subscription agreement, subject to any change in subscription rate made pursuant to Section 6(c), unless sooner terminated by the participant as provided in Section 10.</w:t>
      </w:r>
    </w:p>
    <w:p>
      <w:pPr>
        <w:spacing w:after="0" w:line="146" w:lineRule="exact"/>
        <w:rPr>
          <w:rFonts w:ascii="Arial" w:cs="Arial" w:eastAsia="Arial" w:hAnsi="Arial"/>
          <w:sz w:val="16"/>
          <w:szCs w:val="16"/>
          <w:color w:val="auto"/>
        </w:rPr>
      </w:pPr>
    </w:p>
    <w:p>
      <w:pPr>
        <w:ind w:left="940" w:hanging="324"/>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Payroll Deductions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40" w:right="160" w:firstLine="1305"/>
        <w:spacing w:after="0" w:line="312" w:lineRule="auto"/>
        <w:tabs>
          <w:tab w:leader="none" w:pos="1626" w:val="left"/>
        </w:tabs>
        <w:numPr>
          <w:ilvl w:val="1"/>
          <w:numId w:val="54"/>
        </w:numPr>
        <w:rPr>
          <w:rFonts w:ascii="Arial" w:cs="Arial" w:eastAsia="Arial" w:hAnsi="Arial"/>
          <w:sz w:val="16"/>
          <w:szCs w:val="16"/>
          <w:color w:val="auto"/>
        </w:rPr>
      </w:pPr>
      <w:r>
        <w:rPr>
          <w:rFonts w:ascii="Arial" w:cs="Arial" w:eastAsia="Arial" w:hAnsi="Arial"/>
          <w:sz w:val="16"/>
          <w:szCs w:val="16"/>
          <w:color w:val="auto"/>
        </w:rPr>
        <w:t>At the time a participant files his or her subscription agreement, such participant shall elect to have payroll deductions made on each payday during the offering period in an amount not exceeding fifteen percent (15%) of his or her Compensation on each payroll date. The aggregate of such payroll deductions during any offering period shall not exceed fifteen percent (15%) of his or her aggregate Compensation during said offering period.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584" w:right="259" w:bottom="1440" w:gutter="0" w:footer="0" w:header="0"/>
        </w:sectPr>
      </w:pPr>
    </w:p>
    <w:bookmarkStart w:id="101" w:name="page102"/>
    <w:bookmarkEnd w:id="101"/>
    <w:p>
      <w:pPr>
        <w:ind w:left="-80" w:right="60" w:firstLine="1305"/>
        <w:spacing w:after="0" w:line="255" w:lineRule="auto"/>
        <w:tabs>
          <w:tab w:leader="none" w:pos="1596"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payroll deductions made by a participant shall be credited to his or her account under the Plan. A participant may not make any additional payments into such account. Notwithstanding the foregoing, in the event of an administrative error by the Company the result of which a participant’s payroll deductions are not credited to his or her account in accordance with such participant’s election made pursuant to Section 6(a) above, the Company may permit a participant to make a payment to his or her account prior to the next scheduled Exercise Date provided such contributions do not cause such participant’s aggregate credits to his or her account to exceed fifteen percent (15%) of his or her aggregate Compensation for the Offering Period with respect to which such administrative error was made.</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80" w:right="140" w:firstLine="1305"/>
        <w:spacing w:after="0" w:line="257" w:lineRule="auto"/>
        <w:tabs>
          <w:tab w:leader="none" w:pos="1586"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participant may discontinue his or her participation in the Plan as provided in Section 11, or may decrease the rate of his or her payroll deductions at any time during the Offering Period by completing or filing with the Company a form provided by the Company notifying the payroll office of such withdrawal or reduction of withholding rate. The decrease in rate shall be effective as of the next pay date following receipt of the form or at such other time as the Company and the participant may agree. A participant may not increase the rate of his or her payroll deductions during an Offering Period.</w:t>
      </w:r>
    </w:p>
    <w:p>
      <w:pPr>
        <w:spacing w:after="0" w:line="188" w:lineRule="exact"/>
        <w:rPr>
          <w:rFonts w:ascii="Arial" w:cs="Arial" w:eastAsia="Arial" w:hAnsi="Arial"/>
          <w:sz w:val="18"/>
          <w:szCs w:val="18"/>
          <w:color w:val="auto"/>
        </w:rPr>
      </w:pPr>
    </w:p>
    <w:p>
      <w:pPr>
        <w:ind w:left="900" w:hanging="324"/>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0" w:firstLine="1305"/>
        <w:spacing w:after="0" w:line="254" w:lineRule="auto"/>
        <w:tabs>
          <w:tab w:leader="none" w:pos="1596" w:val="left"/>
        </w:tabs>
        <w:numPr>
          <w:ilvl w:val="1"/>
          <w:numId w:val="56"/>
        </w:numPr>
        <w:rPr>
          <w:rFonts w:ascii="Arial" w:cs="Arial" w:eastAsia="Arial" w:hAnsi="Arial"/>
          <w:sz w:val="18"/>
          <w:szCs w:val="18"/>
          <w:color w:val="auto"/>
        </w:rPr>
      </w:pPr>
      <w:r>
        <w:rPr>
          <w:rFonts w:ascii="Arial" w:cs="Arial" w:eastAsia="Arial" w:hAnsi="Arial"/>
          <w:sz w:val="18"/>
          <w:szCs w:val="18"/>
          <w:color w:val="auto"/>
        </w:rPr>
        <w:t>On the Offering Date of each Offering Period, each eligible Employee participating in the Plan shall be granted an option to purchase on each Exercise Date during such Offering Period (at the per share option price) up to a number of shares of the Company’s Common Stock determined by dividing such Employee’s payroll deductions to be accumulated prior to such Exercise Date by the lower of (i) eighty-five percent (85%) of the fair market value of a share of the Company’s Common Stock on the Offering Date or (ii) eighty-five percent (85%) of the fair market value of a share of the Company’s Common Stock on the Exercise Date; provided that in no event shall an Employee be permitted to purchase during an Offering Period a number of shares in excess of a number determined by dividing $50,000 by the fair market value of a share of the Company’s Common Stock on the Offering Date, subject to the limitations set forth in Sections 3(b) and 13 hereof. Fair market value of a share of the Company’s Common Stock shall be determined as provided in Section 7(b) herein.</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jc w:val="both"/>
        <w:ind w:left="-80" w:right="80" w:firstLine="1305"/>
        <w:spacing w:after="0" w:line="279" w:lineRule="auto"/>
        <w:tabs>
          <w:tab w:leader="none" w:pos="1603"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option price per share of the shares offered in a given Exercise Period shall be the lower of: (i) 85% of the fair market value of a share of the Common Stock of the Company on the Offering Date; or (ii) 85% of the fair market value of a share of the Common Stock of the Company on the Exercise Date. The fair market value of the Company’s Common Stock on a given date shall be the closing price as quoted on the Nasdaq Stock Market, Inc.’s National Market or, if traded on a securities exchange, the closing price on such exchange.</w:t>
      </w:r>
    </w:p>
    <w:p>
      <w:pPr>
        <w:spacing w:after="0" w:line="171" w:lineRule="exact"/>
        <w:rPr>
          <w:rFonts w:ascii="Arial" w:cs="Arial" w:eastAsia="Arial" w:hAnsi="Arial"/>
          <w:sz w:val="17"/>
          <w:szCs w:val="17"/>
          <w:color w:val="auto"/>
        </w:rPr>
      </w:pPr>
    </w:p>
    <w:p>
      <w:pPr>
        <w:jc w:val="both"/>
        <w:ind w:left="-80" w:right="40" w:firstLine="656"/>
        <w:spacing w:after="0" w:line="259" w:lineRule="auto"/>
        <w:tabs>
          <w:tab w:leader="none" w:pos="883"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Unless a participant withdraws from the Plan as provided in Section 11, his or her option for the purchase of shares will be exercised automatically on each Exercise Date of the Offering Period, and the maximum number of full shares subject to option will be purchased for him or her at the applicable option price with the accumulated payroll deductions in his or her account. During his or her lifetime, a participant’s option to purchase shares hereunder is exercisable only by him or her.</w:t>
      </w:r>
    </w:p>
    <w:p>
      <w:pPr>
        <w:spacing w:after="0" w:line="186" w:lineRule="exact"/>
        <w:rPr>
          <w:rFonts w:ascii="Arial" w:cs="Arial" w:eastAsia="Arial" w:hAnsi="Arial"/>
          <w:sz w:val="18"/>
          <w:szCs w:val="18"/>
          <w:color w:val="auto"/>
        </w:rPr>
      </w:pPr>
    </w:p>
    <w:p>
      <w:pPr>
        <w:ind w:left="-80" w:right="100" w:firstLine="656"/>
        <w:spacing w:after="0" w:line="264" w:lineRule="auto"/>
        <w:tabs>
          <w:tab w:leader="none" w:pos="883"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As promptly as practicable after the Exercise Date of each offering, the Company shall arrange the delivery to each participant, as appropriate, of a certificate representing the shares purchased upon exercise of his or her option. Any cash remaining which is insufficient to purchase a full share of Common Stock at the termination of each Exercise Period shall be refunded to the participant.</w:t>
      </w:r>
    </w:p>
    <w:p>
      <w:pPr>
        <w:spacing w:after="0" w:line="181" w:lineRule="exact"/>
        <w:rPr>
          <w:rFonts w:ascii="Arial" w:cs="Arial" w:eastAsia="Arial" w:hAnsi="Arial"/>
          <w:sz w:val="18"/>
          <w:szCs w:val="18"/>
          <w:color w:val="auto"/>
        </w:rPr>
      </w:pPr>
    </w:p>
    <w:p>
      <w:pPr>
        <w:ind w:left="-80" w:right="20" w:firstLine="656"/>
        <w:spacing w:after="0" w:line="297" w:lineRule="auto"/>
        <w:tabs>
          <w:tab w:leader="none" w:pos="973"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Automatic Transfer to Low Price Offering Period</w:t>
      </w:r>
      <w:r>
        <w:rPr>
          <w:rFonts w:ascii="Arial" w:cs="Arial" w:eastAsia="Arial" w:hAnsi="Arial"/>
          <w:sz w:val="16"/>
          <w:szCs w:val="16"/>
          <w:color w:val="auto"/>
        </w:rPr>
        <w:t>. In the event that the fair market value of the Company’s Common Stock is lower on an Exercise Date than it was on the first Offering Date for that Offering Period, all Employees participating in the Plan on the Exercise Date shall be deemed to have withdrawn from the Offering Period immediately after the exercise of their option on such Exercise Date and to have enrolled as participants in a new Offering Period which begins on or about the day following such Exercise Date. A participant may elect to remain in the previous Offering Period by filing a written statement declaring such election with the Company prior to the time of the automatic change to the new Offering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584" w:right="319" w:bottom="1440" w:gutter="0" w:footer="0" w:header="0"/>
        </w:sectPr>
      </w:pPr>
    </w:p>
    <w:bookmarkStart w:id="102" w:name="page103"/>
    <w:bookmarkEnd w:id="102"/>
    <w:p>
      <w:pPr>
        <w:ind w:left="1060" w:hanging="40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Withdrawal; Termination of Employment</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right="340" w:firstLine="1305"/>
        <w:spacing w:after="0" w:line="279" w:lineRule="auto"/>
        <w:tabs>
          <w:tab w:leader="none" w:pos="1666" w:val="left"/>
        </w:tabs>
        <w:numPr>
          <w:ilvl w:val="1"/>
          <w:numId w:val="57"/>
        </w:numPr>
        <w:rPr>
          <w:rFonts w:ascii="Arial" w:cs="Arial" w:eastAsia="Arial" w:hAnsi="Arial"/>
          <w:sz w:val="17"/>
          <w:szCs w:val="17"/>
          <w:color w:val="auto"/>
        </w:rPr>
      </w:pPr>
      <w:r>
        <w:rPr>
          <w:rFonts w:ascii="Arial" w:cs="Arial" w:eastAsia="Arial" w:hAnsi="Arial"/>
          <w:sz w:val="17"/>
          <w:szCs w:val="17"/>
          <w:color w:val="auto"/>
        </w:rPr>
        <w:t>A participant may withdraw all but not less than all the payroll deductions credited to his or her account under the Plan at any time prior to the Exercise Date of the Offering Period by giving written notice to the Company. All of the participant’s payroll deductions credited to his or her account will be paid to him or her at the next pay date after receipt of his or her notice of withdrawal and his or her option for the current period will be automatically terminated, and no further payroll deductions for the purchase of shares will be made during the Offering Period.</w:t>
      </w:r>
    </w:p>
    <w:p>
      <w:pPr>
        <w:spacing w:after="0" w:line="387" w:lineRule="exact"/>
        <w:rPr>
          <w:rFonts w:ascii="Arial" w:cs="Arial" w:eastAsia="Arial" w:hAnsi="Arial"/>
          <w:sz w:val="17"/>
          <w:szCs w:val="17"/>
          <w:color w:val="auto"/>
        </w:rPr>
      </w:pPr>
    </w:p>
    <w:p>
      <w:pPr>
        <w:ind w:right="280" w:firstLine="1305"/>
        <w:spacing w:after="0" w:line="264" w:lineRule="auto"/>
        <w:tabs>
          <w:tab w:leader="none" w:pos="1686" w:val="left"/>
        </w:tabs>
        <w:numPr>
          <w:ilvl w:val="1"/>
          <w:numId w:val="57"/>
        </w:numPr>
        <w:rPr>
          <w:rFonts w:ascii="Arial" w:cs="Arial" w:eastAsia="Arial" w:hAnsi="Arial"/>
          <w:sz w:val="18"/>
          <w:szCs w:val="18"/>
          <w:color w:val="auto"/>
        </w:rPr>
      </w:pPr>
      <w:r>
        <w:rPr>
          <w:rFonts w:ascii="Arial" w:cs="Arial" w:eastAsia="Arial" w:hAnsi="Arial"/>
          <w:sz w:val="18"/>
          <w:szCs w:val="18"/>
          <w:color w:val="auto"/>
        </w:rPr>
        <w:t>Upon termination of the participant’s Continuous Status as an Employee prior to the Exercise Date for any reason, including retirement or death, the payroll deductions credited to his or her account will be returned to the participant’s or, in the case the of participant’s death, to the person or persons entitled thereto under Section 15, and his or her option will be automatically terminated.</w:t>
      </w:r>
    </w:p>
    <w:p>
      <w:pPr>
        <w:spacing w:after="0" w:line="397" w:lineRule="exact"/>
        <w:rPr>
          <w:rFonts w:ascii="Arial" w:cs="Arial" w:eastAsia="Arial" w:hAnsi="Arial"/>
          <w:sz w:val="18"/>
          <w:szCs w:val="18"/>
          <w:color w:val="auto"/>
        </w:rPr>
      </w:pPr>
    </w:p>
    <w:p>
      <w:pPr>
        <w:ind w:right="160" w:firstLine="1305"/>
        <w:spacing w:after="0" w:line="277" w:lineRule="auto"/>
        <w:tabs>
          <w:tab w:leader="none" w:pos="1721"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participant’s withdrawal from an offering will not have any effect upon his or her eligibility to participate in a succeeding offering or in any similar plan which may hereafter be adopted by the Company.</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payroll deductions of a participant in the Plan.</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right="240" w:firstLine="1305"/>
        <w:spacing w:after="0" w:line="291" w:lineRule="auto"/>
        <w:tabs>
          <w:tab w:leader="none" w:pos="1673"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maximum number of shares of the Company’s Common Stock which shall be made available for sale under the Plan shall be 4,000,000 shares, plus an annual increase to be made on the last day of the immediately preceding fiscal year equal to the lesser of (i) 5,000,000 shares, (ii)</w:t>
      </w:r>
    </w:p>
    <w:p>
      <w:pPr>
        <w:spacing w:after="0" w:line="268" w:lineRule="auto"/>
        <w:rPr>
          <w:rFonts w:ascii="Arial" w:cs="Arial" w:eastAsia="Arial" w:hAnsi="Arial"/>
          <w:sz w:val="16"/>
          <w:szCs w:val="16"/>
          <w:color w:val="auto"/>
        </w:rPr>
      </w:pPr>
      <w:r>
        <w:rPr>
          <w:rFonts w:ascii="Arial" w:cs="Arial" w:eastAsia="Arial" w:hAnsi="Arial"/>
          <w:sz w:val="17"/>
          <w:szCs w:val="17"/>
          <w:color w:val="auto"/>
        </w:rPr>
        <w:t>2% of the Issued Shares (as defined below) on such date or (iii) a lesser amount determined by the Board, subject to adjustment upon changes in capitalization of the Company as provided in Section 19 hereof. “Issued Shares” shall mean the number of shares of Common Stock of the Company outstanding on such date plus any shares reacquired by the Company during the fiscal year that ends on such date. If the total number of shares which would otherwise be subject to options granted pursuant to Section 7(a) hereof on the Exercise Date of an Offering Period exceeds the number of shares then available under the Plan (after deduction of all shares for which options have been exercised or are then outstanding), the Company shall make a pro rata allocation of the shares remaining available for option grant in as uniform a manner as shall be practicable and as it shall determine to be equitable. In such event, the Company shall give written notice of such reduction of the number of shares subject to the option to each Employee affected thereby and shall similarly reduce the rate of payroll deductions, if necessary.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ind w:left="1700" w:hanging="395"/>
        <w:spacing w:after="0"/>
        <w:tabs>
          <w:tab w:leader="none" w:pos="17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participant will have no interest or voting right in shares covered by his or her option until such option has been exercised.</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1680" w:hanging="375"/>
        <w:spacing w:after="0"/>
        <w:tabs>
          <w:tab w:leader="none" w:pos="16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Shares to be delivered to a participant under the Plan will be registered in the name of the participant or in the name of the participant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his or her spouse.</w:t>
      </w:r>
    </w:p>
    <w:p>
      <w:pPr>
        <w:spacing w:after="0" w:line="210" w:lineRule="exact"/>
        <w:rPr>
          <w:rFonts w:ascii="Arial" w:cs="Arial" w:eastAsia="Arial" w:hAnsi="Arial"/>
          <w:sz w:val="16"/>
          <w:szCs w:val="16"/>
          <w:color w:val="auto"/>
        </w:rPr>
      </w:pPr>
    </w:p>
    <w:p>
      <w:pPr>
        <w:ind w:right="420" w:firstLine="656"/>
        <w:spacing w:after="0" w:line="286" w:lineRule="auto"/>
        <w:tabs>
          <w:tab w:leader="none" w:pos="1053"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Plan shall be administered by the Board of Directors of the Company or a committee appointed by the Board (the “Committee”). The administration, interpretation or application of the Plan by the Board or its Committee shall be final, conclusive and binding upon all participants. Members of the Board who are eligible Employees are permitted to participate in the Plan, provided that:</w:t>
      </w:r>
    </w:p>
    <w:p>
      <w:pPr>
        <w:spacing w:after="0" w:line="381" w:lineRule="exact"/>
        <w:rPr>
          <w:rFonts w:ascii="Arial" w:cs="Arial" w:eastAsia="Arial" w:hAnsi="Arial"/>
          <w:sz w:val="17"/>
          <w:szCs w:val="17"/>
          <w:color w:val="auto"/>
        </w:rPr>
      </w:pPr>
    </w:p>
    <w:p>
      <w:pPr>
        <w:ind w:right="40" w:firstLine="1305"/>
        <w:spacing w:after="0" w:line="277" w:lineRule="auto"/>
        <w:tabs>
          <w:tab w:leader="none" w:pos="1676" w:val="left"/>
        </w:tabs>
        <w:numPr>
          <w:ilvl w:val="1"/>
          <w:numId w:val="57"/>
        </w:numPr>
        <w:rPr>
          <w:rFonts w:ascii="Arial" w:cs="Arial" w:eastAsia="Arial" w:hAnsi="Arial"/>
          <w:sz w:val="18"/>
          <w:szCs w:val="18"/>
          <w:color w:val="auto"/>
        </w:rPr>
      </w:pPr>
      <w:r>
        <w:rPr>
          <w:rFonts w:ascii="Arial" w:cs="Arial" w:eastAsia="Arial" w:hAnsi="Arial"/>
          <w:sz w:val="18"/>
          <w:szCs w:val="18"/>
          <w:color w:val="auto"/>
        </w:rPr>
        <w:t>Members of the Board who are eligible to participate in the Plan may not vote on any matter affecting the administration of the Plan or the grant of any option pursuant to the Plan.</w:t>
      </w:r>
    </w:p>
    <w:p>
      <w:pPr>
        <w:spacing w:after="0" w:line="386" w:lineRule="exact"/>
        <w:rPr>
          <w:rFonts w:ascii="Arial" w:cs="Arial" w:eastAsia="Arial" w:hAnsi="Arial"/>
          <w:sz w:val="18"/>
          <w:szCs w:val="18"/>
          <w:color w:val="auto"/>
        </w:rPr>
      </w:pPr>
    </w:p>
    <w:p>
      <w:pPr>
        <w:ind w:right="560" w:firstLine="1305"/>
        <w:spacing w:after="0" w:line="277" w:lineRule="auto"/>
        <w:tabs>
          <w:tab w:leader="none" w:pos="1686"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a Committee is established to administer the Plan, no member of the Board who is eligible to participate in the Plan may be a member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103" w:name="page104"/>
    <w:bookmarkEnd w:id="103"/>
    <w:p>
      <w:pPr>
        <w:ind w:left="1060" w:hanging="404"/>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right="200" w:firstLine="1305"/>
        <w:spacing w:after="0" w:line="259" w:lineRule="auto"/>
        <w:tabs>
          <w:tab w:leader="none" w:pos="1666"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participant may file a written designation of a beneficiary who is to receive any shares and cash, if any, from the participant’s account under the Plan in the event of such participant’s death subsequent to the end of the offering period but prior to delivery to such participant of such shares and cash. In addition, a participant may file a written designation of a beneficiary who is to receive any cash from the participant’s account under the Plan in the event of such participant’s death prior to the Exercise Date of the offering period.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right="140" w:firstLine="1305"/>
        <w:spacing w:after="0" w:line="297" w:lineRule="auto"/>
        <w:tabs>
          <w:tab w:leader="none" w:pos="1686" w:val="left"/>
        </w:tabs>
        <w:numPr>
          <w:ilvl w:val="1"/>
          <w:numId w:val="58"/>
        </w:numPr>
        <w:rPr>
          <w:rFonts w:ascii="Arial" w:cs="Arial" w:eastAsia="Arial" w:hAnsi="Arial"/>
          <w:sz w:val="16"/>
          <w:szCs w:val="16"/>
          <w:color w:val="auto"/>
        </w:rPr>
      </w:pPr>
      <w:r>
        <w:rPr>
          <w:rFonts w:ascii="Arial" w:cs="Arial" w:eastAsia="Arial" w:hAnsi="Arial"/>
          <w:sz w:val="16"/>
          <w:szCs w:val="16"/>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58" w:lineRule="exact"/>
        <w:rPr>
          <w:rFonts w:ascii="Arial" w:cs="Arial" w:eastAsia="Arial" w:hAnsi="Arial"/>
          <w:sz w:val="16"/>
          <w:szCs w:val="16"/>
          <w:color w:val="auto"/>
        </w:rPr>
      </w:pPr>
    </w:p>
    <w:p>
      <w:pPr>
        <w:ind w:right="420" w:firstLine="656"/>
        <w:spacing w:after="0" w:line="279" w:lineRule="auto"/>
        <w:tabs>
          <w:tab w:leader="none" w:pos="1053"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Section 15 hereof) by the participant. Any such attempt at assignment, transfer, pledge or other disposition shall be without effect, except that the Company may treat such act as an election to withdraw funds in accordance with Section 11.</w:t>
      </w:r>
    </w:p>
    <w:p>
      <w:pPr>
        <w:spacing w:after="0" w:line="171" w:lineRule="exact"/>
        <w:rPr>
          <w:rFonts w:ascii="Arial" w:cs="Arial" w:eastAsia="Arial" w:hAnsi="Arial"/>
          <w:sz w:val="17"/>
          <w:szCs w:val="17"/>
          <w:color w:val="auto"/>
        </w:rPr>
      </w:pPr>
    </w:p>
    <w:p>
      <w:pPr>
        <w:ind w:right="60" w:firstLine="656"/>
        <w:spacing w:after="0" w:line="277" w:lineRule="auto"/>
        <w:tabs>
          <w:tab w:leader="none" w:pos="105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5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will be maintained for each participant in the Plan. Statements of account will be given to participating Employees annually promptly following the Exercise Date, which statements will set forth the amounts of payroll deductions, the per share purchase price, the number of shares purchased and the remaining cash balance refunded or to be refunded, if any.</w:t>
      </w:r>
    </w:p>
    <w:p>
      <w:pPr>
        <w:spacing w:after="0" w:line="181" w:lineRule="exact"/>
        <w:rPr>
          <w:rFonts w:ascii="Arial" w:cs="Arial" w:eastAsia="Arial" w:hAnsi="Arial"/>
          <w:sz w:val="18"/>
          <w:szCs w:val="18"/>
          <w:color w:val="auto"/>
        </w:rPr>
      </w:pPr>
    </w:p>
    <w:p>
      <w:pPr>
        <w:ind w:right="40" w:firstLine="656"/>
        <w:spacing w:after="0" w:line="270" w:lineRule="auto"/>
        <w:tabs>
          <w:tab w:leader="none" w:pos="1053"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Adjustments Upon Changes in Capitalization</w:t>
      </w:r>
      <w:r>
        <w:rPr>
          <w:rFonts w:ascii="Arial" w:cs="Arial" w:eastAsia="Arial" w:hAnsi="Arial"/>
          <w:sz w:val="17"/>
          <w:szCs w:val="17"/>
          <w:color w:val="auto"/>
        </w:rPr>
        <w:t>. Subject to any required action by the stockholders of the Company, the number of shares of Common Stock covered by each option under the Plan which has not yet been exercised and the number of shares of Common Stock which have been authorized for issuance under the Plan but have not yet been placed under option (collectively, the “Reserves”), as well as the price per share of Common Stock covered by each option under the Plan which has not yet been exercised, shall be proportionately adjusted for any increase or decrease in the number of issued shares of Common Stock resulting from a stock split or the payment of a stock dividend (but only on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the event of the proposed dissolution or liquidation of the Company, the offering period will terminate immediately prior to the consummation of such proposed action, unless otherwise provided by the Board.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Board determines, in the exercise of its sole discretion and in lieu of such assumption or substitution, that the participant shall have the right to exercise the option as to all of the optioned stock, including shares as to which the option would not otherwise be exercisable. If the Board makes an option fully exercisable in lieu of assumption or substitution in the event of a merger or sale of assets, the Board shall notify the participant that the option shall be fully exercisable for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a period of thirty (30) days from the date of such notice, and the option will terminate upon the expiration of such period.</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w:t>
      </w:r>
    </w:p>
    <w:p>
      <w:pPr>
        <w:spacing w:after="0" w:line="181" w:lineRule="exact"/>
        <w:rPr>
          <w:sz w:val="20"/>
          <w:szCs w:val="20"/>
          <w:color w:val="auto"/>
        </w:rPr>
      </w:pPr>
    </w:p>
    <w:p>
      <w:pPr>
        <w:ind w:firstLine="656"/>
        <w:spacing w:after="0" w:line="302" w:lineRule="auto"/>
        <w:tabs>
          <w:tab w:leader="none" w:pos="1053"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Amendment or Termination</w:t>
      </w:r>
      <w:r>
        <w:rPr>
          <w:rFonts w:ascii="Arial" w:cs="Arial" w:eastAsia="Arial" w:hAnsi="Arial"/>
          <w:sz w:val="16"/>
          <w:szCs w:val="16"/>
          <w:color w:val="auto"/>
        </w:rPr>
        <w:t>. The Board of Directors of the Company may at any time terminate or amend the Plan. No such termination can affect options previously granted, nor may an amendment make any change in any option theretofore granted which adversely affects the rights of any participant. In addition, to the extent necessary to comply with Rule 16b-3 under the Act or under Section 423 of the Code (or any successor rule or provision or any other applicable law or regulation), the Company shall obtain stockholder approval in such a manner and to such a degree as so required.</w:t>
      </w:r>
    </w:p>
    <w:p>
      <w:pPr>
        <w:spacing w:after="0" w:line="15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Notwithstanding any provision of the Plan to the contrary, in order to comply with the laws in other countries in which the Company and its Subsidiaries operate or have participants, the Board or its Committee, in their sole discretion, shall have the power and authority at any time to (i) modify the terms and conditions of the Plan as applicable to individuals outside the United States to comply with applicable foreign laws; (ii) establish sub-plans and modify administrative procedures and other terms and procedures, to the extent such actions may be necessary or advisable (any such sub-plans and/or modifications shall be attached to this Plan as appendices) and (iii) take any action that it deems advisable to obtain approval or comply with any necessary local governmental regulatory exemptions or approvals. Notwithstanding the foregoing, the Board or its Committee may not take any actions hereunder that would violate the Exchange Act, the Code, any securities law or governing statute or any other applicable law or cause the Plan not to comply with Section 423 of the Code.</w:t>
      </w:r>
    </w:p>
    <w:p>
      <w:pPr>
        <w:spacing w:after="0" w:line="192" w:lineRule="exact"/>
        <w:rPr>
          <w:sz w:val="20"/>
          <w:szCs w:val="20"/>
          <w:color w:val="auto"/>
        </w:rPr>
      </w:pPr>
    </w:p>
    <w:p>
      <w:pPr>
        <w:jc w:val="both"/>
        <w:ind w:right="240" w:firstLine="656"/>
        <w:spacing w:after="0" w:line="342" w:lineRule="auto"/>
        <w:tabs>
          <w:tab w:leader="none" w:pos="1053"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23" w:lineRule="exact"/>
        <w:rPr>
          <w:rFonts w:ascii="Arial" w:cs="Arial" w:eastAsia="Arial" w:hAnsi="Arial"/>
          <w:sz w:val="16"/>
          <w:szCs w:val="16"/>
          <w:color w:val="auto"/>
        </w:rPr>
      </w:pPr>
    </w:p>
    <w:p>
      <w:pPr>
        <w:ind w:right="140" w:firstLine="656"/>
        <w:spacing w:after="0" w:line="277" w:lineRule="auto"/>
        <w:tabs>
          <w:tab w:leader="none" w:pos="105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Any required approval by the stockholders of the Company shall be solicited substantially in accordance with Section 14(a) of the Exchange Act, and the rules and regulations promulgated thereunder.</w:t>
      </w:r>
    </w:p>
    <w:p>
      <w:pPr>
        <w:spacing w:after="0" w:line="170" w:lineRule="exact"/>
        <w:rPr>
          <w:rFonts w:ascii="Arial" w:cs="Arial" w:eastAsia="Arial" w:hAnsi="Arial"/>
          <w:sz w:val="18"/>
          <w:szCs w:val="18"/>
          <w:color w:val="auto"/>
        </w:rPr>
      </w:pPr>
    </w:p>
    <w:p>
      <w:pPr>
        <w:ind w:right="180" w:firstLine="656"/>
        <w:spacing w:after="0" w:line="257" w:lineRule="auto"/>
        <w:tabs>
          <w:tab w:leader="none" w:pos="105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rules and regulations promulgated thereunder, and the requirements of any stock exchange upon which the shares may then be listed, and shall be further subject to the approval of counsel for the Company with respect to such compliance.</w:t>
      </w:r>
    </w:p>
    <w:p>
      <w:pPr>
        <w:spacing w:after="0" w:line="188"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6" w:lineRule="exact"/>
        <w:rPr>
          <w:sz w:val="20"/>
          <w:szCs w:val="20"/>
          <w:color w:val="auto"/>
        </w:rPr>
      </w:pPr>
    </w:p>
    <w:p>
      <w:pPr>
        <w:ind w:right="520" w:firstLine="656"/>
        <w:spacing w:after="0" w:line="277" w:lineRule="auto"/>
        <w:tabs>
          <w:tab w:leader="none" w:pos="1053"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The Plan became effective upon January 27. 1998. It shall continue in effect for a term of twenty (20) years unless sooner terminated under paragraph 20.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368" w:right="29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u w:val="single" w:color="auto"/>
          <w:color w:val="auto"/>
        </w:rPr>
        <w:t>AUTODESK,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1998 EMPLOYEE QUALIFIED STOCK PURCHASE PLAN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Original Application</w:t>
      </w:r>
      <w:r>
        <w:rPr>
          <w:sz w:val="20"/>
          <w:szCs w:val="20"/>
          <w:color w:val="auto"/>
        </w:rPr>
        <w:tab/>
      </w:r>
      <w:r>
        <w:rPr>
          <w:rFonts w:ascii="Arial" w:cs="Arial" w:eastAsia="Arial" w:hAnsi="Arial"/>
          <w:sz w:val="16"/>
          <w:szCs w:val="16"/>
          <w:color w:val="auto"/>
        </w:rPr>
        <w:t>Date: 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in Payroll Deduction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of Beneficiary(ies)</w:t>
      </w:r>
    </w:p>
    <w:p>
      <w:pPr>
        <w:spacing w:after="0" w:line="200" w:lineRule="exact"/>
        <w:rPr>
          <w:sz w:val="20"/>
          <w:szCs w:val="20"/>
          <w:color w:val="auto"/>
        </w:rPr>
      </w:pPr>
    </w:p>
    <w:p>
      <w:pPr>
        <w:spacing w:after="0" w:line="349" w:lineRule="exact"/>
        <w:rPr>
          <w:sz w:val="20"/>
          <w:szCs w:val="20"/>
          <w:color w:val="auto"/>
        </w:rPr>
      </w:pPr>
    </w:p>
    <w:p>
      <w:pPr>
        <w:ind w:left="660" w:right="100" w:hanging="652"/>
        <w:spacing w:after="0" w:line="26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hereby elects to participate in the Autodesk, Inc. 1998 Employee Qualified Stock Purchase Plan, as amended and restated (the “Stock Purchase Plan”) and subscribes to purchase shares of the Company’s Common Stock, without par value, in accordance with this Subscription Agreement and the Stock Purchase Plan.</w:t>
      </w:r>
    </w:p>
    <w:p>
      <w:pPr>
        <w:spacing w:after="0" w:line="181" w:lineRule="exact"/>
        <w:rPr>
          <w:rFonts w:ascii="Arial" w:cs="Arial" w:eastAsia="Arial" w:hAnsi="Arial"/>
          <w:sz w:val="18"/>
          <w:szCs w:val="18"/>
          <w:color w:val="auto"/>
        </w:rPr>
      </w:pPr>
    </w:p>
    <w:p>
      <w:pPr>
        <w:ind w:left="660" w:right="280" w:hanging="652"/>
        <w:spacing w:after="0" w:line="26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hereby authorize payroll deductions from each paycheck in the amount of % (maximum 15%) of my Compensation on each payday during the Offering Period in accordance with the Stock Purchase Plan. Such deductions are to continue for succeeding Offering Periods until I give written instructions for a change in or termination of such deductions.</w:t>
      </w:r>
    </w:p>
    <w:p>
      <w:pPr>
        <w:spacing w:after="0" w:line="181" w:lineRule="exact"/>
        <w:rPr>
          <w:rFonts w:ascii="Arial" w:cs="Arial" w:eastAsia="Arial" w:hAnsi="Arial"/>
          <w:sz w:val="18"/>
          <w:szCs w:val="18"/>
          <w:color w:val="auto"/>
        </w:rPr>
      </w:pPr>
    </w:p>
    <w:p>
      <w:pPr>
        <w:ind w:left="660" w:right="60" w:hanging="652"/>
        <w:spacing w:after="0" w:line="259"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understand that said payroll deductions shall be accumulated for the purchase of shares of Common Stock, without par value, at the applicable purchase price determined in accordance with the Stock Purchase Plan. I further understand that, except as otherwise set forth in the Stock Purchase Plan, shares will be purchased for me automatically on each Exercise Date of the offering period unless I otherwise withdraw from the Stock Purchase Plan by giving written notice to the Company for such purpose.</w:t>
      </w:r>
    </w:p>
    <w:p>
      <w:pPr>
        <w:spacing w:after="0" w:line="186" w:lineRule="exact"/>
        <w:rPr>
          <w:rFonts w:ascii="Arial" w:cs="Arial" w:eastAsia="Arial" w:hAnsi="Arial"/>
          <w:sz w:val="18"/>
          <w:szCs w:val="18"/>
          <w:color w:val="auto"/>
        </w:rPr>
      </w:pPr>
    </w:p>
    <w:p>
      <w:pPr>
        <w:ind w:left="660" w:hanging="652"/>
        <w:spacing w:after="0" w:line="259"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received a copy of the complete Stock Purchase Plan. I understand that my participation in the Stock Purchase Plan is in all respects subject to the terms of the Stock Purchase Plan. I have been provided with a prospectus describing the Stock Purchase Plan. I understand that I may withdraw from the Stock Purchase Plan and have payroll deductions refunded (without interest) on the next payroll date following notice of withdrawal at any time during the Offering Period.</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Shares purchased for me under the Stock Purchase Plan should be issued in the name(s) of:</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w:t>
      </w:r>
    </w:p>
    <w:p>
      <w:pPr>
        <w:spacing w:after="0" w:line="210" w:lineRule="exact"/>
        <w:rPr>
          <w:rFonts w:ascii="Arial" w:cs="Arial" w:eastAsia="Arial" w:hAnsi="Arial"/>
          <w:sz w:val="18"/>
          <w:szCs w:val="18"/>
          <w:color w:val="auto"/>
        </w:rPr>
      </w:pPr>
    </w:p>
    <w:p>
      <w:pPr>
        <w:ind w:left="660" w:hanging="652"/>
        <w:spacing w:after="0" w:line="25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understand that if I dispose of any shares received by me pursuant to the Stock Purchase Plan within 2 years after the Offering Date (the first day of the offering period during which I purchased such shares) or within one year after the date on which such shares were transferred to me, I will be treated for federal income tax purposes as having received ordinary income at the time of such disposition in an amount equal to the excess of the fair market value of the shares at the time such shares were transferred to me over the price which I paid for the shares, and that I may be required to provide income tax withholding on that amount. I hereby agree to notify the Company in writing within 30 days after the date of any such disposition. However, if I dispose of such shares at any time after the expiration of the two-year and one-year holding periods, I understand that I will be treated for federal income tax purposes as having received income only at the time of such disposition, and that such income will be treated as ordinary income only to the extent of an amount equal to the lesser of (1) the excess of the fair market value of the shares at the time of such disposition over the purchase price which I paid for the shares under the option, or (2) the excess of the fair market value of the shares over the option price,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80"/>
          </w:cols>
          <w:pgMar w:left="240" w:top="584" w:right="279" w:bottom="1440" w:gutter="0" w:footer="0" w:header="0"/>
        </w:sectPr>
      </w:pPr>
    </w:p>
    <w:bookmarkStart w:id="106" w:name="page107"/>
    <w:bookmarkEnd w:id="106"/>
    <w:p>
      <w:pPr>
        <w:ind w:left="660"/>
        <w:spacing w:after="0" w:line="311" w:lineRule="auto"/>
        <w:rPr>
          <w:sz w:val="20"/>
          <w:szCs w:val="20"/>
          <w:color w:val="auto"/>
        </w:rPr>
      </w:pPr>
      <w:r>
        <w:rPr>
          <w:rFonts w:ascii="Arial" w:cs="Arial" w:eastAsia="Arial" w:hAnsi="Arial"/>
          <w:sz w:val="18"/>
          <w:szCs w:val="18"/>
          <w:color w:val="auto"/>
        </w:rPr>
        <w:t>measured as if the option had been exercised on the Offering Date. The remainder of the gain or loss, if any, recognized on such disposition will be treated as capital gain or loss. The federal income tax treatment of ordinary income and capital gain and loss is described in the Company’s prospectus relating to the Stock Purchase Plan.</w:t>
      </w:r>
    </w:p>
    <w:p>
      <w:pPr>
        <w:spacing w:after="0" w:line="154" w:lineRule="exact"/>
        <w:rPr>
          <w:sz w:val="20"/>
          <w:szCs w:val="20"/>
          <w:color w:val="auto"/>
        </w:rPr>
      </w:pPr>
    </w:p>
    <w:p>
      <w:pPr>
        <w:ind w:left="660" w:right="460" w:hanging="652"/>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hereby agree to be bound by the terms of the Stock Purchase Plan. The effectiveness of this Subscription Agreement is dependent upon my eligibility to participate in the Stock Purchase Plan.</w:t>
      </w:r>
    </w:p>
    <w:p>
      <w:pPr>
        <w:spacing w:after="0" w:line="170" w:lineRule="exact"/>
        <w:rPr>
          <w:rFonts w:ascii="Arial" w:cs="Arial" w:eastAsia="Arial" w:hAnsi="Arial"/>
          <w:sz w:val="18"/>
          <w:szCs w:val="18"/>
          <w:color w:val="auto"/>
        </w:rPr>
      </w:pPr>
    </w:p>
    <w:p>
      <w:pPr>
        <w:ind w:left="660" w:right="520" w:hanging="652"/>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event of my death, I hereby designate the following as my beneficiary(ies) to receive all payments and shares due me under the Stock Purchase Plan: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NAME: (Please print) ________________________________________________________</w:t>
      </w:r>
    </w:p>
    <w:p>
      <w:pPr>
        <w:spacing w:after="0" w:line="23" w:lineRule="exact"/>
        <w:rPr>
          <w:sz w:val="20"/>
          <w:szCs w:val="20"/>
          <w:color w:val="auto"/>
        </w:rPr>
      </w:pPr>
    </w:p>
    <w:p>
      <w:pPr>
        <w:ind w:left="600"/>
        <w:spacing w:after="0"/>
        <w:tabs>
          <w:tab w:leader="none" w:pos="1420" w:val="left"/>
          <w:tab w:leader="none" w:pos="2700" w:val="left"/>
        </w:tabs>
        <w:rPr>
          <w:sz w:val="20"/>
          <w:szCs w:val="20"/>
          <w:color w:val="auto"/>
        </w:rPr>
      </w:pPr>
      <w:r>
        <w:rPr>
          <w:rFonts w:ascii="Arial" w:cs="Arial" w:eastAsia="Arial" w:hAnsi="Arial"/>
          <w:sz w:val="18"/>
          <w:szCs w:val="18"/>
          <w:color w:val="auto"/>
        </w:rPr>
        <w:t>(First)</w:t>
      </w:r>
      <w:r>
        <w:rPr>
          <w:sz w:val="20"/>
          <w:szCs w:val="20"/>
          <w:color w:val="auto"/>
        </w:rPr>
        <w:tab/>
      </w:r>
      <w:r>
        <w:rPr>
          <w:rFonts w:ascii="Arial" w:cs="Arial" w:eastAsia="Arial" w:hAnsi="Arial"/>
          <w:sz w:val="18"/>
          <w:szCs w:val="18"/>
          <w:color w:val="auto"/>
        </w:rPr>
        <w:t>(Middle)</w:t>
      </w:r>
      <w:r>
        <w:rPr>
          <w:sz w:val="20"/>
          <w:szCs w:val="20"/>
          <w:color w:val="auto"/>
        </w:rPr>
        <w:tab/>
      </w:r>
      <w:r>
        <w:rPr>
          <w:rFonts w:ascii="Arial" w:cs="Arial" w:eastAsia="Arial" w:hAnsi="Arial"/>
          <w:sz w:val="16"/>
          <w:szCs w:val="16"/>
          <w:color w:val="auto"/>
        </w:rPr>
        <w:t>(Last)</w:t>
      </w:r>
    </w:p>
    <w:p>
      <w:pPr>
        <w:sectPr>
          <w:pgSz w:w="11900" w:h="16838" w:orient="portrait"/>
          <w:cols w:equalWidth="0" w:num="1">
            <w:col w:w="11240"/>
          </w:cols>
          <w:pgMar w:left="240" w:top="395" w:right="41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w:t>
      </w:r>
    </w:p>
    <w:p>
      <w:pPr>
        <w:spacing w:after="0" w:line="46" w:lineRule="exact"/>
        <w:rPr>
          <w:sz w:val="20"/>
          <w:szCs w:val="20"/>
          <w:color w:val="auto"/>
        </w:rPr>
      </w:pPr>
    </w:p>
    <w:p>
      <w:pPr>
        <w:sectPr>
          <w:pgSz w:w="11900" w:h="16838" w:orient="portrait"/>
          <w:cols w:equalWidth="0" w:num="2">
            <w:col w:w="2260" w:space="400"/>
            <w:col w:w="8580"/>
          </w:cols>
          <w:pgMar w:left="240" w:top="395" w:right="419" w:bottom="1440" w:gutter="0" w:footer="0" w:header="0"/>
          <w:type w:val="continuous"/>
        </w:sectPr>
      </w:pPr>
    </w:p>
    <w:p>
      <w:pPr>
        <w:spacing w:after="0"/>
        <w:rPr>
          <w:sz w:val="20"/>
          <w:szCs w:val="20"/>
          <w:color w:val="auto"/>
        </w:rPr>
      </w:pPr>
      <w:r>
        <w:rPr>
          <w:rFonts w:ascii="Arial" w:cs="Arial" w:eastAsia="Arial" w:hAnsi="Arial"/>
          <w:sz w:val="18"/>
          <w:szCs w:val="18"/>
          <w:color w:val="auto"/>
        </w:rPr>
        <w:t>Relationship</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________________________________________</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(Please print) _________________________________________________________</w:t>
      </w:r>
    </w:p>
    <w:p>
      <w:pPr>
        <w:spacing w:after="0" w:line="23" w:lineRule="exact"/>
        <w:rPr>
          <w:sz w:val="20"/>
          <w:szCs w:val="20"/>
          <w:color w:val="auto"/>
        </w:rPr>
      </w:pPr>
    </w:p>
    <w:p>
      <w:pPr>
        <w:ind w:left="600"/>
        <w:spacing w:after="0"/>
        <w:tabs>
          <w:tab w:leader="none" w:pos="1420" w:val="left"/>
          <w:tab w:leader="none" w:pos="2660" w:val="left"/>
        </w:tabs>
        <w:rPr>
          <w:sz w:val="20"/>
          <w:szCs w:val="20"/>
          <w:color w:val="auto"/>
        </w:rPr>
      </w:pPr>
      <w:r>
        <w:rPr>
          <w:rFonts w:ascii="Arial" w:cs="Arial" w:eastAsia="Arial" w:hAnsi="Arial"/>
          <w:sz w:val="18"/>
          <w:szCs w:val="18"/>
          <w:color w:val="auto"/>
        </w:rPr>
        <w:t>(First)</w:t>
      </w:r>
      <w:r>
        <w:rPr>
          <w:sz w:val="20"/>
          <w:szCs w:val="20"/>
          <w:color w:val="auto"/>
        </w:rPr>
        <w:tab/>
      </w:r>
      <w:r>
        <w:rPr>
          <w:rFonts w:ascii="Arial" w:cs="Arial" w:eastAsia="Arial" w:hAnsi="Arial"/>
          <w:sz w:val="18"/>
          <w:szCs w:val="18"/>
          <w:color w:val="auto"/>
        </w:rPr>
        <w:t>(Middle)</w:t>
      </w:r>
      <w:r>
        <w:rPr>
          <w:sz w:val="20"/>
          <w:szCs w:val="20"/>
          <w:color w:val="auto"/>
        </w:rPr>
        <w:tab/>
      </w:r>
      <w:r>
        <w:rPr>
          <w:rFonts w:ascii="Arial" w:cs="Arial" w:eastAsia="Arial" w:hAnsi="Arial"/>
          <w:sz w:val="16"/>
          <w:szCs w:val="16"/>
          <w:color w:val="auto"/>
        </w:rPr>
        <w:t>(Last)</w:t>
      </w:r>
    </w:p>
    <w:p>
      <w:pPr>
        <w:spacing w:after="0" w:line="200" w:lineRule="exact"/>
        <w:rPr>
          <w:sz w:val="20"/>
          <w:szCs w:val="20"/>
          <w:color w:val="auto"/>
        </w:rPr>
      </w:pPr>
    </w:p>
    <w:p>
      <w:pPr>
        <w:spacing w:after="0" w:line="227"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color w:val="auto"/>
        </w:rPr>
        <w:t>_________________________</w:t>
      </w:r>
      <w:r>
        <w:rPr>
          <w:sz w:val="20"/>
          <w:szCs w:val="20"/>
          <w:color w:val="auto"/>
        </w:rPr>
        <w:tab/>
      </w:r>
      <w:r>
        <w:rPr>
          <w:rFonts w:ascii="Arial" w:cs="Arial" w:eastAsia="Arial" w:hAnsi="Arial"/>
          <w:sz w:val="18"/>
          <w:szCs w:val="18"/>
          <w:color w:val="auto"/>
        </w:rPr>
        <w:t>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Relationship</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________________________________________</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Employee’s Social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Security Number: __________________</w:t>
      </w:r>
    </w:p>
    <w:p>
      <w:pPr>
        <w:spacing w:after="0" w:line="200" w:lineRule="exact"/>
        <w:rPr>
          <w:sz w:val="20"/>
          <w:szCs w:val="20"/>
          <w:color w:val="auto"/>
        </w:rPr>
      </w:pPr>
    </w:p>
    <w:p>
      <w:pPr>
        <w:spacing w:after="0" w:line="335"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Employee’s Address:*</w:t>
      </w:r>
      <w:r>
        <w:rPr>
          <w:sz w:val="20"/>
          <w:szCs w:val="20"/>
          <w:color w:val="auto"/>
        </w:rPr>
        <w:tab/>
      </w:r>
      <w:r>
        <w:rPr>
          <w:rFonts w:ascii="Arial" w:cs="Arial" w:eastAsia="Arial" w:hAnsi="Arial"/>
          <w:sz w:val="16"/>
          <w:szCs w:val="16"/>
          <w:color w:val="auto"/>
        </w:rPr>
        <w:t>_____________________________________</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_____________________________________</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_____________________________________</w:t>
      </w:r>
    </w:p>
    <w:p>
      <w:pPr>
        <w:spacing w:after="0" w:line="3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 UNDERSTAND THAT THIS SUBSCRIPTION AGREEMENT SHALL REMAIN IN EFFECT THROUGHOUT SUCCESSIVE OFFERING PERIODS UNLESS TERMINATED BY ME.</w:t>
      </w:r>
    </w:p>
    <w:p>
      <w:pPr>
        <w:spacing w:after="0" w:line="170"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Dated: _____________________</w:t>
      </w:r>
      <w:r>
        <w:rPr>
          <w:sz w:val="20"/>
          <w:szCs w:val="20"/>
          <w:color w:val="auto"/>
        </w:rPr>
        <w:tab/>
      </w:r>
      <w:r>
        <w:rPr>
          <w:rFonts w:ascii="Arial" w:cs="Arial" w:eastAsia="Arial" w:hAnsi="Arial"/>
          <w:sz w:val="16"/>
          <w:szCs w:val="16"/>
          <w:color w:val="auto"/>
        </w:rPr>
        <w:t>___________________________________</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It is the participant's responsibility to notify the Company's stock administrator in the event of a change of address.</w:t>
      </w:r>
    </w:p>
    <w:p>
      <w:pPr>
        <w:spacing w:after="0" w:line="200" w:lineRule="exact"/>
        <w:rPr>
          <w:sz w:val="20"/>
          <w:szCs w:val="20"/>
          <w:color w:val="auto"/>
        </w:rPr>
      </w:pPr>
    </w:p>
    <w:p>
      <w:pPr>
        <w:spacing w:after="0" w:line="30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240" w:top="395" w:right="41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EMPLOYEE STOCK PURCHASE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amended and restated effective June 10, 2010)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(Sub-Plan of the Autodesk, Inc. 1998 Employee Qualified Stock Purchase Plan, as amended and restated)</w:t>
      </w:r>
    </w:p>
    <w:p>
      <w:pPr>
        <w:spacing w:after="0" w:line="200" w:lineRule="exact"/>
        <w:rPr>
          <w:sz w:val="20"/>
          <w:szCs w:val="20"/>
          <w:color w:val="auto"/>
        </w:rPr>
      </w:pPr>
    </w:p>
    <w:p>
      <w:pPr>
        <w:spacing w:after="0" w:line="22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following constitute the provisions of the International Employee Stock Purchase Plan, as amended and restated (herein called the “Sub-Plan”) of Autodesk, Inc. (herein called the “Company”), a sub-plan of the Autodesk, Inc. 1998 Employee Qualified Stock Purchase Plan, as amended and restated (herein called the “US Plan”).</w:t>
      </w:r>
    </w:p>
    <w:p>
      <w:pPr>
        <w:spacing w:after="0" w:line="200" w:lineRule="exact"/>
        <w:rPr>
          <w:sz w:val="20"/>
          <w:szCs w:val="20"/>
          <w:color w:val="auto"/>
        </w:rPr>
      </w:pPr>
    </w:p>
    <w:p>
      <w:pPr>
        <w:spacing w:after="0" w:line="224" w:lineRule="exact"/>
        <w:rPr>
          <w:sz w:val="20"/>
          <w:szCs w:val="20"/>
          <w:color w:val="auto"/>
        </w:rPr>
      </w:pPr>
    </w:p>
    <w:p>
      <w:pPr>
        <w:jc w:val="both"/>
        <w:ind w:right="340" w:firstLine="656"/>
        <w:spacing w:after="0" w:line="306" w:lineRule="auto"/>
        <w:tabs>
          <w:tab w:leader="none" w:pos="143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Sub-Plan is intended to provide eligible employees of the Company’s Non-U.S. Affiliates the opportunity to acquire a proprietary interest in the Company through the purchase of shares of the Company’s common stock at periodic intervals with their accumulated payroll deductions or other approved contributions. The Sub-Plan is not intended to qualify as an employee stock purchase plan under Section 423 (b) of the U.S. Internal Revenue Code of 1986, as amended.</w:t>
      </w:r>
    </w:p>
    <w:p>
      <w:pPr>
        <w:spacing w:after="0" w:line="3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provisions of this Sub-Plan shall be governed by the U.S. Plan, except as otherwise provided herein.</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Sub-Plan became effective on the designated Effective Date.</w:t>
      </w:r>
    </w:p>
    <w:p>
      <w:pPr>
        <w:spacing w:after="0" w:line="200" w:lineRule="exact"/>
        <w:rPr>
          <w:sz w:val="20"/>
          <w:szCs w:val="20"/>
          <w:color w:val="auto"/>
        </w:rPr>
      </w:pPr>
    </w:p>
    <w:p>
      <w:pPr>
        <w:spacing w:after="0" w:line="241" w:lineRule="exact"/>
        <w:rPr>
          <w:sz w:val="20"/>
          <w:szCs w:val="20"/>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All definitions in the Sub-Plan shall be interpreted in accordance with the U.S. Plan except as otherwise provided herein.</w:t>
      </w:r>
    </w:p>
    <w:p>
      <w:pPr>
        <w:spacing w:after="0" w:line="200" w:lineRule="exact"/>
        <w:rPr>
          <w:sz w:val="20"/>
          <w:szCs w:val="20"/>
          <w:color w:val="auto"/>
        </w:rPr>
      </w:pPr>
    </w:p>
    <w:p>
      <w:pPr>
        <w:spacing w:after="0" w:line="241" w:lineRule="exact"/>
        <w:rPr>
          <w:sz w:val="20"/>
          <w:szCs w:val="20"/>
          <w:color w:val="auto"/>
        </w:rPr>
      </w:pPr>
    </w:p>
    <w:p>
      <w:pPr>
        <w:jc w:val="both"/>
        <w:ind w:right="160" w:firstLine="1305"/>
        <w:spacing w:after="0" w:line="264" w:lineRule="auto"/>
        <w:tabs>
          <w:tab w:leader="none" w:pos="167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“Affiliate” shall mean a corporation, partnership, joint venture or other business entity, or branch of such business entity, domestic or foreign, of which not less than 50% of the voting shares are held by the Company or a Subsidiary, whether or not such corporation now exists or is hereafter organized or acquired by the Company or an Affiliate.</w:t>
      </w:r>
    </w:p>
    <w:p>
      <w:pPr>
        <w:spacing w:after="0" w:line="397" w:lineRule="exact"/>
        <w:rPr>
          <w:rFonts w:ascii="Arial" w:cs="Arial" w:eastAsia="Arial" w:hAnsi="Arial"/>
          <w:sz w:val="18"/>
          <w:szCs w:val="18"/>
          <w:color w:val="auto"/>
        </w:rPr>
      </w:pPr>
    </w:p>
    <w:p>
      <w:pPr>
        <w:ind w:right="100" w:firstLine="1305"/>
        <w:spacing w:after="0" w:line="264" w:lineRule="auto"/>
        <w:tabs>
          <w:tab w:leader="none" w:pos="1686" w:val="left"/>
        </w:tabs>
        <w:numPr>
          <w:ilvl w:val="0"/>
          <w:numId w:val="66"/>
        </w:numPr>
        <w:rPr>
          <w:rFonts w:ascii="Arial" w:cs="Arial" w:eastAsia="Arial" w:hAnsi="Arial"/>
          <w:sz w:val="18"/>
          <w:szCs w:val="18"/>
          <w:color w:val="auto"/>
        </w:rPr>
      </w:pPr>
      <w:r>
        <w:rPr>
          <w:rFonts w:ascii="Arial" w:cs="Arial" w:eastAsia="Arial" w:hAnsi="Arial"/>
          <w:sz w:val="18"/>
          <w:szCs w:val="18"/>
          <w:color w:val="auto"/>
        </w:rPr>
        <w:t>“Effective Date” shall mean December 6, 2007; provided, however, that any Non-U.S. Affiliate which elects, with the approval of the Board, to extend the benefits of this Sub-Plan to its Employees after December 6, 2007, shall designate a subsequent Effective Date with respect to its employee-Participants.</w:t>
      </w:r>
    </w:p>
    <w:p>
      <w:pPr>
        <w:spacing w:after="0" w:line="397" w:lineRule="exact"/>
        <w:rPr>
          <w:rFonts w:ascii="Arial" w:cs="Arial" w:eastAsia="Arial" w:hAnsi="Arial"/>
          <w:sz w:val="18"/>
          <w:szCs w:val="18"/>
          <w:color w:val="auto"/>
        </w:rPr>
      </w:pPr>
    </w:p>
    <w:p>
      <w:pPr>
        <w:ind w:left="1680" w:hanging="375"/>
        <w:spacing w:after="0"/>
        <w:tabs>
          <w:tab w:leader="none" w:pos="1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“Employee” shall mean any person employed by a Non-U.S. Affiliate;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right="40" w:firstLine="1305"/>
        <w:spacing w:after="0" w:line="257" w:lineRule="auto"/>
        <w:tabs>
          <w:tab w:leader="none" w:pos="1686"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“Non-U.S. Affiliate” shall mean any of the Affiliates which: (i) have been designated by the Board from time to time in its sole discretion as eligible to participate in the Sub-Plan;(ii) has Employees working outside of the United States; and (iii) elects, with the approval of the Board, to extend the benefits of this Sub-Plan to its Employees. As of the Effective Date, the eligible employees of Non-U.S. Affiliates in the countries listed on the attached Schedule A may participate in the Sub-Plan. Additional eligible employees of Non-U.S. Affiliates in other countries may participate in the Sub-Plan subsequent to the Effective Date.</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right="340" w:firstLine="1305"/>
        <w:spacing w:after="0" w:line="277" w:lineRule="auto"/>
        <w:tabs>
          <w:tab w:leader="none" w:pos="1676"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“Participant” means any Employee who meets the eligibility and participation requirements set forth in Section 3, below, and is an Employee of a Non-U.S. Affiliate.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08" w:name="page109"/>
    <w:bookmarkEnd w:id="108"/>
    <w:p>
      <w:pPr>
        <w:ind w:left="-20" w:right="440" w:firstLine="656"/>
        <w:spacing w:after="0" w:line="277" w:lineRule="auto"/>
        <w:tabs>
          <w:tab w:leader="none" w:pos="943"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Each individual who is as of the last day of the Enrollment Period for the applicable Offering Period an Employee of a Non-US Affiliate shall be eligible to participate in the Sub-Plan for that Offering Period.</w:t>
      </w:r>
    </w:p>
    <w:p>
      <w:pPr>
        <w:spacing w:after="0" w:line="386" w:lineRule="exact"/>
        <w:rPr>
          <w:rFonts w:ascii="Arial" w:cs="Arial" w:eastAsia="Arial" w:hAnsi="Arial"/>
          <w:sz w:val="18"/>
          <w:szCs w:val="18"/>
          <w:color w:val="auto"/>
        </w:rPr>
      </w:pPr>
    </w:p>
    <w:p>
      <w:pPr>
        <w:ind w:left="960" w:hanging="324"/>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0" w:right="60" w:firstLine="1305"/>
        <w:spacing w:after="0" w:line="259" w:lineRule="auto"/>
        <w:tabs>
          <w:tab w:leader="none" w:pos="1646"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 eligible Employee may become a Participant in the Plan by completing a subscription agreement authorizing payroll deductions or other approved contributions on the form provided by the Company and filing it with the Company’s payroll office during the Enrollment Period for the applicable Offering Period, unless a later or earlier time for filing the subscription agreement is set by the Board for all eligible Employees with respect to a given offering.</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0" w:right="120" w:firstLine="1305"/>
        <w:spacing w:after="0" w:line="259" w:lineRule="auto"/>
        <w:tabs>
          <w:tab w:leader="none" w:pos="1666" w:val="left"/>
        </w:tabs>
        <w:numPr>
          <w:ilvl w:val="1"/>
          <w:numId w:val="67"/>
        </w:numPr>
        <w:rPr>
          <w:rFonts w:ascii="Arial" w:cs="Arial" w:eastAsia="Arial" w:hAnsi="Arial"/>
          <w:sz w:val="18"/>
          <w:szCs w:val="18"/>
          <w:color w:val="auto"/>
        </w:rPr>
      </w:pPr>
      <w:r>
        <w:rPr>
          <w:rFonts w:ascii="Arial" w:cs="Arial" w:eastAsia="Arial" w:hAnsi="Arial"/>
          <w:sz w:val="18"/>
          <w:szCs w:val="18"/>
          <w:color w:val="auto"/>
        </w:rPr>
        <w:t>Payroll deductions for a Participant shall continue at the rate specified in the subscription agreement throughout the Offering Period with automatic re-enrollment for the Offering Period which commences the day after the Exercise Date at the same rate specified in the original subscription agreement, subject to any change in subscription rate made pursuant to Section 6(c) of the U.S. Plan, unless sooner terminated by the participant as provided in Section 11 of the U.S. Plan.</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60" w:hanging="324"/>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Payroll Deductions and Other Approved Contributions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0" w:right="40" w:firstLine="1305"/>
        <w:spacing w:after="0" w:line="264" w:lineRule="auto"/>
        <w:tabs>
          <w:tab w:leader="none" w:pos="1656" w:val="left"/>
        </w:tabs>
        <w:numPr>
          <w:ilvl w:val="1"/>
          <w:numId w:val="67"/>
        </w:numPr>
        <w:rPr>
          <w:rFonts w:ascii="Arial" w:cs="Arial" w:eastAsia="Arial" w:hAnsi="Arial"/>
          <w:sz w:val="18"/>
          <w:szCs w:val="18"/>
          <w:color w:val="auto"/>
        </w:rPr>
      </w:pPr>
      <w:r>
        <w:rPr>
          <w:rFonts w:ascii="Arial" w:cs="Arial" w:eastAsia="Arial" w:hAnsi="Arial"/>
          <w:sz w:val="18"/>
          <w:szCs w:val="18"/>
          <w:color w:val="auto"/>
        </w:rPr>
        <w:t>Except to the extent otherwise determined by the Board, payroll deductions shall be made in accordance with Section 6 of the U.S. Plan. The Board may, at its discretion, approve other methods of contributions including, without limitation, check, cash or standing order of the Participant’s individual bank account.</w:t>
      </w:r>
    </w:p>
    <w:p>
      <w:pPr>
        <w:spacing w:after="0" w:line="397" w:lineRule="exact"/>
        <w:rPr>
          <w:rFonts w:ascii="Arial" w:cs="Arial" w:eastAsia="Arial" w:hAnsi="Arial"/>
          <w:sz w:val="18"/>
          <w:szCs w:val="18"/>
          <w:color w:val="auto"/>
        </w:rPr>
      </w:pPr>
    </w:p>
    <w:p>
      <w:pPr>
        <w:ind w:left="-20" w:firstLine="1305"/>
        <w:spacing w:after="0" w:line="257" w:lineRule="auto"/>
        <w:tabs>
          <w:tab w:leader="none" w:pos="1663"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amounts so collected shall be credited to the participant’s individual book account under the Sub-Plan, initially in the currency in which paid by the Non-U.S. Affiliate until converted into U.S. Dollars. Accordingly, all purchases of Common Stock under the Sub-Plan are to be made with the U.S. Dollars into which the payroll deductions for the Offering Period or other approved contributions have been converted. The amounts collected from a participant may be commingled with the general assets of the Company or the Non-U.S. Affiliate and may be used for general corporate purposes, except as otherwise required by local law.</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20" w:right="40" w:firstLine="1305"/>
        <w:spacing w:after="0" w:line="293" w:lineRule="auto"/>
        <w:tabs>
          <w:tab w:leader="none" w:pos="1656" w:val="left"/>
        </w:tabs>
        <w:numPr>
          <w:ilvl w:val="1"/>
          <w:numId w:val="67"/>
        </w:numPr>
        <w:rPr>
          <w:rFonts w:ascii="Arial" w:cs="Arial" w:eastAsia="Arial" w:hAnsi="Arial"/>
          <w:sz w:val="16"/>
          <w:szCs w:val="16"/>
          <w:color w:val="auto"/>
        </w:rPr>
      </w:pPr>
      <w:r>
        <w:rPr>
          <w:rFonts w:ascii="Arial" w:cs="Arial" w:eastAsia="Arial" w:hAnsi="Arial"/>
          <w:sz w:val="16"/>
          <w:szCs w:val="16"/>
          <w:color w:val="auto"/>
        </w:rPr>
        <w:t>For purposes of determining the number of shares purchasable by a participant, the payroll deductions or other approved contributions credited to each participant’s book account during each Exercise Period shall be converted into U.S. Dollars on the Exercise Date for that Exercise Period on the basis of the exchange rate in effect on such date. The Board shall have the absolute discretion to determine the applicable exchange rate to be in effect for each Exercise Date by any reasonable method (including, without limitation, the exchange rate actually used by the Company for its intra-Company financial transactions for the month of such transfer). Any changes or fluctuations in the exchange rate at which the payroll deductions or other approved contributions collected on the participant’s behalf are converted into U.S. Dollars on each Exercise Date shall be borne solely by the participant.</w:t>
      </w:r>
    </w:p>
    <w:p>
      <w:pPr>
        <w:spacing w:after="0" w:line="380" w:lineRule="exact"/>
        <w:rPr>
          <w:rFonts w:ascii="Arial" w:cs="Arial" w:eastAsia="Arial" w:hAnsi="Arial"/>
          <w:sz w:val="16"/>
          <w:szCs w:val="16"/>
          <w:color w:val="auto"/>
        </w:rPr>
      </w:pPr>
    </w:p>
    <w:p>
      <w:pPr>
        <w:ind w:left="960" w:hanging="324"/>
        <w:spacing w:after="0"/>
        <w:tabs>
          <w:tab w:leader="none" w:pos="96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The grant of the option and the purchase price of the option shall be in accordance with Section 7 of the U.S. Plan.</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960" w:hanging="324"/>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The exercise of the option shall be in accordance with Section 8 of the U.S. Plan.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60" w:hanging="324"/>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Withdrawal; Termination of Employment</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0" w:right="360" w:firstLine="1305"/>
        <w:spacing w:after="0" w:line="312" w:lineRule="auto"/>
        <w:tabs>
          <w:tab w:leader="none" w:pos="1646" w:val="left"/>
        </w:tabs>
        <w:numPr>
          <w:ilvl w:val="1"/>
          <w:numId w:val="67"/>
        </w:numPr>
        <w:rPr>
          <w:rFonts w:ascii="Arial" w:cs="Arial" w:eastAsia="Arial" w:hAnsi="Arial"/>
          <w:sz w:val="16"/>
          <w:szCs w:val="16"/>
          <w:color w:val="auto"/>
        </w:rPr>
      </w:pPr>
      <w:r>
        <w:rPr>
          <w:rFonts w:ascii="Arial" w:cs="Arial" w:eastAsia="Arial" w:hAnsi="Arial"/>
          <w:sz w:val="16"/>
          <w:szCs w:val="16"/>
          <w:color w:val="auto"/>
        </w:rPr>
        <w:t>A Participant may withdraw all but not less than all the payroll deductions or other approved contributions credited to his or her account under the Sub-Plan at any time prior to the Exercise Date of the Offering Period by giving written notice to the Company. All of the Participant’s payroll deductions or other approved contributions credited to his or her account will be paid to him or her at the next pay date after receipt 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584" w:right="259" w:bottom="1440" w:gutter="0" w:footer="0" w:header="0"/>
        </w:sectPr>
      </w:pPr>
    </w:p>
    <w:bookmarkStart w:id="109" w:name="page110"/>
    <w:bookmarkEnd w:id="109"/>
    <w:p>
      <w:pPr>
        <w:ind w:right="20"/>
        <w:spacing w:after="0" w:line="277" w:lineRule="auto"/>
        <w:rPr>
          <w:sz w:val="20"/>
          <w:szCs w:val="20"/>
          <w:color w:val="auto"/>
        </w:rPr>
      </w:pPr>
      <w:r>
        <w:rPr>
          <w:rFonts w:ascii="Arial" w:cs="Arial" w:eastAsia="Arial" w:hAnsi="Arial"/>
          <w:sz w:val="18"/>
          <w:szCs w:val="18"/>
          <w:color w:val="auto"/>
        </w:rPr>
        <w:t>his or her notice of withdrawal and his or her option for the current period will be automatically terminated, and no further payroll deductions for the purchase of shares will be made during the Offering Period.</w:t>
      </w:r>
    </w:p>
    <w:p>
      <w:pPr>
        <w:spacing w:after="0" w:line="387" w:lineRule="exact"/>
        <w:rPr>
          <w:sz w:val="20"/>
          <w:szCs w:val="20"/>
          <w:color w:val="auto"/>
        </w:rPr>
      </w:pPr>
    </w:p>
    <w:p>
      <w:pPr>
        <w:ind w:right="20" w:firstLine="1305"/>
        <w:spacing w:after="0" w:line="312" w:lineRule="auto"/>
        <w:tabs>
          <w:tab w:leader="none" w:pos="1686" w:val="left"/>
        </w:tabs>
        <w:numPr>
          <w:ilvl w:val="1"/>
          <w:numId w:val="68"/>
        </w:numPr>
        <w:rPr>
          <w:rFonts w:ascii="Arial" w:cs="Arial" w:eastAsia="Arial" w:hAnsi="Arial"/>
          <w:sz w:val="16"/>
          <w:szCs w:val="16"/>
          <w:color w:val="auto"/>
        </w:rPr>
      </w:pPr>
      <w:r>
        <w:rPr>
          <w:rFonts w:ascii="Arial" w:cs="Arial" w:eastAsia="Arial" w:hAnsi="Arial"/>
          <w:sz w:val="16"/>
          <w:szCs w:val="16"/>
          <w:color w:val="auto"/>
        </w:rPr>
        <w:t>Upon termination of the participant’s Continuous Status as an Employee prior to the Exercise Date for any reason, including retirement or death, the payroll deductions or other approved contributions credited to his or her account will be returned to the participant’s or, in the case the of Participant’s death, to the person or persons entitled thereto under Section 15 of the U.S. Plan, and his or her option will be automatically terminated.</w:t>
      </w:r>
    </w:p>
    <w:p>
      <w:pPr>
        <w:spacing w:after="0" w:line="362" w:lineRule="exact"/>
        <w:rPr>
          <w:rFonts w:ascii="Arial" w:cs="Arial" w:eastAsia="Arial" w:hAnsi="Arial"/>
          <w:sz w:val="16"/>
          <w:szCs w:val="16"/>
          <w:color w:val="auto"/>
        </w:rPr>
      </w:pPr>
    </w:p>
    <w:p>
      <w:pPr>
        <w:ind w:firstLine="1305"/>
        <w:spacing w:after="0" w:line="277" w:lineRule="auto"/>
        <w:tabs>
          <w:tab w:leader="none" w:pos="1666"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Participant’s withdrawal from an offering will not have any effect upon his or her eligibility to participate in a succeeding offering or in any similar plan which may hereafter be adopted by the Company.</w:t>
      </w:r>
    </w:p>
    <w:p>
      <w:pPr>
        <w:spacing w:after="0" w:line="386"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Transfer of Employment</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right="180" w:firstLine="1305"/>
        <w:spacing w:after="0" w:line="255" w:lineRule="auto"/>
        <w:tabs>
          <w:tab w:leader="none" w:pos="1676"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the event that a Participant who is an Employee of a Non-U.S. Affiliate is transferred and becomes an employee of the Company during an Offering Period under the Sub-Plan, such individual may, subject to the terms and eligibility of the U.S. Plan, become a participant under the U.S. Plan for the duration of the Offering Period in effect at that time. Unless otherwise required under local law, any payroll deductions or other approved contributions may continue to be held by the Non-U.S. Affiliate former employer of the Participant for the remainder of the Offering Period. At the next Exercise date, all payroll deductions and other approved contributions made by or to the Company or the Non-U.S. Affiliate shall be aggregated for the purchase of shares subject to the terms and limitations of the U.S. Plan.</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right="60" w:firstLine="1305"/>
        <w:spacing w:after="0" w:line="276" w:lineRule="auto"/>
        <w:tabs>
          <w:tab w:leader="none" w:pos="1686" w:val="left"/>
        </w:tabs>
        <w:numPr>
          <w:ilvl w:val="1"/>
          <w:numId w:val="69"/>
        </w:numPr>
        <w:rPr>
          <w:rFonts w:ascii="Arial" w:cs="Arial" w:eastAsia="Arial" w:hAnsi="Arial"/>
          <w:sz w:val="17"/>
          <w:szCs w:val="17"/>
          <w:color w:val="auto"/>
        </w:rPr>
      </w:pPr>
      <w:r>
        <w:rPr>
          <w:rFonts w:ascii="Arial" w:cs="Arial" w:eastAsia="Arial" w:hAnsi="Arial"/>
          <w:sz w:val="17"/>
          <w:szCs w:val="17"/>
          <w:color w:val="auto"/>
        </w:rPr>
        <w:t>In the event that an employee of the Company who is a participant in the U.S. Plan is transferred and becomes an Employee of a Non-U.S. Affiliate during an Offering Period in effect under the U.S. Plan, such individual may become a participant under the Sub-Plan for the duration of the Offering Period in effect at that time. Unless otherwise required under local law, any payroll deductions may continue to be held by the Company for the remainder of the Offering Period. At the next Exercise date, all payroll deductions and other approved contributions made by or to the Company or Non-U.S. Affiliate may be aggregated for the purchase of shares subject to the terms and limitations of the Sub-Plan.</w:t>
      </w:r>
    </w:p>
    <w:p>
      <w:pPr>
        <w:spacing w:after="0" w:line="388" w:lineRule="exact"/>
        <w:rPr>
          <w:rFonts w:ascii="Arial" w:cs="Arial" w:eastAsia="Arial" w:hAnsi="Arial"/>
          <w:sz w:val="17"/>
          <w:szCs w:val="17"/>
          <w:color w:val="auto"/>
        </w:rPr>
      </w:pPr>
    </w:p>
    <w:p>
      <w:pPr>
        <w:ind w:left="1060" w:hanging="404"/>
        <w:spacing w:after="0"/>
        <w:tabs>
          <w:tab w:leader="none" w:pos="106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No interest shall accrue on the payroll deductions or other approved contributions of a Participant in the Sub-Plan unless required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local law.</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1060" w:hanging="40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right="360" w:firstLine="1305"/>
        <w:spacing w:after="0" w:line="264" w:lineRule="auto"/>
        <w:tabs>
          <w:tab w:leader="none" w:pos="1673"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shares of the Company’s Common Stock purchasable by Participants under the Sub-Plan shall be made available from shares reserved under the U.S. Plan and any shares issued under the Sub-Plan will reduce, on a share-for-share basis, the number of shares of Stock available for subsequent issuance under the U.S. Plan.</w:t>
      </w:r>
    </w:p>
    <w:p>
      <w:pPr>
        <w:spacing w:after="0" w:line="397" w:lineRule="exact"/>
        <w:rPr>
          <w:rFonts w:ascii="Arial" w:cs="Arial" w:eastAsia="Arial" w:hAnsi="Arial"/>
          <w:sz w:val="18"/>
          <w:szCs w:val="18"/>
          <w:color w:val="auto"/>
        </w:rPr>
      </w:pPr>
    </w:p>
    <w:p>
      <w:pPr>
        <w:ind w:left="1700" w:hanging="395"/>
        <w:spacing w:after="0"/>
        <w:tabs>
          <w:tab w:leader="none" w:pos="17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Participant will have no interest or voting right in shares covered by his or her option until such option has been exercised.</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right="580" w:firstLine="1305"/>
        <w:spacing w:after="0" w:line="277" w:lineRule="auto"/>
        <w:tabs>
          <w:tab w:leader="none" w:pos="1676" w:val="left"/>
        </w:tabs>
        <w:numPr>
          <w:ilvl w:val="1"/>
          <w:numId w:val="69"/>
        </w:numPr>
        <w:rPr>
          <w:rFonts w:ascii="Arial" w:cs="Arial" w:eastAsia="Arial" w:hAnsi="Arial"/>
          <w:sz w:val="18"/>
          <w:szCs w:val="18"/>
          <w:color w:val="auto"/>
        </w:rPr>
      </w:pPr>
      <w:r>
        <w:rPr>
          <w:rFonts w:ascii="Arial" w:cs="Arial" w:eastAsia="Arial" w:hAnsi="Arial"/>
          <w:sz w:val="18"/>
          <w:szCs w:val="18"/>
          <w:color w:val="auto"/>
        </w:rPr>
        <w:t>Shares to be delivered to a Participant under the Sub-Plan will be registered in the name of the Participant or in the name of the Participant and his or her spouse.</w:t>
      </w:r>
    </w:p>
    <w:p>
      <w:pPr>
        <w:spacing w:after="0" w:line="386" w:lineRule="exact"/>
        <w:rPr>
          <w:rFonts w:ascii="Arial" w:cs="Arial" w:eastAsia="Arial" w:hAnsi="Arial"/>
          <w:sz w:val="18"/>
          <w:szCs w:val="18"/>
          <w:color w:val="auto"/>
        </w:rPr>
      </w:pPr>
    </w:p>
    <w:p>
      <w:pPr>
        <w:ind w:right="120" w:firstLine="656"/>
        <w:spacing w:after="0" w:line="257" w:lineRule="auto"/>
        <w:tabs>
          <w:tab w:leader="none" w:pos="1053"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Sub-Plan shall be administered in accordance with Section 14 of the U.S. Plan. The Board may adopt rules or procedures relating to the operation and administration of the Sub-Plan to accommodate the specific requirements of the law and procedures of applicable jurisdictions. Without limiting the generality of the foregoing, the Board is specifically authorized to adopt rules and procedures regarding handling of payroll deductions or other approved contributions, payment of interest, conversion of local currency, payroll tax, withholding procedures and handling of stock certificates that vary with local requirements. The Board may also</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110" w:name="page111"/>
    <w:bookmarkEnd w:id="110"/>
    <w:p>
      <w:pPr>
        <w:spacing w:after="0" w:line="264" w:lineRule="auto"/>
        <w:rPr>
          <w:sz w:val="20"/>
          <w:szCs w:val="20"/>
          <w:color w:val="auto"/>
        </w:rPr>
      </w:pPr>
      <w:r>
        <w:rPr>
          <w:rFonts w:ascii="Arial" w:cs="Arial" w:eastAsia="Arial" w:hAnsi="Arial"/>
          <w:sz w:val="18"/>
          <w:szCs w:val="18"/>
          <w:color w:val="auto"/>
        </w:rPr>
        <w:t>adopt rules, procedures or sub-plans applicable to particular Non-U.S. Affiliates or jurisdictions. The rules of such sub-plans may take precedence over other provisions of this Sub-Plan, with the exception of Section 11 of the Sub-Plan, but unless otherwise superseded by the terms of such sub-plan, the provisions of the Sub-Plan shall govern the operation of such sub-plan.</w:t>
      </w:r>
    </w:p>
    <w:p>
      <w:pPr>
        <w:spacing w:after="0" w:line="397" w:lineRule="exact"/>
        <w:rPr>
          <w:sz w:val="20"/>
          <w:szCs w:val="20"/>
          <w:color w:val="auto"/>
        </w:rPr>
      </w:pPr>
    </w:p>
    <w:p>
      <w:pPr>
        <w:ind w:right="20" w:firstLine="656"/>
        <w:spacing w:after="0" w:line="293" w:lineRule="auto"/>
        <w:tabs>
          <w:tab w:leader="none" w:pos="1053"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Neither payroll deductions nor other funds credited to a Participant’s account nor any rights with regard to the exercise of an option or to receive shares under the Sub-Plan may be assigned, transferred, pledged or otherwise disposed of in any way (other than by will, the laws of descent and distribution or as provided in Section 15 of the U.S. Plan) by the Participant. Any such attempt at assignment, transfer, pledge or other disposition shall be without effect, except that the Company may treat such act as an election to withdraw funds in accordance with Section 11 of the U.S. Plan. In order to comply with local law (including, without limitation, local securities and applicable exchange laws), the Company may require a Participant to retain the shares purchased on his or her behalf in a Company account or an account of a designated broker until the sale of such shares.</w:t>
      </w:r>
    </w:p>
    <w:p>
      <w:pPr>
        <w:spacing w:after="0" w:line="380" w:lineRule="exact"/>
        <w:rPr>
          <w:rFonts w:ascii="Arial" w:cs="Arial" w:eastAsia="Arial" w:hAnsi="Arial"/>
          <w:sz w:val="16"/>
          <w:szCs w:val="16"/>
          <w:color w:val="auto"/>
        </w:rPr>
      </w:pPr>
    </w:p>
    <w:p>
      <w:pPr>
        <w:ind w:right="80" w:firstLine="656"/>
        <w:spacing w:after="0" w:line="264" w:lineRule="auto"/>
        <w:tabs>
          <w:tab w:leader="none" w:pos="1053"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or other approved contributions received or held by the Company under the Sub-Plan may be used by the Company for any corporate purpose, and the Company shall not be obligated to segregate such payroll deductions or other approved contributions unless required by local law.</w:t>
      </w:r>
    </w:p>
    <w:p>
      <w:pPr>
        <w:spacing w:after="0" w:line="397" w:lineRule="exact"/>
        <w:rPr>
          <w:rFonts w:ascii="Arial" w:cs="Arial" w:eastAsia="Arial" w:hAnsi="Arial"/>
          <w:sz w:val="18"/>
          <w:szCs w:val="18"/>
          <w:color w:val="auto"/>
        </w:rPr>
      </w:pPr>
    </w:p>
    <w:p>
      <w:pPr>
        <w:ind w:right="20" w:firstLine="656"/>
        <w:spacing w:after="0" w:line="286" w:lineRule="auto"/>
        <w:tabs>
          <w:tab w:leader="none" w:pos="1053"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Reports</w:t>
      </w:r>
      <w:r>
        <w:rPr>
          <w:rFonts w:ascii="Arial" w:cs="Arial" w:eastAsia="Arial" w:hAnsi="Arial"/>
          <w:sz w:val="17"/>
          <w:szCs w:val="17"/>
          <w:color w:val="auto"/>
        </w:rPr>
        <w:t>. Individual accounts will be maintained for each Participant in the Sub-Plan. Statements of account will be given to participating Employees annually promptly following the Exercise Date, which statements will set forth the amounts of payroll deductions or other approved contributions, the per share purchase price, the number of shares purchased and the remaining cash balance refunded or to be refunded, if any.</w:t>
      </w:r>
    </w:p>
    <w:p>
      <w:pPr>
        <w:spacing w:after="0" w:line="381" w:lineRule="exact"/>
        <w:rPr>
          <w:rFonts w:ascii="Arial" w:cs="Arial" w:eastAsia="Arial" w:hAnsi="Arial"/>
          <w:sz w:val="17"/>
          <w:szCs w:val="17"/>
          <w:color w:val="auto"/>
        </w:rPr>
      </w:pPr>
    </w:p>
    <w:p>
      <w:pPr>
        <w:ind w:right="320" w:firstLine="656"/>
        <w:spacing w:after="0" w:line="264" w:lineRule="auto"/>
        <w:tabs>
          <w:tab w:leader="none" w:pos="1053"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Board of Directors of the Company or its Committee appointed pursuant to the U.S. Plan may at any time terminate or amend the Sub-Plan. No such termination can affect options previously granted, nor may an amendment make any change in any option theretofore granted which adversely affects the rights of any participant.</w:t>
      </w:r>
    </w:p>
    <w:p>
      <w:pPr>
        <w:spacing w:after="0" w:line="39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Notwithstanding any provision of the U.S. Plan or this Sub-Plan to the contrary, in order to comply with the laws in other countries in which the Company and its Subsidiaries operate or have participants, the Company, by action of its duly authorized officers, in their sole discretion, shall have the power and authority at any time to establish “offering document” and similar addendums to this Sub-Plan to modify administrative procedures and other terms and procedures, to the extent such actions may be necessary or advisable and take any action that it deems advisable to obtain approval or comply with any necessary local governmental regulatory exemptions or approvals. Notwithstanding the foregoing, no action may be taken hereunder that would violate the Exchange Act, the Code, any securities law or governing statute or any other applicable law or cause the U.S. Plan not to comply with Section 423 of the Code.</w:t>
      </w:r>
    </w:p>
    <w:p>
      <w:pPr>
        <w:spacing w:after="0" w:line="200" w:lineRule="exact"/>
        <w:rPr>
          <w:sz w:val="20"/>
          <w:szCs w:val="20"/>
          <w:color w:val="auto"/>
        </w:rPr>
      </w:pPr>
    </w:p>
    <w:p>
      <w:pPr>
        <w:spacing w:after="0" w:line="205" w:lineRule="exact"/>
        <w:rPr>
          <w:sz w:val="20"/>
          <w:szCs w:val="20"/>
          <w:color w:val="auto"/>
        </w:rPr>
      </w:pPr>
    </w:p>
    <w:p>
      <w:pPr>
        <w:ind w:right="340" w:firstLine="656"/>
        <w:spacing w:after="0" w:line="264" w:lineRule="auto"/>
        <w:tabs>
          <w:tab w:leader="none" w:pos="1053"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Sub-Plan shall be deemed to have been duly given when received in the form specified by the Company at the location, or by the person, designated by the Company for the receipt thereof.</w:t>
      </w:r>
    </w:p>
    <w:p>
      <w:pPr>
        <w:spacing w:after="0" w:line="397" w:lineRule="exact"/>
        <w:rPr>
          <w:rFonts w:ascii="Arial" w:cs="Arial" w:eastAsia="Arial" w:hAnsi="Arial"/>
          <w:sz w:val="18"/>
          <w:szCs w:val="18"/>
          <w:color w:val="auto"/>
        </w:rPr>
      </w:pPr>
    </w:p>
    <w:p>
      <w:pPr>
        <w:ind w:left="1060" w:hanging="404"/>
        <w:spacing w:after="0"/>
        <w:tabs>
          <w:tab w:leader="none" w:pos="106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Term of Sub-Plan</w:t>
      </w:r>
      <w:r>
        <w:rPr>
          <w:rFonts w:ascii="Arial" w:cs="Arial" w:eastAsia="Arial" w:hAnsi="Arial"/>
          <w:sz w:val="16"/>
          <w:szCs w:val="16"/>
          <w:color w:val="auto"/>
        </w:rPr>
        <w:t>. The Sub-Plan became effective on December 6, 2007, and shall continue in effect until the expiration or termination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U.S. Plan.</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jc w:val="both"/>
        <w:ind w:right="20" w:firstLine="656"/>
        <w:spacing w:after="0" w:line="279" w:lineRule="auto"/>
        <w:tabs>
          <w:tab w:leader="none" w:pos="1053"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Governing Laws</w:t>
      </w:r>
      <w:r>
        <w:rPr>
          <w:rFonts w:ascii="Arial" w:cs="Arial" w:eastAsia="Arial" w:hAnsi="Arial"/>
          <w:sz w:val="17"/>
          <w:szCs w:val="17"/>
          <w:color w:val="auto"/>
        </w:rPr>
        <w:t>. Except as otherwise expressly required under the laws of the local jurisdiction, the Sub-Plan and all rights hereunder shall be governed by and construed in accordance with the laws of the state of California, United States of America without resort to that state’s conflict-of-laws rules. Should any provision of this Sub-Plan be determined by a court of competent jurisdiction to be unlawful or unenforceable for a country, such determination shall in no way affect the application of that provision in any other country, or any of the remaining provisions of the Sub-Plan.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111" w:name="page112"/>
    <w:bookmarkEnd w:id="111"/>
    <w:p>
      <w:pPr>
        <w:ind w:left="528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00" w:lineRule="exact"/>
        <w:rPr>
          <w:sz w:val="20"/>
          <w:szCs w:val="20"/>
          <w:color w:val="auto"/>
        </w:rPr>
      </w:pPr>
    </w:p>
    <w:p>
      <w:pPr>
        <w:spacing w:after="0" w:line="241" w:lineRule="exact"/>
        <w:rPr>
          <w:sz w:val="20"/>
          <w:szCs w:val="20"/>
          <w:color w:val="auto"/>
        </w:rPr>
      </w:pPr>
    </w:p>
    <w:p>
      <w:pPr>
        <w:jc w:val="center"/>
        <w:ind w:right="-1160"/>
        <w:spacing w:after="0"/>
        <w:rPr>
          <w:sz w:val="20"/>
          <w:szCs w:val="20"/>
          <w:color w:val="auto"/>
        </w:rPr>
      </w:pPr>
      <w:r>
        <w:rPr>
          <w:rFonts w:ascii="Arial" w:cs="Arial" w:eastAsia="Arial" w:hAnsi="Arial"/>
          <w:sz w:val="16"/>
          <w:szCs w:val="16"/>
          <w:b w:val="1"/>
          <w:bCs w:val="1"/>
          <w:color w:val="auto"/>
        </w:rPr>
        <w:t>Countries with Eligible Employees of Non-U.S. Affiliates Participating in the</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International Employee Stock Purchase Plan</w:t>
      </w:r>
    </w:p>
    <w:p>
      <w:pPr>
        <w:spacing w:after="0" w:line="200" w:lineRule="exact"/>
        <w:rPr>
          <w:sz w:val="20"/>
          <w:szCs w:val="20"/>
          <w:color w:val="auto"/>
        </w:rPr>
      </w:pPr>
    </w:p>
    <w:p>
      <w:pPr>
        <w:spacing w:after="0" w:line="22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of February 27, 2013)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Arab Emirates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580" w:right="1440"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ind w:left="2820"/>
              <w:spacing w:after="0"/>
              <w:rPr>
                <w:sz w:val="20"/>
                <w:szCs w:val="20"/>
                <w:color w:val="auto"/>
              </w:rPr>
            </w:pPr>
            <w:r>
              <w:rPr>
                <w:rFonts w:ascii="Arial" w:cs="Arial" w:eastAsia="Arial" w:hAnsi="Arial"/>
                <w:sz w:val="18"/>
                <w:szCs w:val="18"/>
                <w:b w:val="1"/>
                <w:bCs w:val="1"/>
                <w:color w:val="auto"/>
                <w:w w:val="91"/>
              </w:rPr>
              <w:t>Exhibit 21.1</w:t>
            </w:r>
          </w:p>
        </w:tc>
      </w:tr>
      <w:tr>
        <w:trPr>
          <w:trHeight w:val="729"/>
        </w:trPr>
        <w:tc>
          <w:tcPr>
            <w:tcW w:w="7660" w:type="dxa"/>
            <w:vAlign w:val="bottom"/>
            <w:gridSpan w:val="2"/>
          </w:tcPr>
          <w:p>
            <w:pPr>
              <w:jc w:val="center"/>
              <w:ind w:left="3690"/>
              <w:spacing w:after="0"/>
              <w:rPr>
                <w:sz w:val="20"/>
                <w:szCs w:val="20"/>
                <w:color w:val="auto"/>
              </w:rPr>
            </w:pPr>
            <w:r>
              <w:rPr>
                <w:rFonts w:ascii="Arial" w:cs="Arial" w:eastAsia="Arial" w:hAnsi="Arial"/>
                <w:sz w:val="18"/>
                <w:szCs w:val="18"/>
                <w:b w:val="1"/>
                <w:bCs w:val="1"/>
                <w:color w:val="auto"/>
                <w:w w:val="99"/>
              </w:rPr>
              <w:t>SUBSIDIARIES OF AUTODESK, INC.,</w:t>
            </w:r>
          </w:p>
        </w:tc>
        <w:tc>
          <w:tcPr>
            <w:tcW w:w="3760" w:type="dxa"/>
            <w:vAlign w:val="bottom"/>
          </w:tcPr>
          <w:p>
            <w:pPr>
              <w:spacing w:after="0"/>
              <w:rPr>
                <w:sz w:val="24"/>
                <w:szCs w:val="24"/>
                <w:color w:val="auto"/>
              </w:rPr>
            </w:pPr>
          </w:p>
        </w:tc>
      </w:tr>
      <w:tr>
        <w:trPr>
          <w:trHeight w:val="378"/>
        </w:trPr>
        <w:tc>
          <w:tcPr>
            <w:tcW w:w="7660" w:type="dxa"/>
            <w:vAlign w:val="bottom"/>
            <w:gridSpan w:val="2"/>
          </w:tcPr>
          <w:p>
            <w:pPr>
              <w:jc w:val="center"/>
              <w:ind w:left="3670"/>
              <w:spacing w:after="0"/>
              <w:rPr>
                <w:sz w:val="20"/>
                <w:szCs w:val="20"/>
                <w:color w:val="auto"/>
              </w:rPr>
            </w:pPr>
            <w:r>
              <w:rPr>
                <w:rFonts w:ascii="Arial" w:cs="Arial" w:eastAsia="Arial" w:hAnsi="Arial"/>
                <w:sz w:val="18"/>
                <w:szCs w:val="18"/>
                <w:b w:val="1"/>
                <w:bCs w:val="1"/>
                <w:color w:val="auto"/>
                <w:w w:val="92"/>
              </w:rPr>
              <w:t>a Delaware Corporation</w:t>
            </w:r>
          </w:p>
        </w:tc>
        <w:tc>
          <w:tcPr>
            <w:tcW w:w="3760" w:type="dxa"/>
            <w:vAlign w:val="bottom"/>
          </w:tcPr>
          <w:p>
            <w:pPr>
              <w:spacing w:after="0"/>
              <w:rPr>
                <w:sz w:val="24"/>
                <w:szCs w:val="24"/>
                <w:color w:val="auto"/>
              </w:rPr>
            </w:pPr>
          </w:p>
        </w:tc>
      </w:tr>
      <w:tr>
        <w:trPr>
          <w:trHeight w:val="378"/>
        </w:trPr>
        <w:tc>
          <w:tcPr>
            <w:tcW w:w="7660" w:type="dxa"/>
            <w:vAlign w:val="bottom"/>
            <w:gridSpan w:val="2"/>
          </w:tcPr>
          <w:p>
            <w:pPr>
              <w:jc w:val="center"/>
              <w:ind w:left="3690"/>
              <w:spacing w:after="0"/>
              <w:rPr>
                <w:sz w:val="20"/>
                <w:szCs w:val="20"/>
                <w:color w:val="auto"/>
              </w:rPr>
            </w:pPr>
            <w:r>
              <w:rPr>
                <w:rFonts w:ascii="Arial" w:cs="Arial" w:eastAsia="Arial" w:hAnsi="Arial"/>
                <w:sz w:val="18"/>
                <w:szCs w:val="18"/>
                <w:b w:val="1"/>
                <w:bCs w:val="1"/>
                <w:color w:val="auto"/>
                <w:w w:val="89"/>
              </w:rPr>
              <w:t>as of January 31, 2013</w:t>
            </w:r>
          </w:p>
        </w:tc>
        <w:tc>
          <w:tcPr>
            <w:tcW w:w="3760" w:type="dxa"/>
            <w:vAlign w:val="bottom"/>
          </w:tcPr>
          <w:p>
            <w:pPr>
              <w:spacing w:after="0"/>
              <w:rPr>
                <w:sz w:val="24"/>
                <w:szCs w:val="24"/>
                <w:color w:val="auto"/>
              </w:rPr>
            </w:pPr>
          </w:p>
        </w:tc>
      </w:tr>
      <w:tr>
        <w:trPr>
          <w:trHeight w:val="675"/>
        </w:trPr>
        <w:tc>
          <w:tcPr>
            <w:tcW w:w="7660" w:type="dxa"/>
            <w:vAlign w:val="bottom"/>
            <w:gridSpan w:val="2"/>
          </w:tcPr>
          <w:p>
            <w:pPr>
              <w:ind w:left="3120"/>
              <w:spacing w:after="0"/>
              <w:rPr>
                <w:sz w:val="20"/>
                <w:szCs w:val="20"/>
                <w:color w:val="auto"/>
              </w:rPr>
            </w:pPr>
            <w:r>
              <w:rPr>
                <w:rFonts w:ascii="Arial" w:cs="Arial" w:eastAsia="Arial" w:hAnsi="Arial"/>
                <w:sz w:val="18"/>
                <w:szCs w:val="18"/>
                <w:b w:val="1"/>
                <w:bCs w:val="1"/>
                <w:color w:val="auto"/>
              </w:rPr>
              <w:t>Subsidiary Name</w:t>
            </w:r>
          </w:p>
        </w:tc>
        <w:tc>
          <w:tcPr>
            <w:tcW w:w="3760" w:type="dxa"/>
            <w:vAlign w:val="bottom"/>
          </w:tcPr>
          <w:p>
            <w:pPr>
              <w:ind w:left="760"/>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7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(EMEA) Sàrl</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AB</w:t>
            </w:r>
          </w:p>
        </w:tc>
        <w:tc>
          <w:tcPr>
            <w:tcW w:w="3760" w:type="dxa"/>
            <w:vAlign w:val="bottom"/>
          </w:tcPr>
          <w:p>
            <w:pPr>
              <w:ind w:left="40"/>
              <w:spacing w:after="0"/>
              <w:rPr>
                <w:sz w:val="20"/>
                <w:szCs w:val="20"/>
                <w:color w:val="auto"/>
              </w:rPr>
            </w:pPr>
            <w:r>
              <w:rPr>
                <w:rFonts w:ascii="Arial" w:cs="Arial" w:eastAsia="Arial" w:hAnsi="Arial"/>
                <w:sz w:val="18"/>
                <w:szCs w:val="18"/>
                <w:color w:val="auto"/>
              </w:rPr>
              <w:t>Sweden</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ApS</w:t>
            </w:r>
          </w:p>
        </w:tc>
        <w:tc>
          <w:tcPr>
            <w:tcW w:w="3760" w:type="dxa"/>
            <w:vAlign w:val="bottom"/>
          </w:tcPr>
          <w:p>
            <w:pPr>
              <w:ind w:left="40"/>
              <w:spacing w:after="0"/>
              <w:rPr>
                <w:sz w:val="20"/>
                <w:szCs w:val="20"/>
                <w:color w:val="auto"/>
              </w:rPr>
            </w:pPr>
            <w:r>
              <w:rPr>
                <w:rFonts w:ascii="Arial" w:cs="Arial" w:eastAsia="Arial" w:hAnsi="Arial"/>
                <w:sz w:val="18"/>
                <w:szCs w:val="18"/>
                <w:color w:val="auto"/>
              </w:rPr>
              <w:t>Denmark</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Asia Pte Ltd</w:t>
            </w:r>
          </w:p>
        </w:tc>
        <w:tc>
          <w:tcPr>
            <w:tcW w:w="3760" w:type="dxa"/>
            <w:vAlign w:val="bottom"/>
          </w:tcPr>
          <w:p>
            <w:pPr>
              <w:ind w:left="40"/>
              <w:spacing w:after="0"/>
              <w:rPr>
                <w:sz w:val="20"/>
                <w:szCs w:val="20"/>
                <w:color w:val="auto"/>
              </w:rPr>
            </w:pPr>
            <w:r>
              <w:rPr>
                <w:rFonts w:ascii="Arial" w:cs="Arial" w:eastAsia="Arial" w:hAnsi="Arial"/>
                <w:sz w:val="18"/>
                <w:szCs w:val="18"/>
                <w:color w:val="auto"/>
              </w:rPr>
              <w:t>Singapore</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Australia Pty Ltd.</w:t>
            </w:r>
          </w:p>
        </w:tc>
        <w:tc>
          <w:tcPr>
            <w:tcW w:w="3760" w:type="dxa"/>
            <w:vAlign w:val="bottom"/>
          </w:tcPr>
          <w:p>
            <w:pPr>
              <w:ind w:left="40"/>
              <w:spacing w:after="0"/>
              <w:rPr>
                <w:sz w:val="20"/>
                <w:szCs w:val="20"/>
                <w:color w:val="auto"/>
              </w:rPr>
            </w:pPr>
            <w:r>
              <w:rPr>
                <w:rFonts w:ascii="Arial" w:cs="Arial" w:eastAsia="Arial" w:hAnsi="Arial"/>
                <w:sz w:val="18"/>
                <w:szCs w:val="18"/>
                <w:color w:val="auto"/>
              </w:rPr>
              <w:t>Australia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B.V.</w:t>
            </w:r>
          </w:p>
        </w:tc>
        <w:tc>
          <w:tcPr>
            <w:tcW w:w="3760" w:type="dxa"/>
            <w:vAlign w:val="bottom"/>
          </w:tcPr>
          <w:p>
            <w:pPr>
              <w:ind w:left="40"/>
              <w:spacing w:after="0"/>
              <w:rPr>
                <w:sz w:val="20"/>
                <w:szCs w:val="20"/>
                <w:color w:val="auto"/>
              </w:rPr>
            </w:pPr>
            <w:r>
              <w:rPr>
                <w:rFonts w:ascii="Arial" w:cs="Arial" w:eastAsia="Arial" w:hAnsi="Arial"/>
                <w:sz w:val="18"/>
                <w:szCs w:val="18"/>
                <w:color w:val="auto"/>
              </w:rPr>
              <w:t>The Netherlands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Canada Co.</w:t>
            </w:r>
          </w:p>
        </w:tc>
        <w:tc>
          <w:tcPr>
            <w:tcW w:w="3760" w:type="dxa"/>
            <w:vAlign w:val="bottom"/>
          </w:tcPr>
          <w:p>
            <w:pPr>
              <w:ind w:left="40"/>
              <w:spacing w:after="0"/>
              <w:rPr>
                <w:sz w:val="20"/>
                <w:szCs w:val="20"/>
                <w:color w:val="auto"/>
              </w:rPr>
            </w:pPr>
            <w:r>
              <w:rPr>
                <w:rFonts w:ascii="Arial" w:cs="Arial" w:eastAsia="Arial" w:hAnsi="Arial"/>
                <w:sz w:val="18"/>
                <w:szCs w:val="18"/>
                <w:color w:val="auto"/>
              </w:rPr>
              <w:t>Canada (Nova Scotia)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Argentina S.A.</w:t>
            </w:r>
          </w:p>
        </w:tc>
        <w:tc>
          <w:tcPr>
            <w:tcW w:w="3760" w:type="dxa"/>
            <w:vAlign w:val="bottom"/>
          </w:tcPr>
          <w:p>
            <w:pPr>
              <w:ind w:left="40"/>
              <w:spacing w:after="0"/>
              <w:rPr>
                <w:sz w:val="20"/>
                <w:szCs w:val="20"/>
                <w:color w:val="auto"/>
              </w:rPr>
            </w:pPr>
            <w:r>
              <w:rPr>
                <w:rFonts w:ascii="Arial" w:cs="Arial" w:eastAsia="Arial" w:hAnsi="Arial"/>
                <w:sz w:val="18"/>
                <w:szCs w:val="18"/>
                <w:color w:val="auto"/>
              </w:rPr>
              <w:t>Argentina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Mexico, S.A. de C.V.</w:t>
            </w:r>
          </w:p>
        </w:tc>
        <w:tc>
          <w:tcPr>
            <w:tcW w:w="3760" w:type="dxa"/>
            <w:vAlign w:val="bottom"/>
          </w:tcPr>
          <w:p>
            <w:pPr>
              <w:ind w:left="40"/>
              <w:spacing w:after="0"/>
              <w:rPr>
                <w:sz w:val="20"/>
                <w:szCs w:val="20"/>
                <w:color w:val="auto"/>
              </w:rPr>
            </w:pPr>
            <w:r>
              <w:rPr>
                <w:rFonts w:ascii="Arial" w:cs="Arial" w:eastAsia="Arial" w:hAnsi="Arial"/>
                <w:sz w:val="18"/>
                <w:szCs w:val="18"/>
                <w:color w:val="auto"/>
              </w:rPr>
              <w:t>Mexico</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Venezuela, S.A.</w:t>
            </w:r>
          </w:p>
        </w:tc>
        <w:tc>
          <w:tcPr>
            <w:tcW w:w="3760" w:type="dxa"/>
            <w:vAlign w:val="bottom"/>
          </w:tcPr>
          <w:p>
            <w:pPr>
              <w:ind w:left="40"/>
              <w:spacing w:after="0"/>
              <w:rPr>
                <w:sz w:val="20"/>
                <w:szCs w:val="20"/>
                <w:color w:val="auto"/>
              </w:rPr>
            </w:pPr>
            <w:r>
              <w:rPr>
                <w:rFonts w:ascii="Arial" w:cs="Arial" w:eastAsia="Arial" w:hAnsi="Arial"/>
                <w:sz w:val="18"/>
                <w:szCs w:val="18"/>
                <w:color w:val="auto"/>
              </w:rPr>
              <w:t>Venezuela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Development B.V.</w:t>
            </w:r>
          </w:p>
        </w:tc>
        <w:tc>
          <w:tcPr>
            <w:tcW w:w="3760" w:type="dxa"/>
            <w:vAlign w:val="bottom"/>
          </w:tcPr>
          <w:p>
            <w:pPr>
              <w:ind w:left="40"/>
              <w:spacing w:after="0"/>
              <w:rPr>
                <w:sz w:val="20"/>
                <w:szCs w:val="20"/>
                <w:color w:val="auto"/>
              </w:rPr>
            </w:pPr>
            <w:r>
              <w:rPr>
                <w:rFonts w:ascii="Arial" w:cs="Arial" w:eastAsia="Arial" w:hAnsi="Arial"/>
                <w:sz w:val="18"/>
                <w:szCs w:val="18"/>
                <w:color w:val="auto"/>
              </w:rPr>
              <w:t>The Netherlands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Development Sàrl</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do Brasil Ltda</w:t>
            </w:r>
          </w:p>
        </w:tc>
        <w:tc>
          <w:tcPr>
            <w:tcW w:w="3760" w:type="dxa"/>
            <w:vAlign w:val="bottom"/>
          </w:tcPr>
          <w:p>
            <w:pPr>
              <w:ind w:left="40"/>
              <w:spacing w:after="0"/>
              <w:rPr>
                <w:sz w:val="20"/>
                <w:szCs w:val="20"/>
                <w:color w:val="auto"/>
              </w:rPr>
            </w:pPr>
            <w:r>
              <w:rPr>
                <w:rFonts w:ascii="Arial" w:cs="Arial" w:eastAsia="Arial" w:hAnsi="Arial"/>
                <w:sz w:val="18"/>
                <w:szCs w:val="18"/>
                <w:color w:val="auto"/>
              </w:rPr>
              <w:t>Brazil</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Far East Ltd.</w:t>
            </w:r>
          </w:p>
        </w:tc>
        <w:tc>
          <w:tcPr>
            <w:tcW w:w="3760" w:type="dxa"/>
            <w:vAlign w:val="bottom"/>
          </w:tcPr>
          <w:p>
            <w:pPr>
              <w:ind w:left="40"/>
              <w:spacing w:after="0"/>
              <w:rPr>
                <w:sz w:val="20"/>
                <w:szCs w:val="20"/>
                <w:color w:val="auto"/>
              </w:rPr>
            </w:pPr>
            <w:r>
              <w:rPr>
                <w:rFonts w:ascii="Arial" w:cs="Arial" w:eastAsia="Arial" w:hAnsi="Arial"/>
                <w:sz w:val="18"/>
                <w:szCs w:val="18"/>
                <w:color w:val="auto"/>
              </w:rPr>
              <w:t>Hong Kong</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France</w:t>
            </w:r>
          </w:p>
        </w:tc>
        <w:tc>
          <w:tcPr>
            <w:tcW w:w="376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Ges.mbH</w:t>
            </w:r>
          </w:p>
        </w:tc>
        <w:tc>
          <w:tcPr>
            <w:tcW w:w="3760" w:type="dxa"/>
            <w:vAlign w:val="bottom"/>
          </w:tcPr>
          <w:p>
            <w:pPr>
              <w:ind w:left="40"/>
              <w:spacing w:after="0"/>
              <w:rPr>
                <w:sz w:val="20"/>
                <w:szCs w:val="20"/>
                <w:color w:val="auto"/>
              </w:rPr>
            </w:pPr>
            <w:r>
              <w:rPr>
                <w:rFonts w:ascii="Arial" w:cs="Arial" w:eastAsia="Arial" w:hAnsi="Arial"/>
                <w:sz w:val="18"/>
                <w:szCs w:val="18"/>
                <w:color w:val="auto"/>
              </w:rPr>
              <w:t>Austria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GmbH</w:t>
            </w:r>
          </w:p>
        </w:tc>
        <w:tc>
          <w:tcPr>
            <w:tcW w:w="376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Hungary Kft</w:t>
            </w:r>
          </w:p>
        </w:tc>
        <w:tc>
          <w:tcPr>
            <w:tcW w:w="3760" w:type="dxa"/>
            <w:vAlign w:val="bottom"/>
          </w:tcPr>
          <w:p>
            <w:pPr>
              <w:ind w:left="40"/>
              <w:spacing w:after="0"/>
              <w:rPr>
                <w:sz w:val="20"/>
                <w:szCs w:val="20"/>
                <w:color w:val="auto"/>
              </w:rPr>
            </w:pPr>
            <w:r>
              <w:rPr>
                <w:rFonts w:ascii="Arial" w:cs="Arial" w:eastAsia="Arial" w:hAnsi="Arial"/>
                <w:sz w:val="18"/>
                <w:szCs w:val="18"/>
                <w:color w:val="auto"/>
              </w:rPr>
              <w:t>Hungary</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India Private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India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International Holding Co.</w:t>
            </w:r>
          </w:p>
        </w:tc>
        <w:tc>
          <w:tcPr>
            <w:tcW w:w="3760" w:type="dxa"/>
            <w:vAlign w:val="bottom"/>
          </w:tcPr>
          <w:p>
            <w:pPr>
              <w:ind w:left="40"/>
              <w:spacing w:after="0"/>
              <w:rPr>
                <w:sz w:val="20"/>
                <w:szCs w:val="20"/>
                <w:color w:val="auto"/>
              </w:rPr>
            </w:pPr>
            <w:r>
              <w:rPr>
                <w:rFonts w:ascii="Arial" w:cs="Arial" w:eastAsia="Arial" w:hAnsi="Arial"/>
                <w:sz w:val="18"/>
                <w:szCs w:val="18"/>
                <w:color w:val="auto"/>
              </w:rPr>
              <w:t>U.S. (Delaware)</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ADSK Ireland Limited *</w:t>
            </w:r>
          </w:p>
        </w:tc>
        <w:tc>
          <w:tcPr>
            <w:tcW w:w="376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Israel Ltd.</w:t>
            </w:r>
          </w:p>
        </w:tc>
        <w:tc>
          <w:tcPr>
            <w:tcW w:w="3760" w:type="dxa"/>
            <w:vAlign w:val="bottom"/>
          </w:tcPr>
          <w:p>
            <w:pPr>
              <w:ind w:left="40"/>
              <w:spacing w:after="0"/>
              <w:rPr>
                <w:sz w:val="20"/>
                <w:szCs w:val="20"/>
                <w:color w:val="auto"/>
              </w:rPr>
            </w:pPr>
            <w:r>
              <w:rPr>
                <w:rFonts w:ascii="Arial" w:cs="Arial" w:eastAsia="Arial" w:hAnsi="Arial"/>
                <w:sz w:val="18"/>
                <w:szCs w:val="18"/>
                <w:color w:val="auto"/>
              </w:rPr>
              <w:t>Israel</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Korea Ltd.</w:t>
            </w:r>
          </w:p>
        </w:tc>
        <w:tc>
          <w:tcPr>
            <w:tcW w:w="3760" w:type="dxa"/>
            <w:vAlign w:val="bottom"/>
          </w:tcPr>
          <w:p>
            <w:pPr>
              <w:ind w:left="40"/>
              <w:spacing w:after="0"/>
              <w:rPr>
                <w:sz w:val="20"/>
                <w:szCs w:val="20"/>
                <w:color w:val="auto"/>
              </w:rPr>
            </w:pPr>
            <w:r>
              <w:rPr>
                <w:rFonts w:ascii="Arial" w:cs="Arial" w:eastAsia="Arial" w:hAnsi="Arial"/>
                <w:sz w:val="18"/>
                <w:szCs w:val="18"/>
                <w:color w:val="auto"/>
              </w:rPr>
              <w:t>South Korea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Saudi Arabia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Ltd. Japan</w:t>
            </w:r>
          </w:p>
        </w:tc>
        <w:tc>
          <w:tcPr>
            <w:tcW w:w="3760" w:type="dxa"/>
            <w:vAlign w:val="bottom"/>
          </w:tcPr>
          <w:p>
            <w:pPr>
              <w:ind w:left="40"/>
              <w:spacing w:after="0"/>
              <w:rPr>
                <w:sz w:val="20"/>
                <w:szCs w:val="20"/>
                <w:color w:val="auto"/>
              </w:rPr>
            </w:pPr>
            <w:r>
              <w:rPr>
                <w:rFonts w:ascii="Arial" w:cs="Arial" w:eastAsia="Arial" w:hAnsi="Arial"/>
                <w:sz w:val="18"/>
                <w:szCs w:val="18"/>
                <w:color w:val="auto"/>
              </w:rPr>
              <w:t>Japan</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S.r.l.</w:t>
            </w:r>
          </w:p>
        </w:tc>
        <w:tc>
          <w:tcPr>
            <w:tcW w:w="3760" w:type="dxa"/>
            <w:vAlign w:val="bottom"/>
          </w:tcPr>
          <w:p>
            <w:pPr>
              <w:ind w:left="40"/>
              <w:spacing w:after="0"/>
              <w:rPr>
                <w:sz w:val="20"/>
                <w:szCs w:val="20"/>
                <w:color w:val="auto"/>
              </w:rPr>
            </w:pPr>
            <w:r>
              <w:rPr>
                <w:rFonts w:ascii="Arial" w:cs="Arial" w:eastAsia="Arial" w:hAnsi="Arial"/>
                <w:sz w:val="18"/>
                <w:szCs w:val="18"/>
                <w:color w:val="auto"/>
              </w:rPr>
              <w:t>Italy</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SA</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Software (China) Co., Ltd.</w:t>
            </w:r>
          </w:p>
        </w:tc>
        <w:tc>
          <w:tcPr>
            <w:tcW w:w="3760" w:type="dxa"/>
            <w:vAlign w:val="bottom"/>
          </w:tcPr>
          <w:p>
            <w:pPr>
              <w:ind w:left="40"/>
              <w:spacing w:after="0"/>
              <w:rPr>
                <w:sz w:val="20"/>
                <w:szCs w:val="20"/>
                <w:color w:val="auto"/>
              </w:rPr>
            </w:pPr>
            <w:r>
              <w:rPr>
                <w:rFonts w:ascii="Arial" w:cs="Arial" w:eastAsia="Arial" w:hAnsi="Arial"/>
                <w:sz w:val="18"/>
                <w:szCs w:val="18"/>
                <w:color w:val="auto"/>
              </w:rPr>
              <w:t>China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Software, Unipessoal, Lda.</w:t>
            </w:r>
          </w:p>
        </w:tc>
        <w:tc>
          <w:tcPr>
            <w:tcW w:w="3760" w:type="dxa"/>
            <w:vAlign w:val="bottom"/>
          </w:tcPr>
          <w:p>
            <w:pPr>
              <w:ind w:left="40"/>
              <w:spacing w:after="0"/>
              <w:rPr>
                <w:sz w:val="20"/>
                <w:szCs w:val="20"/>
                <w:color w:val="auto"/>
              </w:rPr>
            </w:pPr>
            <w:r>
              <w:rPr>
                <w:rFonts w:ascii="Arial" w:cs="Arial" w:eastAsia="Arial" w:hAnsi="Arial"/>
                <w:sz w:val="18"/>
                <w:szCs w:val="18"/>
                <w:color w:val="auto"/>
              </w:rPr>
              <w:t>Portugal</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Sp. z.o.o.</w:t>
            </w:r>
          </w:p>
        </w:tc>
        <w:tc>
          <w:tcPr>
            <w:tcW w:w="3760" w:type="dxa"/>
            <w:vAlign w:val="bottom"/>
          </w:tcPr>
          <w:p>
            <w:pPr>
              <w:ind w:left="40"/>
              <w:spacing w:after="0"/>
              <w:rPr>
                <w:sz w:val="20"/>
                <w:szCs w:val="20"/>
                <w:color w:val="auto"/>
              </w:rPr>
            </w:pPr>
            <w:r>
              <w:rPr>
                <w:rFonts w:ascii="Arial" w:cs="Arial" w:eastAsia="Arial" w:hAnsi="Arial"/>
                <w:sz w:val="18"/>
                <w:szCs w:val="18"/>
                <w:color w:val="auto"/>
              </w:rPr>
              <w:t>Poland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Spol. S.R.O.</w:t>
            </w:r>
          </w:p>
        </w:tc>
        <w:tc>
          <w:tcPr>
            <w:tcW w:w="3760" w:type="dxa"/>
            <w:vAlign w:val="bottom"/>
          </w:tcPr>
          <w:p>
            <w:pPr>
              <w:ind w:left="40"/>
              <w:spacing w:after="0"/>
              <w:rPr>
                <w:sz w:val="20"/>
                <w:szCs w:val="20"/>
                <w:color w:val="auto"/>
              </w:rPr>
            </w:pPr>
            <w:r>
              <w:rPr>
                <w:rFonts w:ascii="Arial" w:cs="Arial" w:eastAsia="Arial" w:hAnsi="Arial"/>
                <w:sz w:val="18"/>
                <w:szCs w:val="18"/>
                <w:color w:val="auto"/>
              </w:rPr>
              <w:t>Czech Republic</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Strategies Ltd. *</w:t>
            </w:r>
          </w:p>
        </w:tc>
        <w:tc>
          <w:tcPr>
            <w:tcW w:w="3760" w:type="dxa"/>
            <w:vAlign w:val="bottom"/>
          </w:tcPr>
          <w:p>
            <w:pPr>
              <w:ind w:left="40"/>
              <w:spacing w:after="0"/>
              <w:rPr>
                <w:sz w:val="20"/>
                <w:szCs w:val="20"/>
                <w:color w:val="auto"/>
              </w:rPr>
            </w:pPr>
            <w:r>
              <w:rPr>
                <w:rFonts w:ascii="Arial" w:cs="Arial" w:eastAsia="Arial" w:hAnsi="Arial"/>
                <w:sz w:val="18"/>
                <w:szCs w:val="18"/>
                <w:color w:val="auto"/>
              </w:rPr>
              <w:t>China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Taiwan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Taiwan</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 xml:space="preserve">Autodesk Yazilim Hizmetleri Ticaret Limited Sirketi </w:t>
            </w:r>
            <w:r>
              <w:rPr>
                <w:rFonts w:ascii="Arial" w:cs="Arial" w:eastAsia="Arial" w:hAnsi="Arial"/>
                <w:sz w:val="18"/>
                <w:szCs w:val="18"/>
                <w:i w:val="1"/>
                <w:iCs w:val="1"/>
                <w:color w:val="auto"/>
              </w:rPr>
              <w:t>(Autodesk Limited Sirketi)</w:t>
            </w:r>
          </w:p>
        </w:tc>
        <w:tc>
          <w:tcPr>
            <w:tcW w:w="3760" w:type="dxa"/>
            <w:vAlign w:val="bottom"/>
          </w:tcPr>
          <w:p>
            <w:pPr>
              <w:ind w:left="40"/>
              <w:spacing w:after="0"/>
              <w:rPr>
                <w:sz w:val="20"/>
                <w:szCs w:val="20"/>
                <w:color w:val="auto"/>
              </w:rPr>
            </w:pPr>
            <w:r>
              <w:rPr>
                <w:rFonts w:ascii="Arial" w:cs="Arial" w:eastAsia="Arial" w:hAnsi="Arial"/>
                <w:sz w:val="18"/>
                <w:szCs w:val="18"/>
                <w:color w:val="auto"/>
              </w:rPr>
              <w:t>Turkey</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S.A.</w:t>
            </w:r>
          </w:p>
        </w:tc>
        <w:tc>
          <w:tcPr>
            <w:tcW w:w="3760" w:type="dxa"/>
            <w:vAlign w:val="bottom"/>
          </w:tcPr>
          <w:p>
            <w:pPr>
              <w:ind w:left="40"/>
              <w:spacing w:after="0"/>
              <w:rPr>
                <w:sz w:val="20"/>
                <w:szCs w:val="20"/>
                <w:color w:val="auto"/>
              </w:rPr>
            </w:pPr>
            <w:r>
              <w:rPr>
                <w:rFonts w:ascii="Arial" w:cs="Arial" w:eastAsia="Arial" w:hAnsi="Arial"/>
                <w:sz w:val="18"/>
                <w:szCs w:val="18"/>
                <w:color w:val="auto"/>
              </w:rPr>
              <w:t>Spain</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Blue Ridge Numerics Limited *</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Blue Ridge Numerics, Inc.*</w:t>
            </w:r>
          </w:p>
        </w:tc>
        <w:tc>
          <w:tcPr>
            <w:tcW w:w="3760" w:type="dxa"/>
            <w:vAlign w:val="bottom"/>
          </w:tcPr>
          <w:p>
            <w:pPr>
              <w:ind w:left="40"/>
              <w:spacing w:after="0"/>
              <w:rPr>
                <w:sz w:val="20"/>
                <w:szCs w:val="20"/>
                <w:color w:val="auto"/>
              </w:rPr>
            </w:pPr>
            <w:r>
              <w:rPr>
                <w:rFonts w:ascii="Arial" w:cs="Arial" w:eastAsia="Arial" w:hAnsi="Arial"/>
                <w:sz w:val="18"/>
                <w:szCs w:val="18"/>
                <w:color w:val="auto"/>
              </w:rPr>
              <w:t>U.S. (Virginia)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Blue Ridge Numerics SAS *</w:t>
            </w:r>
          </w:p>
        </w:tc>
        <w:tc>
          <w:tcPr>
            <w:tcW w:w="376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Cfdesign Software India Private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India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Hanna Strategies Holdings, Inc. *</w:t>
            </w:r>
          </w:p>
        </w:tc>
        <w:tc>
          <w:tcPr>
            <w:tcW w:w="3760" w:type="dxa"/>
            <w:vAlign w:val="bottom"/>
          </w:tcPr>
          <w:p>
            <w:pPr>
              <w:ind w:left="40"/>
              <w:spacing w:after="0"/>
              <w:rPr>
                <w:sz w:val="20"/>
                <w:szCs w:val="20"/>
                <w:color w:val="auto"/>
              </w:rPr>
            </w:pPr>
            <w:r>
              <w:rPr>
                <w:rFonts w:ascii="Arial" w:cs="Arial" w:eastAsia="Arial" w:hAnsi="Arial"/>
                <w:sz w:val="18"/>
                <w:szCs w:val="18"/>
                <w:color w:val="auto"/>
              </w:rPr>
              <w:t>U.S. (Delaware)</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113" w:name="page114"/>
    <w:bookmarkEnd w:id="113"/>
    <w:p>
      <w:pPr>
        <w:ind w:left="40"/>
        <w:spacing w:after="0"/>
        <w:rPr>
          <w:sz w:val="20"/>
          <w:szCs w:val="20"/>
          <w:color w:val="auto"/>
        </w:rPr>
      </w:pPr>
      <w:r>
        <w:rPr>
          <w:rFonts w:ascii="Arial" w:cs="Arial" w:eastAsia="Arial" w:hAnsi="Arial"/>
          <w:sz w:val="18"/>
          <w:szCs w:val="18"/>
          <w:color w:val="auto"/>
        </w:rPr>
        <w:t>Instructables,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Limited Liability Company Autodesk (CIS)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Micro Application Packages Limited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Moldflow (Europe) Ltd.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Moldflow B.V.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Moldflow Iberia S.L.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Moldflow International Pty Ltd.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Moldflow Netherlands Limited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Moldflow Pty Ltd.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Moldflow Singapore Pte Ltd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NavisWorks (UK) Limited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NavisWorks Limited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PI-VR GmbH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Robobat (UK) Limited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Scaleform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SCI Topole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Socialcam,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Vela Systems,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(Delaware)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U.S. (Delaware)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U.S. (Delaware)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U.S. (Delaware)</w:t>
      </w:r>
    </w:p>
    <w:p>
      <w:pPr>
        <w:spacing w:after="0" w:line="222" w:lineRule="exact"/>
        <w:rPr>
          <w:sz w:val="20"/>
          <w:szCs w:val="20"/>
          <w:color w:val="auto"/>
        </w:rPr>
      </w:pPr>
    </w:p>
    <w:p>
      <w:pPr>
        <w:sectPr>
          <w:pgSz w:w="11900" w:h="16838" w:orient="portrait"/>
          <w:cols w:equalWidth="0" w:num="2">
            <w:col w:w="6980" w:space="720"/>
            <w:col w:w="2519"/>
          </w:cols>
          <w:pgMar w:left="240" w:top="746" w:right="1440"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 Inactive subsidiaries / subsidiaries scheduled to be wound up.</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19"/>
          </w:cols>
          <w:pgMar w:left="240" w:top="746" w:right="1440"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33-39458</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33-51110</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Nonstatutory Stock Option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333-08693</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w w:val="89"/>
              </w:rPr>
              <w:t>Stock Plan, 1990 Directors' Option Plan, 1998 Employee Qualified Stock Purchase Plan and Teleos Research</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333-15037</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Nonstatutory Stock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333-62655</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333-81207</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333-92539</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Nonstatutory Stock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333-45928</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2000 Directors' Option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333-67974</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333-88682</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3"/>
              </w:rPr>
              <w:t>Revit Technology Corporation 1998 Stock Plan, 1996 Stock Plan and 1998 Employee Qualified Stock Purchase</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99"/>
              </w:rPr>
              <w:t>Plan</w:t>
            </w:r>
          </w:p>
        </w:tc>
        <w:tc>
          <w:tcPr>
            <w:tcW w:w="7900" w:type="dxa"/>
            <w:vAlign w:val="bottom"/>
          </w:tcPr>
          <w:p>
            <w:pPr>
              <w:spacing w:after="0"/>
              <w:rPr>
                <w:sz w:val="20"/>
                <w:szCs w:val="20"/>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333-106556</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333-116203</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333-133015</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Emerging Solutions, Inc. 1999 Equity Ownership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333-134560</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6"/>
              </w:rPr>
              <w:t>Autodesk, Inc. 2006 Employee Stock Plan, Autodesk, Inc. 2000 Directors' Option Plan, Autodesk, Inc. 1998</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Employee Qualified Stock Purchase Plan, and Alias Systems Holdings Inc. 2004 Stock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333-149964</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8"/>
              </w:rPr>
              <w:t>Autodesk, Inc. 2008 Employee Stock Plan, Autodesk, Inc.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333-153372</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2000 Directors'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333-158131</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333-165561</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2"/>
              </w:rPr>
              <w:t>Autodesk, Inc. 1998 Employee Qualified Stock Purchase Plan and Autodesk, Inc. 2010 Outside Directors' Stock</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99"/>
              </w:rPr>
              <w:t>Plan</w:t>
            </w:r>
          </w:p>
        </w:tc>
        <w:tc>
          <w:tcPr>
            <w:tcW w:w="7900" w:type="dxa"/>
            <w:vAlign w:val="bottom"/>
          </w:tcPr>
          <w:p>
            <w:pPr>
              <w:spacing w:after="0"/>
              <w:rPr>
                <w:sz w:val="20"/>
                <w:szCs w:val="20"/>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333-169137</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2008 Employee Stock Plan, As Amended and Restated</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333-172936</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333-179514</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4"/>
              </w:rPr>
              <w:t>Autodesk, Inc. 1998 Employee Qualified Stock Purchase Plan, Autodesk, Inc. 2012 Employee Stock Plan and</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2012 Outside Directors' 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S-3ASR</w:t>
            </w:r>
          </w:p>
        </w:tc>
        <w:tc>
          <w:tcPr>
            <w:tcW w:w="1400" w:type="dxa"/>
            <w:vAlign w:val="bottom"/>
          </w:tcPr>
          <w:p>
            <w:pPr>
              <w:ind w:left="220"/>
              <w:spacing w:after="0"/>
              <w:rPr>
                <w:sz w:val="20"/>
                <w:szCs w:val="20"/>
                <w:color w:val="auto"/>
              </w:rPr>
            </w:pPr>
            <w:r>
              <w:rPr>
                <w:rFonts w:ascii="Arial" w:cs="Arial" w:eastAsia="Arial" w:hAnsi="Arial"/>
                <w:sz w:val="18"/>
                <w:szCs w:val="18"/>
                <w:color w:val="auto"/>
              </w:rPr>
              <w:t>333-185265</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Senior Debt Securities</w:t>
            </w:r>
          </w:p>
        </w:tc>
      </w:tr>
    </w:tbl>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of our reports dated March 18, 2013, with respect to the consolidated financial statements and schedule of Autodesk, Inc., and the effectiveness of internal control over financial reporting of Autodesk, Inc., included in this Annual Report (Form 10-K) of Autodesk, Inc. for the year ended January 31, 2013 filed with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ectPr>
          <w:pgSz w:w="11900" w:h="16838" w:orient="portrait"/>
          <w:cols w:equalWidth="0" w:num="1">
            <w:col w:w="11420"/>
          </w:cols>
          <w:pgMar w:left="240" w:top="58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Carl Bass</w:t>
      </w:r>
    </w:p>
    <w:p>
      <w:pPr>
        <w:spacing w:after="0" w:line="154"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81"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2013</w:t>
      </w:r>
    </w:p>
    <w:p>
      <w:pPr>
        <w:sectPr>
          <w:pgSz w:w="11900" w:h="16838" w:orient="portrait"/>
          <w:cols w:equalWidth="0" w:num="1">
            <w:col w:w="11420"/>
          </w:cols>
          <w:pgMar w:left="240" w:top="918"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171"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left="6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7"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Mark J. Hawkins</w:t>
      </w:r>
    </w:p>
    <w:p>
      <w:pPr>
        <w:spacing w:after="0" w:line="68"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2013</w:t>
      </w:r>
    </w:p>
    <w:p>
      <w:pPr>
        <w:sectPr>
          <w:pgSz w:w="11900" w:h="16838" w:orient="portrait"/>
          <w:cols w:equalWidth="0" w:num="1">
            <w:col w:w="11420"/>
          </w:cols>
          <w:pgMar w:left="240" w:top="918"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Annual Report of Autodesk, Inc. on Form 10-K for the annual period ended January 31, 2013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Based on my knowledge, I, Mark J. Hawkins, certify, pursuant to 18 U.S.C. Section 1350, as adopted pursuant to Section 906 of the Sarbanes-Oxley Act of 2002, that the Annual Report of Autodesk, Inc. on Form 10-K for the annual period ended January 31, 2013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Mark J. Hawkins</w:t>
      </w:r>
    </w:p>
    <w:p>
      <w:pPr>
        <w:spacing w:after="0" w:line="68"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x"/>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1)"/>
      <w:numFmt w:val="decimal"/>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lowerLetter"/>
      <w:start w:val="1"/>
    </w:lvl>
    <w:lvl w:ilvl="1">
      <w:lvlJc w:val="left"/>
      <w:lvlText w:val="%2."/>
      <w:numFmt w:val="decimal"/>
      <w:start w:val="1"/>
    </w:lvl>
  </w:abstractNum>
  <w:abstractNum w:abstractNumId="45">
    <w:nsid w:val="D34B6A8"/>
    <w:multiLevelType w:val="hybridMultilevel"/>
    <w:lvl w:ilvl="0">
      <w:lvlJc w:val="left"/>
      <w:lvlText w:val="%1"/>
      <w:numFmt w:val="lowerLetter"/>
      <w:start w:val="1"/>
    </w:lvl>
    <w:lvl w:ilvl="1">
      <w:lvlJc w:val="left"/>
      <w:lvlText w:val="%2."/>
      <w:numFmt w:val="decimal"/>
      <w:start w:val="3"/>
    </w:lvl>
  </w:abstractNum>
  <w:abstractNum w:abstractNumId="46">
    <w:nsid w:val="10233C99"/>
    <w:multiLevelType w:val="hybridMultilevel"/>
    <w:lvl w:ilvl="0">
      <w:lvlJc w:val="left"/>
      <w:lvlText w:val="(%1)"/>
      <w:numFmt w:val="lowerLetter"/>
      <w:start w:val="2"/>
    </w:lvl>
    <w:lvl w:ilvl="1">
      <w:lvlJc w:val="left"/>
      <w:lvlText w:val="%2"/>
      <w:numFmt w:val="decimal"/>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1">
    <w:nsid w:val="579BE4F1"/>
    <w:multiLevelType w:val="hybridMultilevel"/>
    <w:lvl w:ilvl="0">
      <w:lvlJc w:val="left"/>
      <w:lvlText w:val="(%1)"/>
      <w:numFmt w:val="decimal"/>
      <w:start w:val="24"/>
    </w:lvl>
    <w:lvl w:ilvl="1">
      <w:lvlJc w:val="left"/>
      <w:lvlText w:val="%2"/>
      <w:numFmt w:val="decimal"/>
      <w:start w:val="1"/>
    </w:lvl>
    <w:lvl w:ilvl="2">
      <w:lvlJc w:val="left"/>
      <w:lvlText w:val="(%3)"/>
      <w:numFmt w:val="lowerLetter"/>
      <w:start w:val="11"/>
    </w:lvl>
  </w:abstractNum>
  <w:abstractNum w:abstractNumId="52">
    <w:nsid w:val="310C50B3"/>
    <w:multiLevelType w:val="hybridMultilevel"/>
    <w:lvl w:ilvl="0">
      <w:lvlJc w:val="left"/>
      <w:lvlText w:val="%1"/>
      <w:numFmt w:val="decimal"/>
      <w:start w:val="1"/>
    </w:lvl>
    <w:lvl w:ilvl="1">
      <w:lvlJc w:val="left"/>
      <w:lvlText w:val="(%2)"/>
      <w:numFmt w:val="lowerLetter"/>
      <w:start w:val="12"/>
    </w:lvl>
  </w:abstractNum>
  <w:abstractNum w:abstractNumId="53">
    <w:nsid w:val="5FF87E05"/>
    <w:multiLevelType w:val="hybridMultilevel"/>
    <w:lvl w:ilvl="0">
      <w:lvlJc w:val="left"/>
      <w:lvlText w:val="%1."/>
      <w:numFmt w:val="decimal"/>
      <w:start w:val="3"/>
    </w:lvl>
    <w:lvl w:ilvl="1">
      <w:lvlJc w:val="left"/>
      <w:lvlText w:val="(%2)"/>
      <w:numFmt w:val="lowerLetter"/>
      <w:start w:val="1"/>
    </w:lvl>
  </w:abstractNum>
  <w:abstractNum w:abstractNumId="54">
    <w:nsid w:val="2F305DEF"/>
    <w:multiLevelType w:val="hybridMultilevel"/>
    <w:lvl w:ilvl="0">
      <w:lvlJc w:val="left"/>
      <w:lvlText w:val="%1"/>
      <w:numFmt w:val="decimal"/>
      <w:start w:val="1"/>
    </w:lvl>
    <w:lvl w:ilvl="1">
      <w:lvlJc w:val="left"/>
      <w:lvlText w:val="(%2)"/>
      <w:numFmt w:val="lowerLetter"/>
      <w:start w:val="2"/>
    </w:lvl>
  </w:abstractNum>
  <w:abstractNum w:abstractNumId="55">
    <w:nsid w:val="25A70BF7"/>
    <w:multiLevelType w:val="hybridMultilevel"/>
    <w:lvl w:ilvl="0">
      <w:lvlJc w:val="left"/>
      <w:lvlText w:val="%1."/>
      <w:numFmt w:val="decimal"/>
      <w:start w:val="7"/>
    </w:lvl>
    <w:lvl w:ilvl="1">
      <w:lvlJc w:val="left"/>
      <w:lvlText w:val="(%2)"/>
      <w:numFmt w:val="lowerLetter"/>
      <w:start w:val="1"/>
    </w:lvl>
  </w:abstractNum>
  <w:abstractNum w:abstractNumId="56">
    <w:nsid w:val="1DBABF00"/>
    <w:multiLevelType w:val="hybridMultilevel"/>
    <w:lvl w:ilvl="0">
      <w:lvlJc w:val="left"/>
      <w:lvlText w:val="%1."/>
      <w:numFmt w:val="decimal"/>
      <w:start w:val="11"/>
    </w:lvl>
    <w:lvl w:ilvl="1">
      <w:lvlJc w:val="left"/>
      <w:lvlText w:val="(%2)"/>
      <w:numFmt w:val="lowerLetter"/>
      <w:start w:val="1"/>
    </w:lvl>
  </w:abstractNum>
  <w:abstractNum w:abstractNumId="57">
    <w:nsid w:val="4AD084E9"/>
    <w:multiLevelType w:val="hybridMultilevel"/>
    <w:lvl w:ilvl="0">
      <w:lvlJc w:val="left"/>
      <w:lvlText w:val="%1."/>
      <w:numFmt w:val="decimal"/>
      <w:start w:val="15"/>
    </w:lvl>
    <w:lvl w:ilvl="1">
      <w:lvlJc w:val="left"/>
      <w:lvlText w:val="(%2)"/>
      <w:numFmt w:val="lowerLetter"/>
      <w:start w:val="1"/>
    </w:lvl>
  </w:abstractNum>
  <w:abstractNum w:abstractNumId="58">
    <w:nsid w:val="1F48EAA1"/>
    <w:multiLevelType w:val="hybridMultilevel"/>
    <w:lvl w:ilvl="0">
      <w:lvlJc w:val="left"/>
      <w:lvlText w:val="%1."/>
      <w:numFmt w:val="decimal"/>
      <w:start w:val="20"/>
    </w:lvl>
  </w:abstractNum>
  <w:abstractNum w:abstractNumId="59">
    <w:nsid w:val="1381823A"/>
    <w:multiLevelType w:val="hybridMultilevel"/>
    <w:lvl w:ilvl="0">
      <w:lvlJc w:val="left"/>
      <w:lvlText w:val="%1."/>
      <w:numFmt w:val="decimal"/>
      <w:start w:val="21"/>
    </w:lvl>
  </w:abstractNum>
  <w:abstractNum w:abstractNumId="60">
    <w:nsid w:val="5DB70AE5"/>
    <w:multiLevelType w:val="hybridMultilevel"/>
    <w:lvl w:ilvl="0">
      <w:lvlJc w:val="left"/>
      <w:lvlText w:val="%1."/>
      <w:numFmt w:val="decimal"/>
      <w:start w:val="24"/>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7"/>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1."/>
      <w:numFmt w:val="decimal"/>
      <w:start w:val="2"/>
    </w:lvl>
  </w:abstractNum>
  <w:abstractNum w:abstractNumId="65">
    <w:nsid w:val="98A3148"/>
    <w:multiLevelType w:val="hybridMultilevel"/>
    <w:lvl w:ilvl="0">
      <w:lvlJc w:val="left"/>
      <w:lvlText w:val="(%1)"/>
      <w:numFmt w:val="lowerLetter"/>
      <w:start w:val="1"/>
    </w:lvl>
  </w:abstractNum>
  <w:abstractNum w:abstractNumId="66">
    <w:nsid w:val="799D0247"/>
    <w:multiLevelType w:val="hybridMultilevel"/>
    <w:lvl w:ilvl="0">
      <w:lvlJc w:val="left"/>
      <w:lvlText w:val="%1."/>
      <w:numFmt w:val="decimal"/>
      <w:start w:val="3"/>
    </w:lvl>
    <w:lvl w:ilvl="1">
      <w:lvlJc w:val="left"/>
      <w:lvlText w:val="(%2)"/>
      <w:numFmt w:val="lowerLetter"/>
      <w:start w:val="1"/>
    </w:lvl>
  </w:abstractNum>
  <w:abstractNum w:abstractNumId="67">
    <w:nsid w:val="6B94764"/>
    <w:multiLevelType w:val="hybridMultilevel"/>
    <w:lvl w:ilvl="0">
      <w:lvlJc w:val="left"/>
      <w:lvlText w:val="%1"/>
      <w:numFmt w:val="decimal"/>
      <w:start w:val="1"/>
    </w:lvl>
    <w:lvl w:ilvl="1">
      <w:lvlJc w:val="left"/>
      <w:lvlText w:val="(%2)"/>
      <w:numFmt w:val="lowerLetter"/>
      <w:start w:val="2"/>
    </w:lvl>
  </w:abstractNum>
  <w:abstractNum w:abstractNumId="68">
    <w:nsid w:val="42C296BD"/>
    <w:multiLevelType w:val="hybridMultilevel"/>
    <w:lvl w:ilvl="0">
      <w:lvlJc w:val="left"/>
      <w:lvlText w:val="%1."/>
      <w:numFmt w:val="decimal"/>
      <w:start w:val="9"/>
    </w:lvl>
    <w:lvl w:ilvl="1">
      <w:lvlJc w:val="left"/>
      <w:lvlText w:val="(%2)"/>
      <w:numFmt w:val="lowerLetter"/>
      <w:start w:val="1"/>
    </w:lvl>
  </w:abstractNum>
  <w:abstractNum w:abstractNumId="69">
    <w:nsid w:val="168E121F"/>
    <w:multiLevelType w:val="hybridMultilevel"/>
    <w:lvl w:ilvl="0">
      <w:lvlJc w:val="left"/>
      <w:lvlText w:val="%1."/>
      <w:numFmt w:val="decimal"/>
      <w:start w:val="13"/>
    </w:lvl>
  </w:abstractNum>
  <w:abstractNum w:abstractNumId="70">
    <w:nsid w:val="1EBA5D23"/>
    <w:multiLevelType w:val="hybridMultilevel"/>
    <w:lvl w:ilvl="0">
      <w:lvlJc w:val="left"/>
      <w:lvlText w:val="%1."/>
      <w:numFmt w:val="decimal"/>
      <w:start w:val="17"/>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5"/>
    </w:lvl>
    <w:lvl w:ilvl="1">
      <w:lvlJc w:val="left"/>
      <w:lvlText w:val="%2)"/>
      <w:numFmt w:val="lowerLetter"/>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2019-12-05T22:04:17Z</dcterms:created>
  <dcterms:modified xsi:type="dcterms:W3CDTF">2019-12-05T22:04:17Z</dcterms:modified>
</cp:coreProperties>
</file>