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April 30, 2019</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520"/>
        </w:trPr>
        <w:tc>
          <w:tcPr>
            <w:tcW w:w="3500" w:type="dxa"/>
            <w:vAlign w:val="bottom"/>
          </w:tcPr>
          <w:p>
            <w:pPr>
              <w:spacing w:after="0"/>
              <w:rPr>
                <w:sz w:val="24"/>
                <w:szCs w:val="24"/>
                <w:color w:val="auto"/>
              </w:rPr>
            </w:pPr>
          </w:p>
        </w:tc>
        <w:tc>
          <w:tcPr>
            <w:tcW w:w="6980" w:type="dxa"/>
            <w:vAlign w:val="bottom"/>
            <w:gridSpan w:val="4"/>
          </w:tcPr>
          <w:p>
            <w:pPr>
              <w:jc w:val="center"/>
              <w:ind w:right="2488"/>
              <w:spacing w:after="0"/>
              <w:rPr>
                <w:sz w:val="20"/>
                <w:szCs w:val="20"/>
                <w:color w:val="auto"/>
              </w:rPr>
            </w:pPr>
            <w:r>
              <w:rPr>
                <w:rFonts w:ascii="Arial" w:cs="Arial" w:eastAsia="Arial" w:hAnsi="Arial"/>
                <w:sz w:val="43"/>
                <w:szCs w:val="43"/>
                <w:b w:val="1"/>
                <w:bCs w:val="1"/>
                <w:color w:val="auto"/>
              </w:rPr>
              <w:t>AUTODESK, INC.</w:t>
            </w:r>
          </w:p>
        </w:tc>
      </w:tr>
      <w:tr>
        <w:trPr>
          <w:trHeight w:val="186"/>
        </w:trPr>
        <w:tc>
          <w:tcPr>
            <w:tcW w:w="3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40" w:type="dxa"/>
            <w:vAlign w:val="bottom"/>
            <w:gridSpan w:val="3"/>
          </w:tcPr>
          <w:p>
            <w:pPr>
              <w:jc w:val="center"/>
              <w:ind w:right="30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77"/>
        </w:trPr>
        <w:tc>
          <w:tcPr>
            <w:tcW w:w="4040" w:type="dxa"/>
            <w:vAlign w:val="bottom"/>
            <w:gridSpan w:val="2"/>
          </w:tcPr>
          <w:p>
            <w:pPr>
              <w:jc w:val="center"/>
              <w:ind w:left="1496"/>
              <w:spacing w:after="0"/>
              <w:rPr>
                <w:sz w:val="20"/>
                <w:szCs w:val="20"/>
                <w:color w:val="auto"/>
              </w:rPr>
            </w:pPr>
            <w:r>
              <w:rPr>
                <w:rFonts w:ascii="Arial" w:cs="Arial" w:eastAsia="Arial" w:hAnsi="Arial"/>
                <w:sz w:val="18"/>
                <w:szCs w:val="18"/>
                <w:b w:val="1"/>
                <w:bCs w:val="1"/>
                <w:color w:val="auto"/>
                <w:w w:val="93"/>
              </w:rPr>
              <w:t>Delaware</w:t>
            </w:r>
          </w:p>
        </w:tc>
        <w:tc>
          <w:tcPr>
            <w:tcW w:w="2660" w:type="dxa"/>
            <w:vAlign w:val="bottom"/>
          </w:tcPr>
          <w:p>
            <w:pPr>
              <w:spacing w:after="0"/>
              <w:rPr>
                <w:sz w:val="24"/>
                <w:szCs w:val="24"/>
                <w:color w:val="auto"/>
              </w:rPr>
            </w:pPr>
          </w:p>
        </w:tc>
        <w:tc>
          <w:tcPr>
            <w:tcW w:w="3780" w:type="dxa"/>
            <w:vAlign w:val="bottom"/>
            <w:gridSpan w:val="2"/>
          </w:tcPr>
          <w:p>
            <w:pPr>
              <w:jc w:val="right"/>
              <w:ind w:right="1408"/>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4040" w:type="dxa"/>
            <w:vAlign w:val="bottom"/>
            <w:gridSpan w:val="2"/>
          </w:tcPr>
          <w:p>
            <w:pPr>
              <w:jc w:val="center"/>
              <w:ind w:left="1496"/>
              <w:spacing w:after="0"/>
              <w:rPr>
                <w:sz w:val="20"/>
                <w:szCs w:val="20"/>
                <w:color w:val="auto"/>
              </w:rPr>
            </w:pPr>
            <w:r>
              <w:rPr>
                <w:rFonts w:ascii="Arial" w:cs="Arial" w:eastAsia="Arial" w:hAnsi="Arial"/>
                <w:sz w:val="14"/>
                <w:szCs w:val="14"/>
                <w:b w:val="1"/>
                <w:bCs w:val="1"/>
                <w:color w:val="auto"/>
                <w:w w:val="92"/>
              </w:rPr>
              <w:t>(State or other jurisdiction of</w:t>
            </w:r>
          </w:p>
        </w:tc>
        <w:tc>
          <w:tcPr>
            <w:tcW w:w="2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40" w:type="dxa"/>
            <w:vAlign w:val="bottom"/>
          </w:tcPr>
          <w:p>
            <w:pPr>
              <w:jc w:val="center"/>
              <w:ind w:right="12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gridSpan w:val="2"/>
          </w:tcPr>
          <w:p>
            <w:pPr>
              <w:jc w:val="center"/>
              <w:ind w:left="1496"/>
              <w:spacing w:after="0"/>
              <w:rPr>
                <w:sz w:val="20"/>
                <w:szCs w:val="20"/>
                <w:color w:val="auto"/>
              </w:rPr>
            </w:pPr>
            <w:r>
              <w:rPr>
                <w:rFonts w:ascii="Arial" w:cs="Arial" w:eastAsia="Arial" w:hAnsi="Arial"/>
                <w:sz w:val="14"/>
                <w:szCs w:val="14"/>
                <w:b w:val="1"/>
                <w:bCs w:val="1"/>
                <w:color w:val="auto"/>
                <w:w w:val="93"/>
              </w:rPr>
              <w:t>incorporation or organization)</w:t>
            </w:r>
          </w:p>
        </w:tc>
        <w:tc>
          <w:tcPr>
            <w:tcW w:w="2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40" w:type="dxa"/>
            <w:vAlign w:val="bottom"/>
          </w:tcPr>
          <w:p>
            <w:pPr>
              <w:jc w:val="center"/>
              <w:ind w:right="1208"/>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4040" w:type="dxa"/>
            <w:vAlign w:val="bottom"/>
            <w:gridSpan w:val="2"/>
          </w:tcPr>
          <w:p>
            <w:pPr>
              <w:jc w:val="center"/>
              <w:ind w:left="1496"/>
              <w:spacing w:after="0"/>
              <w:rPr>
                <w:sz w:val="20"/>
                <w:szCs w:val="20"/>
                <w:color w:val="auto"/>
              </w:rPr>
            </w:pPr>
            <w:r>
              <w:rPr>
                <w:rFonts w:ascii="Arial" w:cs="Arial" w:eastAsia="Arial" w:hAnsi="Arial"/>
                <w:sz w:val="18"/>
                <w:szCs w:val="18"/>
                <w:b w:val="1"/>
                <w:bCs w:val="1"/>
                <w:color w:val="auto"/>
                <w:w w:val="91"/>
              </w:rPr>
              <w:t>111 McInnis Parkway,</w:t>
            </w:r>
          </w:p>
        </w:tc>
        <w:tc>
          <w:tcPr>
            <w:tcW w:w="2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4"/>
        </w:trPr>
        <w:tc>
          <w:tcPr>
            <w:tcW w:w="4040" w:type="dxa"/>
            <w:vAlign w:val="bottom"/>
            <w:gridSpan w:val="2"/>
          </w:tcPr>
          <w:p>
            <w:pPr>
              <w:jc w:val="center"/>
              <w:ind w:left="1496"/>
              <w:spacing w:after="0"/>
              <w:rPr>
                <w:sz w:val="20"/>
                <w:szCs w:val="20"/>
                <w:color w:val="auto"/>
              </w:rPr>
            </w:pPr>
            <w:r>
              <w:rPr>
                <w:rFonts w:ascii="Arial" w:cs="Arial" w:eastAsia="Arial" w:hAnsi="Arial"/>
                <w:sz w:val="18"/>
                <w:szCs w:val="18"/>
                <w:b w:val="1"/>
                <w:bCs w:val="1"/>
                <w:color w:val="auto"/>
                <w:w w:val="91"/>
              </w:rPr>
              <w:t>San Rafael, California</w:t>
            </w:r>
          </w:p>
        </w:tc>
        <w:tc>
          <w:tcPr>
            <w:tcW w:w="2660" w:type="dxa"/>
            <w:vAlign w:val="bottom"/>
          </w:tcPr>
          <w:p>
            <w:pPr>
              <w:spacing w:after="0"/>
              <w:rPr>
                <w:sz w:val="20"/>
                <w:szCs w:val="20"/>
                <w:color w:val="auto"/>
              </w:rPr>
            </w:pPr>
          </w:p>
        </w:tc>
        <w:tc>
          <w:tcPr>
            <w:tcW w:w="3780" w:type="dxa"/>
            <w:vAlign w:val="bottom"/>
            <w:gridSpan w:val="2"/>
          </w:tcPr>
          <w:p>
            <w:pPr>
              <w:jc w:val="right"/>
              <w:ind w:right="1608"/>
              <w:spacing w:after="0"/>
              <w:rPr>
                <w:sz w:val="20"/>
                <w:szCs w:val="20"/>
                <w:color w:val="auto"/>
              </w:rPr>
            </w:pPr>
            <w:r>
              <w:rPr>
                <w:rFonts w:ascii="Arial" w:cs="Arial" w:eastAsia="Arial" w:hAnsi="Arial"/>
                <w:sz w:val="18"/>
                <w:szCs w:val="18"/>
                <w:b w:val="1"/>
                <w:bCs w:val="1"/>
                <w:color w:val="auto"/>
              </w:rPr>
              <w:t>94903</w:t>
            </w:r>
          </w:p>
        </w:tc>
      </w:tr>
      <w:tr>
        <w:trPr>
          <w:trHeight w:val="218"/>
        </w:trPr>
        <w:tc>
          <w:tcPr>
            <w:tcW w:w="4040" w:type="dxa"/>
            <w:vAlign w:val="bottom"/>
            <w:gridSpan w:val="2"/>
          </w:tcPr>
          <w:p>
            <w:pPr>
              <w:jc w:val="center"/>
              <w:ind w:left="149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540" w:type="dxa"/>
            <w:vAlign w:val="bottom"/>
          </w:tcPr>
          <w:p>
            <w:pPr>
              <w:jc w:val="center"/>
              <w:ind w:right="1208"/>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60" w:type="dxa"/>
            <w:vAlign w:val="bottom"/>
          </w:tcPr>
          <w:p>
            <w:pPr>
              <w:jc w:val="center"/>
              <w:ind w:left="617"/>
              <w:spacing w:after="0"/>
              <w:rPr>
                <w:sz w:val="20"/>
                <w:szCs w:val="20"/>
                <w:color w:val="auto"/>
              </w:rPr>
            </w:pPr>
            <w:r>
              <w:rPr>
                <w:rFonts w:ascii="Arial" w:cs="Arial" w:eastAsia="Arial" w:hAnsi="Arial"/>
                <w:sz w:val="18"/>
                <w:szCs w:val="18"/>
                <w:b w:val="1"/>
                <w:bCs w:val="1"/>
                <w:color w:val="auto"/>
                <w:w w:val="90"/>
              </w:rPr>
              <w:t>(415) 507-5000</w:t>
            </w:r>
          </w:p>
        </w:tc>
        <w:tc>
          <w:tcPr>
            <w:tcW w:w="124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186"/>
        </w:trPr>
        <w:tc>
          <w:tcPr>
            <w:tcW w:w="3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40" w:type="dxa"/>
            <w:vAlign w:val="bottom"/>
            <w:gridSpan w:val="3"/>
          </w:tcPr>
          <w:p>
            <w:pPr>
              <w:jc w:val="center"/>
              <w:ind w:right="302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3500" w:type="dxa"/>
            <w:vAlign w:val="bottom"/>
          </w:tcPr>
          <w:p>
            <w:pPr>
              <w:spacing w:after="0"/>
              <w:rPr>
                <w:sz w:val="22"/>
                <w:szCs w:val="22"/>
                <w:color w:val="auto"/>
              </w:rPr>
            </w:pPr>
          </w:p>
        </w:tc>
        <w:tc>
          <w:tcPr>
            <w:tcW w:w="3200" w:type="dxa"/>
            <w:vAlign w:val="bottom"/>
            <w:tcBorders>
              <w:bottom w:val="single" w:sz="8" w:color="auto"/>
            </w:tcBorders>
            <w:gridSpan w:val="2"/>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540" w:type="dxa"/>
            <w:vAlign w:val="bottom"/>
          </w:tcPr>
          <w:p>
            <w:pPr>
              <w:spacing w:after="0"/>
              <w:rPr>
                <w:sz w:val="22"/>
                <w:szCs w:val="22"/>
                <w:color w:val="auto"/>
              </w:rPr>
            </w:pPr>
          </w:p>
        </w:tc>
      </w:tr>
      <w:tr>
        <w:trPr>
          <w:trHeight w:val="426"/>
        </w:trPr>
        <w:tc>
          <w:tcPr>
            <w:tcW w:w="6700" w:type="dxa"/>
            <w:vAlign w:val="bottom"/>
            <w:gridSpan w:val="3"/>
          </w:tcPr>
          <w:p>
            <w:pPr>
              <w:jc w:val="center"/>
              <w:ind w:right="2457"/>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24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78"/>
        </w:trPr>
        <w:tc>
          <w:tcPr>
            <w:tcW w:w="4040" w:type="dxa"/>
            <w:vAlign w:val="bottom"/>
            <w:gridSpan w:val="2"/>
          </w:tcPr>
          <w:p>
            <w:pPr>
              <w:jc w:val="center"/>
              <w:ind w:left="16"/>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tcPr>
          <w:p>
            <w:pPr>
              <w:jc w:val="center"/>
              <w:ind w:right="337"/>
              <w:spacing w:after="0"/>
              <w:rPr>
                <w:sz w:val="20"/>
                <w:szCs w:val="20"/>
                <w:color w:val="auto"/>
              </w:rPr>
            </w:pPr>
            <w:r>
              <w:rPr>
                <w:rFonts w:ascii="Arial" w:cs="Arial" w:eastAsia="Arial" w:hAnsi="Arial"/>
                <w:sz w:val="18"/>
                <w:szCs w:val="18"/>
                <w:b w:val="1"/>
                <w:bCs w:val="1"/>
                <w:color w:val="auto"/>
                <w:w w:val="91"/>
              </w:rPr>
              <w:t>Trading Symbol(s)</w:t>
            </w:r>
          </w:p>
        </w:tc>
        <w:tc>
          <w:tcPr>
            <w:tcW w:w="378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0"/>
        </w:trPr>
        <w:tc>
          <w:tcPr>
            <w:tcW w:w="4040" w:type="dxa"/>
            <w:vAlign w:val="bottom"/>
            <w:gridSpan w:val="2"/>
          </w:tcPr>
          <w:p>
            <w:pPr>
              <w:jc w:val="center"/>
              <w:ind w:left="16"/>
              <w:spacing w:after="0"/>
              <w:rPr>
                <w:sz w:val="20"/>
                <w:szCs w:val="20"/>
                <w:color w:val="auto"/>
              </w:rPr>
            </w:pPr>
            <w:r>
              <w:rPr>
                <w:rFonts w:ascii="Arial" w:cs="Arial" w:eastAsia="Arial" w:hAnsi="Arial"/>
                <w:sz w:val="18"/>
                <w:szCs w:val="18"/>
                <w:color w:val="auto"/>
                <w:w w:val="89"/>
              </w:rPr>
              <w:t>Common Stock, par value $0.01 per share</w:t>
            </w:r>
          </w:p>
        </w:tc>
        <w:tc>
          <w:tcPr>
            <w:tcW w:w="2660" w:type="dxa"/>
            <w:vAlign w:val="bottom"/>
          </w:tcPr>
          <w:p>
            <w:pPr>
              <w:jc w:val="center"/>
              <w:ind w:right="337"/>
              <w:spacing w:after="0"/>
              <w:rPr>
                <w:sz w:val="20"/>
                <w:szCs w:val="20"/>
                <w:color w:val="auto"/>
              </w:rPr>
            </w:pPr>
            <w:r>
              <w:rPr>
                <w:rFonts w:ascii="Arial" w:cs="Arial" w:eastAsia="Arial" w:hAnsi="Arial"/>
                <w:sz w:val="18"/>
                <w:szCs w:val="18"/>
                <w:color w:val="auto"/>
                <w:w w:val="97"/>
              </w:rPr>
              <w:t>ADSK</w:t>
            </w:r>
          </w:p>
        </w:tc>
        <w:tc>
          <w:tcPr>
            <w:tcW w:w="3780" w:type="dxa"/>
            <w:vAlign w:val="bottom"/>
            <w:gridSpan w:val="2"/>
          </w:tcPr>
          <w:p>
            <w:pPr>
              <w:jc w:val="center"/>
              <w:ind w:left="330"/>
              <w:spacing w:after="0"/>
              <w:rPr>
                <w:sz w:val="20"/>
                <w:szCs w:val="20"/>
                <w:color w:val="auto"/>
              </w:rPr>
            </w:pPr>
            <w:r>
              <w:rPr>
                <w:rFonts w:ascii="Arial" w:cs="Arial" w:eastAsia="Arial" w:hAnsi="Arial"/>
                <w:sz w:val="18"/>
                <w:szCs w:val="18"/>
                <w:color w:val="auto"/>
                <w:w w:val="90"/>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-2572385</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36" w:lineRule="exact"/>
        <w:rPr>
          <w:sz w:val="24"/>
          <w:szCs w:val="24"/>
          <w:color w:val="auto"/>
        </w:rPr>
      </w:pPr>
    </w:p>
    <w:p>
      <w:pPr>
        <w:ind w:firstLine="432"/>
        <w:spacing w:after="0" w:line="25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4" w:lineRule="exact"/>
        <w:rPr>
          <w:sz w:val="24"/>
          <w:szCs w:val="24"/>
          <w:color w:val="auto"/>
        </w:rPr>
      </w:pPr>
    </w:p>
    <w:p>
      <w:pPr>
        <w:ind w:right="60" w:firstLine="432"/>
        <w:spacing w:after="0" w:line="26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w:cs="Arial" w:eastAsia="Arial" w:hAnsi="Arial"/>
          <w:sz w:val="20"/>
          <w:szCs w:val="20"/>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6" w:lineRule="exact"/>
        <w:rPr>
          <w:sz w:val="24"/>
          <w:szCs w:val="24"/>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340"/>
              <w:spacing w:after="0"/>
              <w:rPr>
                <w:sz w:val="20"/>
                <w:szCs w:val="20"/>
                <w:color w:val="auto"/>
              </w:rPr>
            </w:pPr>
            <w:r>
              <w:rPr>
                <w:rFonts w:ascii="Arial" w:cs="Arial" w:eastAsia="Arial" w:hAnsi="Arial"/>
                <w:sz w:val="18"/>
                <w:szCs w:val="18"/>
                <w:color w:val="auto"/>
              </w:rPr>
              <w:t>x</w:t>
            </w:r>
          </w:p>
        </w:tc>
        <w:tc>
          <w:tcPr>
            <w:tcW w:w="52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ectPr>
          <w:pgSz w:w="11900" w:h="16838" w:orient="portrait"/>
          <w:cols w:equalWidth="0" w:num="1">
            <w:col w:w="11380"/>
          </w:cols>
          <w:pgMar w:left="240" w:top="976" w:right="279" w:bottom="1440" w:gutter="0" w:footer="0" w:header="0"/>
        </w:sectPr>
      </w:pPr>
    </w:p>
    <w:bookmarkStart w:id="1" w:name="page2"/>
    <w:bookmarkEnd w:id="1"/>
    <w:p>
      <w:pPr>
        <w:ind w:firstLine="432"/>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left="440" w:right="1580"/>
        <w:spacing w:after="0" w:line="238"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May 29, 2019, registrant had outstanding 219,619,580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800" w:right="4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FINANCIAL INFORMATION</w:t>
              </w:r>
            </w:hyperlink>
          </w:p>
        </w:tc>
        <w:tc>
          <w:tcPr>
            <w:tcW w:w="296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April 30, 2019 and 2018</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Comprehensive Loss for the Three Months Ended April 30, 2019 and 2018</w:t>
              </w:r>
            </w:hyperlink>
          </w:p>
        </w:tc>
        <w:tc>
          <w:tcPr>
            <w:tcW w:w="7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as of April 30, 2019 and January 31, 2019</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April 30, 2019 and 2018</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372"/>
        </w:trPr>
        <w:tc>
          <w:tcPr>
            <w:tcW w:w="920" w:type="dxa"/>
            <w:vAlign w:val="bottom"/>
          </w:tcPr>
          <w:p>
            <w:pPr>
              <w:spacing w:after="0"/>
              <w:rPr>
                <w:sz w:val="24"/>
                <w:szCs w:val="24"/>
                <w:color w:val="auto"/>
              </w:rPr>
            </w:pPr>
          </w:p>
        </w:tc>
        <w:tc>
          <w:tcPr>
            <w:tcW w:w="7600" w:type="dxa"/>
            <w:vAlign w:val="bottom"/>
            <w:tcBorders>
              <w:top w:val="single" w:sz="8" w:color="0000EE"/>
            </w:tcBorders>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3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49">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372"/>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51">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51">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2"/>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65">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9"/>
          </w:tcPr>
          <w:p>
            <w:pPr>
              <w:spacing w:after="0"/>
              <w:rPr>
                <w:rFonts w:ascii="Arial" w:cs="Arial" w:eastAsia="Arial" w:hAnsi="Arial"/>
                <w:sz w:val="18"/>
                <w:szCs w:val="18"/>
                <w:b w:val="1"/>
                <w:bCs w:val="1"/>
                <w:color w:val="0000FF"/>
              </w:rPr>
            </w:pPr>
            <w:hyperlink w:anchor="page65">
              <w:r>
                <w:rPr>
                  <w:rFonts w:ascii="Arial" w:cs="Arial" w:eastAsia="Arial" w:hAnsi="Arial"/>
                  <w:sz w:val="18"/>
                  <w:szCs w:val="18"/>
                  <w:b w:val="1"/>
                  <w:bCs w:val="1"/>
                  <w:color w:val="0000FF"/>
                </w:rPr>
                <w:t>Mine Safety Disclosures</w:t>
              </w:r>
            </w:hyperlink>
          </w:p>
        </w:tc>
        <w:tc>
          <w:tcPr>
            <w:tcW w:w="65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65">
              <w:r>
                <w:rPr>
                  <w:rFonts w:ascii="Arial" w:cs="Arial" w:eastAsia="Arial" w:hAnsi="Arial"/>
                  <w:sz w:val="18"/>
                  <w:szCs w:val="18"/>
                  <w:b w:val="1"/>
                  <w:bCs w:val="1"/>
                  <w:color w:val="0000FF"/>
                  <w:w w:val="93"/>
                </w:rPr>
                <w:t>Other Information</w:t>
              </w:r>
            </w:hyperlink>
          </w:p>
        </w:tc>
        <w:tc>
          <w:tcPr>
            <w:tcW w:w="380" w:type="dxa"/>
            <w:vAlign w:val="bottom"/>
            <w:gridSpan w:val="2"/>
          </w:tcPr>
          <w:p>
            <w:pPr>
              <w:spacing w:after="0"/>
              <w:rPr>
                <w:sz w:val="24"/>
                <w:szCs w:val="24"/>
                <w:color w:val="auto"/>
              </w:rPr>
            </w:pPr>
          </w:p>
        </w:tc>
        <w:tc>
          <w:tcPr>
            <w:tcW w:w="71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66">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6">
              <w:r>
                <w:rPr>
                  <w:rFonts w:ascii="Arial" w:cs="Arial" w:eastAsia="Arial" w:hAnsi="Arial"/>
                  <w:sz w:val="18"/>
                  <w:szCs w:val="18"/>
                  <w:color w:val="0000FF"/>
                </w:rPr>
                <w:t>66</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67">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3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Maintenance</w:t>
      </w:r>
    </w:p>
    <w:p>
      <w:pPr>
        <w:spacing w:after="0" w:line="86" w:lineRule="exact"/>
        <w:rPr>
          <w:sz w:val="20"/>
          <w:szCs w:val="20"/>
          <w:color w:val="auto"/>
        </w:rPr>
      </w:pPr>
    </w:p>
    <w:p>
      <w:pPr>
        <w:jc w:val="right"/>
        <w:ind w:right="4460"/>
        <w:spacing w:after="0"/>
        <w:rPr>
          <w:sz w:val="20"/>
          <w:szCs w:val="20"/>
          <w:color w:val="auto"/>
        </w:rPr>
      </w:pPr>
      <w:r>
        <w:rPr>
          <w:rFonts w:ascii="Arial" w:cs="Arial" w:eastAsia="Arial" w:hAnsi="Arial"/>
          <w:sz w:val="16"/>
          <w:szCs w:val="16"/>
          <w:color w:val="auto"/>
        </w:rPr>
        <w:t>Total subscription and maintenance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Cost of subscription and maintenance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other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cost of revenue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Marketing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507"/>
        </w:trPr>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595.8</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350.4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181.2</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707.8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531.6</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28.3</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559.9</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87"/>
        </w:trPr>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66.8</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652.8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493.1</w:t>
            </w:r>
          </w:p>
        </w:tc>
      </w:tr>
      <w:tr>
        <w:trPr>
          <w:trHeight w:val="540"/>
        </w:trPr>
        <w:tc>
          <w:tcPr>
            <w:tcW w:w="320" w:type="dxa"/>
            <w:vAlign w:val="bottom"/>
          </w:tcPr>
          <w:p>
            <w:pPr>
              <w:spacing w:after="0"/>
              <w:rPr>
                <w:sz w:val="24"/>
                <w:szCs w:val="24"/>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276.4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72.9</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548.4</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70"/>
        </w:trPr>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w:t>
            </w:r>
          </w:p>
        </w:tc>
      </w:tr>
    </w:tbl>
    <w:p>
      <w:pPr>
        <w:spacing w:after="0" w:line="13" w:lineRule="exact"/>
        <w:rPr>
          <w:sz w:val="20"/>
          <w:szCs w:val="20"/>
          <w:color w:val="auto"/>
        </w:rPr>
      </w:pPr>
    </w:p>
    <w:p>
      <w:pPr>
        <w:sectPr>
          <w:pgSz w:w="11900" w:h="16838" w:orient="portrait"/>
          <w:cols w:equalWidth="0" w:num="2">
            <w:col w:w="7860" w:space="720"/>
            <w:col w:w="28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loss</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5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5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per share</w:t>
            </w: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87"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37465</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comprehensive loss, net of reclassifications: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 on derivative instruments (net of tax effect of ($0.3) and ($0.7), respectively)</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Change in net unrealized gain on available-for-sale debt securities (net of tax effect of ($0.4) and $0.1, respectively)</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0.6</w:t>
            </w: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$0.1 and ($1.4), respectively)</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(net of tax effect of $0.4 and $0.3, respectively)</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2019</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67.6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474.3</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105.6</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2,450.8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65.3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4,808.5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4,729.2</w:t>
            </w:r>
          </w:p>
        </w:tc>
      </w:tr>
      <w:tr>
        <w:trPr>
          <w:trHeight w:val="73"/>
        </w:trPr>
        <w:tc>
          <w:tcPr>
            <w:tcW w:w="8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280"/>
              <w:spacing w:after="0" w:line="177" w:lineRule="exact"/>
              <w:rPr>
                <w:sz w:val="20"/>
                <w:szCs w:val="20"/>
                <w:color w:val="auto"/>
              </w:rPr>
            </w:pPr>
            <w:r>
              <w:rPr>
                <w:rFonts w:ascii="Arial" w:cs="Arial" w:eastAsia="Arial" w:hAnsi="Arial"/>
                <w:sz w:val="16"/>
                <w:szCs w:val="16"/>
                <w:b w:val="1"/>
                <w:bCs w:val="1"/>
                <w:color w:val="auto"/>
              </w:rPr>
              <w:t>LIABILITIES AND STOCKHOLDERS’ DEFICIT</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280.8</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1,763.3</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142.3</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2,301.2</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Long-term deferred revenue</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328.1</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Long-term income taxes payable</w:t>
            </w:r>
          </w:p>
        </w:tc>
        <w:tc>
          <w:tcPr>
            <w:tcW w:w="24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notes payable, net</w:t>
            </w:r>
          </w:p>
        </w:tc>
        <w:tc>
          <w:tcPr>
            <w:tcW w:w="2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1,963.3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2,087.7</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2,071.5</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33"/>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(210.9)</w:t>
            </w:r>
          </w:p>
        </w:tc>
      </w:tr>
      <w:tr>
        <w:trPr>
          <w:trHeight w:val="33"/>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4,729.2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April 30,</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9"/>
                <w:szCs w:val="19"/>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24.1</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13.3</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10.5</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231.4</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(227.7)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(used in)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6.2</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10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investing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8100" w:type="dxa"/>
            <w:vAlign w:val="bottom"/>
          </w:tcPr>
          <w:p>
            <w:pPr>
              <w:ind w:left="760"/>
              <w:spacing w:after="0"/>
              <w:rPr>
                <w:sz w:val="20"/>
                <w:szCs w:val="20"/>
                <w:color w:val="auto"/>
              </w:rPr>
            </w:pPr>
            <w:r>
              <w:rPr>
                <w:rFonts w:ascii="Arial" w:cs="Arial" w:eastAsia="Arial" w:hAnsi="Arial"/>
                <w:sz w:val="16"/>
                <w:szCs w:val="16"/>
                <w:color w:val="auto"/>
              </w:rPr>
              <w:t>Net cash (used in) provided by investing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47.6</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1020" w:type="dxa"/>
            <w:vAlign w:val="bottom"/>
          </w:tcPr>
          <w:p>
            <w:pPr>
              <w:spacing w:after="0"/>
              <w:rPr>
                <w:sz w:val="19"/>
                <w:szCs w:val="19"/>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49.1</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Repurchases of common stock</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debt</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8100" w:type="dxa"/>
            <w:vAlign w:val="bottom"/>
          </w:tcPr>
          <w:p>
            <w:pPr>
              <w:ind w:left="760"/>
              <w:spacing w:after="0"/>
              <w:rPr>
                <w:sz w:val="20"/>
                <w:szCs w:val="20"/>
                <w:color w:val="auto"/>
              </w:rPr>
            </w:pPr>
            <w:r>
              <w:rPr>
                <w:rFonts w:ascii="Arial" w:cs="Arial" w:eastAsia="Arial" w:hAnsi="Arial"/>
                <w:sz w:val="16"/>
                <w:szCs w:val="16"/>
                <w:color w:val="auto"/>
              </w:rPr>
              <w:t>Net cash used in financing activities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33"/>
        </w:trPr>
        <w:tc>
          <w:tcPr>
            <w:tcW w:w="8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w:t>
            </w:r>
          </w:p>
        </w:tc>
      </w:tr>
      <w:tr>
        <w:trPr>
          <w:trHeight w:val="33"/>
        </w:trPr>
        <w:tc>
          <w:tcPr>
            <w:tcW w:w="8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1,078.0</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020" w:type="dxa"/>
            <w:vAlign w:val="bottom"/>
            <w:tcBorders>
              <w:top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883.2</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1,093.0</w:t>
            </w:r>
          </w:p>
        </w:tc>
      </w:tr>
      <w:tr>
        <w:trPr>
          <w:trHeight w:val="73"/>
        </w:trPr>
        <w:tc>
          <w:tcPr>
            <w:tcW w:w="8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r>
        <w:trPr>
          <w:trHeight w:val="278"/>
        </w:trPr>
        <w:tc>
          <w:tcPr>
            <w:tcW w:w="8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The accompanying unaudited Condensed Consolidated Financial Statements of Autodesk, Inc. (“Autodesk,” “we,” “us,” “our,” or the “Company”) as of April 30, 2019, and for the three months ended April 30, 2019 and 2018,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2019 are not necessarily indicative of the results for the entire fiscal year ending January 31, 2020, or for any other period. Further, the balance sheet as of January 31, 2019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2019.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2019, filed on March 25,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With the exception of those discussed below, there have been no recent changes in accounting pronouncements issued by the Financial Accounting Standards Board (“FASB”) or adopted by the Company during the three months ended April 30, 2019, that are applicable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Autodesk adopted ASU No. 2017-12, "Derivatives and Hedging (Topic 815): Targeted Improvements to Accounting for Hedging Activities" on February 1, 2019. The amendment helps simplify certain aspects of hedge accounting and results in a more accurate portrayal of the economics of an entity’s risk management activities in its financial statements. For cash flow and net investment hedges as of the adoption date, the guidance required a modified retrospective approach. The amended presentation and disclosure guidance is required only prospectively. The transition impact was immaterial and no substantive changes were made to Autodesk’s current processes, accounting, or disclosures for cash flow hedges.</w:t>
      </w:r>
    </w:p>
    <w:p>
      <w:pPr>
        <w:spacing w:after="0" w:line="17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adopted ASU No. 2018-02, “Income Statement-Reporting Comprehensive Income (Topic 220): Reclassification of Certain Tax Effects from Accumulated Other Comprehensive Income” on February 1, 2019. The amendment allows entities the option to reclassify tax effects stranded in accumulated other comprehensive income as a result of the U.S. Tax Cuts and Jobs Act (the "Tax Act") to retained earnings. Upon adoption, the amount reclassified from other comprehensive loss to stockholders' deficit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In February 2016, FASB issued ASU No. 2016-02, Leases (ASC Topic 842) to increase transparency and comparability among organizations by recognizing lease assets and lease liabilities on the balance sheet and disclosing key information about leasing transactions. The new standard requires entities to reflect the net present value of all future fixed lease payments for both operating and finance leases on the balance sheet. It also requires entities to disclose fixed and variable lease payments separately and by lease type (operating vs. finance leases). In addition, FASB issued ASU No. 2018-10 and 2018-11 in July 2018 and ASU No. 2018-20 in December 2018 to help provide accommodations and interpretive clarifications on various issues raised by stakeholders. ASU No. 2018-10 clarifies ambiguous or potentially conflicting guidance in ASU No. 2016-02. ASU No. 2018-11 provides an additional transition option to apply ASU No. 2016-02 upon adoption of the new standard.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Adoption and policy elections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 adopted ASU No. 2016-02 as of February 1, 2019, using the modified retrospective method permitted under ASU No. 2018-11 for all existing leases which does not include retrospectively adjusting prior periods presented in the financial statements. Under ASU No. 2016-02, as the lessee, Autodesk recognized a right-of-use ("ROU") asset and offsetting lease liability for leases that existed on adoption. The asset and liability were measured at present value of all future fixed lease payments, discounted using the Company’s incremental borrowing rate. Autodesk has elected to opt for the practical expedients: to not reassess whether any existing contracts are leases or contain a lease; to not reassess the lease classification of existing leases; and to not reassess initial direct costs for existing leases. Autodesk has elected to combine lease and non-lease components for new leases post adoption for all lease assets.</w:t>
      </w:r>
    </w:p>
    <w:p>
      <w:pPr>
        <w:spacing w:after="0" w:line="16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Autodesk determines if an arrangement is a lease at inception. Operating leases are included in “Operating lease right-of-use assets”, “Operating lease liabilities”, and “Long-term operating lease liabilities” in the Condensed Consolidated Balance Sheets.</w:t>
      </w:r>
    </w:p>
    <w:p>
      <w:pPr>
        <w:spacing w:after="0" w:line="170" w:lineRule="exact"/>
        <w:rPr>
          <w:sz w:val="20"/>
          <w:szCs w:val="20"/>
          <w:color w:val="auto"/>
        </w:rPr>
      </w:pPr>
    </w:p>
    <w:p>
      <w:pPr>
        <w:ind w:right="220" w:firstLine="405"/>
        <w:spacing w:after="0" w:line="272" w:lineRule="auto"/>
        <w:rPr>
          <w:sz w:val="20"/>
          <w:szCs w:val="20"/>
          <w:color w:val="auto"/>
        </w:rPr>
      </w:pPr>
      <w:r>
        <w:rPr>
          <w:rFonts w:ascii="Arial" w:cs="Arial" w:eastAsia="Arial" w:hAnsi="Arial"/>
          <w:sz w:val="17"/>
          <w:szCs w:val="17"/>
          <w:color w:val="auto"/>
        </w:rPr>
        <w:t>Operating lease ROU assets represent Autodesk’s right to use an underlying asset for the lease term and operating lease liabilities represent the Company’s obligation to make lease payments arising from the lease. Operating lease ROU assets and operating lease liabilities are recognized at commencement date based on the present value of lease payments over the lease term. As most of the Company’s leases do not provide an implicit rate, Autodesk uses its incremental borrowing rate, adjusted for local country-specific borrowing rates as applicable, based on the information available at commencement date in determining the present value of lease payments. The operating lease ROU assets include any adjustments for prepayments and any lease incentives. Options to extend or terminate the lease are considered in determining the lease term when it is reasonably certain that the option will be exercised. Lease expense for lease payments is recognized on a straight-line basis over the lease term.</w:t>
      </w:r>
    </w:p>
    <w:p>
      <w:pPr>
        <w:spacing w:after="0" w:line="17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Autodesk has lease agreements with lease and non-lease components. Autodesk accounts for the lease and non-lease components as a single lease component.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Quantitative effect of ASC Topic 842 adoption</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Under the modified retrospective method, Autodesk recorded $(0.7) million to the opening balance of "Accumulated deficit" as of February 1, 2019. The comparative information has not been adjusted and continues to be reported as under previous accounting guidance. The adoption of ASU No. 2016-02 did not have a material impact to the Company’s condensed consolidated statement of operations or net cash provided by operating activities as of February 1, 2019.</w:t>
      </w:r>
    </w:p>
    <w:p>
      <w:pPr>
        <w:spacing w:after="0" w:line="18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shows line items that were materially impacted by the adoption of ASC Topic 842 on February 1, 2019 on Autodesk’s Condensed Consolidated Balance Sheet: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reported</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Impact from the</w:t>
            </w:r>
          </w:p>
        </w:tc>
        <w:tc>
          <w:tcPr>
            <w:tcW w:w="160" w:type="dxa"/>
            <w:vAlign w:val="bottom"/>
          </w:tcPr>
          <w:p>
            <w:pPr>
              <w:spacing w:after="0"/>
              <w:rPr>
                <w:sz w:val="14"/>
                <w:szCs w:val="14"/>
                <w:color w:val="auto"/>
              </w:rPr>
            </w:pPr>
          </w:p>
        </w:tc>
        <w:tc>
          <w:tcPr>
            <w:tcW w:w="9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January 31, 2019</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adoption (1)</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tcBorders>
            <w:shd w:val="clear" w:color="auto" w:fill="CCEEFF"/>
          </w:tcPr>
          <w:p>
            <w:pPr>
              <w:ind w:left="358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7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1,614.1</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283.4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5,006.7</w:t>
            </w:r>
          </w:p>
        </w:tc>
        <w:tc>
          <w:tcPr>
            <w:tcW w:w="0" w:type="dxa"/>
            <w:vAlign w:val="bottom"/>
          </w:tcPr>
          <w:p>
            <w:pPr>
              <w:spacing w:after="0"/>
              <w:rPr>
                <w:sz w:val="1"/>
                <w:szCs w:val="1"/>
                <w:color w:val="auto"/>
              </w:rPr>
            </w:pPr>
          </w:p>
        </w:tc>
      </w:tr>
      <w:tr>
        <w:trPr>
          <w:trHeight w:val="224"/>
        </w:trPr>
        <w:tc>
          <w:tcPr>
            <w:tcW w:w="7760" w:type="dxa"/>
            <w:vAlign w:val="bottom"/>
          </w:tcPr>
          <w:p>
            <w:pPr>
              <w:ind w:left="2100"/>
              <w:spacing w:after="0"/>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(2,147.4)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(2,148.1)</w:t>
            </w:r>
          </w:p>
        </w:tc>
        <w:tc>
          <w:tcPr>
            <w:tcW w:w="0" w:type="dxa"/>
            <w:vAlign w:val="bottom"/>
          </w:tcPr>
          <w:p>
            <w:pPr>
              <w:spacing w:after="0"/>
              <w:rPr>
                <w:sz w:val="1"/>
                <w:szCs w:val="1"/>
                <w:color w:val="auto"/>
              </w:rPr>
            </w:pPr>
          </w:p>
        </w:tc>
      </w:tr>
      <w:tr>
        <w:trPr>
          <w:trHeight w:val="249"/>
        </w:trPr>
        <w:tc>
          <w:tcPr>
            <w:tcW w:w="7760" w:type="dxa"/>
            <w:vAlign w:val="bottom"/>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660" w:right="1740" w:hanging="5652"/>
        <w:spacing w:after="0" w:line="793" w:lineRule="auto"/>
        <w:tabs>
          <w:tab w:leader="none" w:pos="404" w:val="left"/>
        </w:tabs>
        <w:numPr>
          <w:ilvl w:val="0"/>
          <w:numId w:val="3"/>
        </w:numPr>
        <w:rPr>
          <w:rFonts w:ascii="Arial" w:cs="Arial" w:eastAsia="Arial" w:hAnsi="Arial"/>
          <w:sz w:val="16"/>
          <w:szCs w:val="16"/>
          <w:color w:val="auto"/>
        </w:rPr>
      </w:pPr>
      <w:r>
        <w:rPr>
          <w:rFonts w:ascii="Arial" w:cs="Arial" w:eastAsia="Arial" w:hAnsi="Arial"/>
          <w:sz w:val="16"/>
          <w:szCs w:val="16"/>
          <w:color w:val="auto"/>
        </w:rPr>
        <w:t>A</w:t>
      </w:r>
      <w:r>
        <w:rPr>
          <w:rFonts w:ascii="Arial" w:cs="Arial" w:eastAsia="Arial" w:hAnsi="Arial"/>
          <w:sz w:val="18"/>
          <w:szCs w:val="18"/>
          <w:color w:val="auto"/>
        </w:rPr>
        <w:t>doption of ASC Topic 842 did not have any other material impacts on Autodesk's condensed consolidated financial statements</w:t>
      </w:r>
      <w:r>
        <w:rPr>
          <w:rFonts w:ascii="Arial" w:cs="Arial" w:eastAsia="Arial" w:hAnsi="Arial"/>
          <w:sz w:val="16"/>
          <w:szCs w:val="16"/>
          <w:color w:val="auto"/>
        </w:rPr>
        <w:t xml:space="preserve">. </w:t>
      </w: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8"/>
          <w:szCs w:val="18"/>
          <w:color w:val="auto"/>
        </w:rPr>
        <w:t>See Note 13, "Leases" for disclosures under ASC Topic 842.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25"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In June 2016, FASB issued ASU No.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Revenue Recognition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Autodesk’s revenue is divided into three categories: subscription revenue, maintenance revenue, and other revenue. Revenue is recognized when control for these offerings is transferred to our customers and in an amount that reflects the consideration we expect to be entitled to in exchange for products and services.</w:t>
      </w:r>
    </w:p>
    <w:p>
      <w:pPr>
        <w:spacing w:after="0" w:line="181"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Our contracts with customers may include promises to transfer multiple products and services to a customer. Determining whether the products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software and cloud functionality. This determination influences whether the software is considered distinct and accounted for separately as a license performance obligation, or not distinct and accounted for together with the cloud functionality as a single subscription performance obligation recognized over time.</w:t>
      </w:r>
    </w:p>
    <w:p>
      <w:pPr>
        <w:spacing w:after="0" w:line="15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For product subscriptions and enterprise business agreement ("EBA") subscriptions in which the desktop software and related cloud functionality are highly interrelated, the combined performance obligation is recognized ratably over the contract term as the obligation is delivered. For contracts involving distinct software licenses, the license performance obligation is satisfied at a point in time when control is transferred to the customer.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158"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18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5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part of the indirect channel model, we have a partner incentive program that uses quarterly attainment of monetary rewards to motivate distributors and resellers to achieve mutually agreed upon business goals in a specified time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right="340"/>
        <w:spacing w:after="0" w:line="302" w:lineRule="auto"/>
        <w:rPr>
          <w:sz w:val="20"/>
          <w:szCs w:val="20"/>
          <w:color w:val="auto"/>
        </w:rPr>
      </w:pPr>
      <w:r>
        <w:rPr>
          <w:rFonts w:ascii="Arial" w:cs="Arial" w:eastAsia="Arial" w:hAnsi="Arial"/>
          <w:sz w:val="16"/>
          <w:szCs w:val="16"/>
          <w:color w:val="auto"/>
        </w:rPr>
        <w:t>Incentives related to our subscription program are recorded as a reduction to deferred revenue in the period the subscription transaction is billed, and are subsequently recognized as a reduction to subscription revenue over the contract period. A small portion of partner incentives reduce other revenue in the current period. These incentive balances do not require significant assumptions or judgments. Depending on how the payments are made, the reserves associated with the partner incentive program are recorded on the balance sheet as either contra accounts receivable or accounts payable.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Disaggregation</w:t>
      </w:r>
    </w:p>
    <w:p>
      <w:pPr>
        <w:spacing w:after="0" w:line="225" w:lineRule="exact"/>
        <w:rPr>
          <w:sz w:val="20"/>
          <w:szCs w:val="20"/>
          <w:color w:val="auto"/>
        </w:rPr>
      </w:pPr>
    </w:p>
    <w:p>
      <w:pPr>
        <w:ind w:right="460" w:firstLine="432"/>
        <w:spacing w:after="0" w:line="259" w:lineRule="auto"/>
        <w:rPr>
          <w:sz w:val="20"/>
          <w:szCs w:val="20"/>
          <w:color w:val="auto"/>
        </w:rPr>
      </w:pPr>
      <w:r>
        <w:rPr>
          <w:rFonts w:ascii="Arial" w:cs="Arial" w:eastAsia="Arial" w:hAnsi="Arial"/>
          <w:sz w:val="18"/>
          <w:szCs w:val="18"/>
          <w:color w:val="auto"/>
        </w:rPr>
        <w:t>Autodesk recognizes revenue from the sale of (1) product subscriptions, cloud service offerings, and flexible enterprise business arrangements ("EBAs"), (2) renewal fees for existing maintenance plan agreements that were initially purchased with a perpetual software license, and (3) consulting, training and other goods and services. The three categories are presented as line items on Autodesk's unaudited Condensed Consolidated Statements of Operations.</w:t>
      </w:r>
    </w:p>
    <w:p>
      <w:pPr>
        <w:spacing w:after="0" w:line="18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geographic location, product family, and sales channel is as follows:</w:t>
      </w:r>
    </w:p>
    <w:p>
      <w:pPr>
        <w:spacing w:after="0" w:line="297"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0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100" w:lineRule="exact"/>
        <w:rPr>
          <w:sz w:val="20"/>
          <w:szCs w:val="20"/>
          <w:color w:val="auto"/>
        </w:rPr>
      </w:pPr>
    </w:p>
    <w:p>
      <w:pPr>
        <w:jc w:val="right"/>
        <w:ind w:right="4660"/>
        <w:spacing w:after="0"/>
        <w:rPr>
          <w:sz w:val="20"/>
          <w:szCs w:val="20"/>
          <w:color w:val="auto"/>
        </w:rPr>
      </w:pPr>
      <w:r>
        <w:rPr>
          <w:rFonts w:ascii="Arial" w:cs="Arial" w:eastAsia="Arial" w:hAnsi="Arial"/>
          <w:sz w:val="16"/>
          <w:szCs w:val="16"/>
          <w:color w:val="auto"/>
        </w:rPr>
        <w:t>Architecture, Engineering and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3773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377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tabs>
          <w:tab w:leader="none" w:pos="860" w:val="left"/>
          <w:tab w:leader="none" w:pos="1460" w:val="left"/>
          <w:tab w:leader="none" w:pos="2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304.3</w:t>
        <w:tab/>
        <w:t>$</w:t>
      </w:r>
      <w:r>
        <w:rPr>
          <w:sz w:val="20"/>
          <w:szCs w:val="20"/>
          <w:color w:val="auto"/>
        </w:rPr>
        <w:tab/>
      </w:r>
      <w:r>
        <w:rPr>
          <w:rFonts w:ascii="Arial" w:cs="Arial" w:eastAsia="Arial" w:hAnsi="Arial"/>
          <w:sz w:val="14"/>
          <w:szCs w:val="14"/>
          <w:color w:val="auto"/>
        </w:rPr>
        <w:t>221.8</w:t>
      </w:r>
    </w:p>
    <w:p>
      <w:pPr>
        <w:spacing w:after="0" w:line="86" w:lineRule="exact"/>
        <w:rPr>
          <w:sz w:val="20"/>
          <w:szCs w:val="20"/>
          <w:color w:val="auto"/>
        </w:rPr>
      </w:pPr>
    </w:p>
    <w:p>
      <w:pPr>
        <w:jc w:val="right"/>
        <w:ind w:right="100"/>
        <w:spacing w:after="0"/>
        <w:tabs>
          <w:tab w:leader="none" w:pos="340" w:val="left"/>
        </w:tabs>
        <w:rPr>
          <w:sz w:val="20"/>
          <w:szCs w:val="20"/>
          <w:color w:val="auto"/>
        </w:rPr>
      </w:pPr>
      <w:r>
        <w:rPr>
          <w:rFonts w:ascii="Arial" w:cs="Arial" w:eastAsia="Arial" w:hAnsi="Arial"/>
          <w:sz w:val="16"/>
          <w:szCs w:val="16"/>
          <w:color w:val="auto"/>
        </w:rPr>
        <w:t>213.2</w:t>
      </w:r>
      <w:r>
        <w:rPr>
          <w:sz w:val="20"/>
          <w:szCs w:val="20"/>
          <w:color w:val="auto"/>
        </w:rPr>
        <w:tab/>
      </w:r>
      <w:r>
        <w:rPr>
          <w:rFonts w:ascii="Arial" w:cs="Arial" w:eastAsia="Arial" w:hAnsi="Arial"/>
          <w:sz w:val="14"/>
          <w:szCs w:val="14"/>
          <w:color w:val="auto"/>
        </w:rPr>
        <w:t>155.6</w:t>
      </w:r>
    </w:p>
    <w:p>
      <w:pPr>
        <w:spacing w:after="0" w:line="86" w:lineRule="exact"/>
        <w:rPr>
          <w:sz w:val="20"/>
          <w:szCs w:val="20"/>
          <w:color w:val="auto"/>
        </w:rPr>
      </w:pPr>
    </w:p>
    <w:p>
      <w:pPr>
        <w:jc w:val="right"/>
        <w:ind w:right="100"/>
        <w:spacing w:after="0"/>
        <w:tabs>
          <w:tab w:leader="none" w:pos="340" w:val="left"/>
        </w:tabs>
        <w:rPr>
          <w:sz w:val="20"/>
          <w:szCs w:val="20"/>
          <w:color w:val="auto"/>
        </w:rPr>
      </w:pPr>
      <w:r>
        <w:rPr>
          <w:rFonts w:ascii="Arial" w:cs="Arial" w:eastAsia="Arial" w:hAnsi="Arial"/>
          <w:sz w:val="16"/>
          <w:szCs w:val="16"/>
          <w:color w:val="auto"/>
        </w:rPr>
        <w:t>167.5</w:t>
      </w:r>
      <w:r>
        <w:rPr>
          <w:sz w:val="20"/>
          <w:szCs w:val="20"/>
          <w:color w:val="auto"/>
        </w:rPr>
        <w:tab/>
      </w:r>
      <w:r>
        <w:rPr>
          <w:rFonts w:ascii="Arial" w:cs="Arial" w:eastAsia="Arial" w:hAnsi="Arial"/>
          <w:sz w:val="14"/>
          <w:szCs w:val="14"/>
          <w:color w:val="auto"/>
        </w:rPr>
        <w:t>135.4</w:t>
      </w:r>
    </w:p>
    <w:p>
      <w:pPr>
        <w:spacing w:after="0" w:line="86" w:lineRule="exact"/>
        <w:rPr>
          <w:sz w:val="20"/>
          <w:szCs w:val="20"/>
          <w:color w:val="auto"/>
        </w:rPr>
      </w:pPr>
    </w:p>
    <w:p>
      <w:pPr>
        <w:jc w:val="right"/>
        <w:ind w:right="100"/>
        <w:spacing w:after="0"/>
        <w:tabs>
          <w:tab w:leader="none" w:pos="260" w:val="left"/>
        </w:tabs>
        <w:rPr>
          <w:sz w:val="20"/>
          <w:szCs w:val="20"/>
          <w:color w:val="auto"/>
        </w:rPr>
      </w:pPr>
      <w:r>
        <w:rPr>
          <w:rFonts w:ascii="Arial" w:cs="Arial" w:eastAsia="Arial" w:hAnsi="Arial"/>
          <w:sz w:val="16"/>
          <w:szCs w:val="16"/>
          <w:color w:val="auto"/>
        </w:rPr>
        <w:t>45.5</w:t>
      </w:r>
      <w:r>
        <w:rPr>
          <w:sz w:val="20"/>
          <w:szCs w:val="20"/>
          <w:color w:val="auto"/>
        </w:rPr>
        <w:tab/>
      </w:r>
      <w:r>
        <w:rPr>
          <w:rFonts w:ascii="Arial" w:cs="Arial" w:eastAsia="Arial" w:hAnsi="Arial"/>
          <w:sz w:val="14"/>
          <w:szCs w:val="14"/>
          <w:color w:val="auto"/>
        </w:rPr>
        <w:t>41.8</w:t>
      </w:r>
    </w:p>
    <w:p>
      <w:pPr>
        <w:spacing w:after="0" w:line="86" w:lineRule="exact"/>
        <w:rPr>
          <w:sz w:val="20"/>
          <w:szCs w:val="20"/>
          <w:color w:val="auto"/>
        </w:rPr>
      </w:pPr>
    </w:p>
    <w:p>
      <w:pPr>
        <w:jc w:val="right"/>
        <w:ind w:right="100"/>
        <w:spacing w:after="0"/>
        <w:tabs>
          <w:tab w:leader="none" w:pos="18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4"/>
          <w:szCs w:val="14"/>
          <w:color w:val="auto"/>
        </w:rPr>
        <w:t>5.3</w:t>
      </w:r>
    </w:p>
    <w:p>
      <w:pPr>
        <w:spacing w:after="0" w:line="86" w:lineRule="exact"/>
        <w:rPr>
          <w:sz w:val="20"/>
          <w:szCs w:val="20"/>
          <w:color w:val="auto"/>
        </w:rPr>
      </w:pPr>
    </w:p>
    <w:p>
      <w:pPr>
        <w:spacing w:after="0"/>
        <w:tabs>
          <w:tab w:leader="none" w:pos="860" w:val="left"/>
          <w:tab w:leader="none" w:pos="1460" w:val="left"/>
          <w:tab w:leader="none" w:pos="2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735.5</w:t>
        <w:tab/>
        <w:t>$</w:t>
      </w:r>
      <w:r>
        <w:rPr>
          <w:sz w:val="20"/>
          <w:szCs w:val="20"/>
          <w:color w:val="auto"/>
        </w:rPr>
        <w:tab/>
      </w:r>
      <w:r>
        <w:rPr>
          <w:rFonts w:ascii="Arial" w:cs="Arial" w:eastAsia="Arial" w:hAnsi="Arial"/>
          <w:sz w:val="14"/>
          <w:szCs w:val="14"/>
          <w:color w:val="auto"/>
        </w:rPr>
        <w:t>559.9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52070</wp:posOffset>
            </wp:positionV>
            <wp:extent cx="1800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800"/>
          </w:cols>
          <w:pgMar w:left="240" w:top="584" w:right="25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geographic area: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7"/>
        </w:trPr>
        <w:tc>
          <w:tcPr>
            <w:tcW w:w="8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33"/>
        </w:trPr>
        <w:tc>
          <w:tcPr>
            <w:tcW w:w="85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297.2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220.9</w:t>
            </w:r>
          </w:p>
        </w:tc>
      </w:tr>
      <w:tr>
        <w:trPr>
          <w:trHeight w:val="33"/>
        </w:trPr>
        <w:tc>
          <w:tcPr>
            <w:tcW w:w="8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735.5</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559.9</w:t>
            </w:r>
          </w:p>
        </w:tc>
      </w:tr>
      <w:tr>
        <w:trPr>
          <w:trHeight w:val="73"/>
        </w:trPr>
        <w:tc>
          <w:tcPr>
            <w:tcW w:w="858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278"/>
        </w:trPr>
        <w:tc>
          <w:tcPr>
            <w:tcW w:w="8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398.3</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Direct</w:t>
            </w:r>
          </w:p>
        </w:tc>
        <w:tc>
          <w:tcPr>
            <w:tcW w:w="5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161.6</w:t>
            </w:r>
          </w:p>
        </w:tc>
      </w:tr>
      <w:tr>
        <w:trPr>
          <w:trHeight w:val="33"/>
        </w:trPr>
        <w:tc>
          <w:tcPr>
            <w:tcW w:w="85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187" w:lineRule="exact"/>
        <w:rPr>
          <w:sz w:val="20"/>
          <w:szCs w:val="20"/>
          <w:color w:val="auto"/>
        </w:rPr>
      </w:pPr>
    </w:p>
    <w:p>
      <w:pPr>
        <w:jc w:val="both"/>
        <w:ind w:right="380" w:firstLine="405"/>
        <w:spacing w:after="0" w:line="286" w:lineRule="auto"/>
        <w:rPr>
          <w:sz w:val="20"/>
          <w:szCs w:val="20"/>
          <w:color w:val="auto"/>
        </w:rPr>
      </w:pPr>
      <w:r>
        <w:rPr>
          <w:rFonts w:ascii="Arial" w:cs="Arial" w:eastAsia="Arial" w:hAnsi="Arial"/>
          <w:sz w:val="17"/>
          <w:szCs w:val="17"/>
          <w:color w:val="auto"/>
        </w:rPr>
        <w:t>As of April 30, 2019, Autodesk had total billed and unbilled deferred revenue of $2.74 billion, which represents the total contract price allocated to undelivered performance obligations, which are generally recognized over the next three years. We expect to recognize $2 billion or 73% of this revenue during the next 12 months. We expect to recognize the remaining $744.5 million or 27% of this revenue thereafter.</w:t>
      </w:r>
    </w:p>
    <w:p>
      <w:pPr>
        <w:spacing w:after="0" w:line="16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ectPr>
          <w:pgSz w:w="11900" w:h="16838" w:orient="portrait"/>
          <w:cols w:equalWidth="0" w:num="1">
            <w:col w:w="11400"/>
          </w:cols>
          <w:pgMar w:left="240" w:top="584" w:right="259" w:bottom="1440" w:gutter="0" w:footer="0" w:header="0"/>
          <w:type w:val="continuous"/>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584" w:right="259" w:bottom="1440" w:gutter="0" w:footer="0" w:header="0"/>
          <w:type w:val="continuous"/>
        </w:sectPr>
      </w:pPr>
    </w:p>
    <w:bookmarkStart w:id="11" w:name="page12"/>
    <w:bookmarkEnd w:id="11"/>
    <w:p>
      <w:pPr>
        <w:ind w:left="22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April 30, 2019. Deferred revenue relates to payments received in advance of performance under the contract. The primary changes in our contract assets and deferred revenues are due to our performance under the contracts and billings.</w:t>
      </w:r>
    </w:p>
    <w:p>
      <w:pPr>
        <w:spacing w:after="0" w:line="147"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Revenue recognized during the three months ended April 30, 2019, that was included in the deferred revenue balances at January 31, 2019, was $643.4 million. The satisfaction of performance obligations typically lags behind payments received under revenue contracts from customers, which may lead to an increase in our deferred revenue balance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 as well as our Term Loan Agreement. See Note 12, "Borrowing Arrangements," in the Notes to Condensed Consolidated Financial Statements for further discussion.</w:t>
      </w:r>
    </w:p>
    <w:p>
      <w:pPr>
        <w:spacing w:after="0" w:line="18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Total sales to the Company's largest distributor Tech Data Corporation and its global affiliates (“Tech Data”) accounted for 35% of Autodesk’s total net revenue for the three months ended April 30, 2019, and 34% for the three months ended April 30, 2018. The majority of the net revenue from sales to Tech Data is for sales made outside of the United States. In addition, Tech Data accounted for 31% and 29% of trade accounts receivable at April 30, 2019, and January 31, 2019, respectively. During both the three months ended April 30, 2019 and 2018, Ingram Micro Inc. ("Ingram Micro") accounted for 10% of Autodesk's total net revenue.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0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2019, and January 31, 2019:</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April 30, 2019</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40" w:type="dxa"/>
            <w:vAlign w:val="bottom"/>
          </w:tcPr>
          <w:p>
            <w:pPr>
              <w:jc w:val="center"/>
              <w:ind w:right="41"/>
              <w:spacing w:after="0" w:line="15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Other (2)</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Common stock</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80" w:type="dxa"/>
            <w:vAlign w:val="bottom"/>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464.1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380.2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January 31, 2019</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Long-term</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960" w:type="dxa"/>
            <w:vAlign w:val="bottom"/>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449.2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345.2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corporate bonds, commercial paper, and common stock.</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Considered "available for sale" and 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16" w:lineRule="exact"/>
        <w:rPr>
          <w:rFonts w:ascii="Arial" w:cs="Arial" w:eastAsia="Arial" w:hAnsi="Arial"/>
          <w:sz w:val="15"/>
          <w:szCs w:val="15"/>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Generally,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The Company has elected to use the income approach to value derivatives using the observable Level 2 market expectations at measurement date and standard valuation techniques to convert future amounts to a single present amount (discounted). Mid-market pricing is used as a practical expedient and when required, rates are interpolated from commonly quoted intervals published by market sources.</w:t>
      </w:r>
    </w:p>
    <w:p>
      <w:pPr>
        <w:spacing w:after="0" w:line="19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Key inputs for currency derivatives are spot rates, forward rates, interest rates, volatility, and credit default rates. The spot rate for each currency is the same spot rate used for all balance sheet translations at the measurement date. Autodesk reviews for any potential changes on a quarterly basis, in conjunction with our fiscal quarter-end close. It is Autodesk's assessment that the leveling best reflects current market activity when observing the pricing information for these assets.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22" w:right="239" w:bottom="1440" w:gutter="0" w:footer="0" w:header="0"/>
        </w:sectPr>
      </w:pPr>
    </w:p>
    <w:bookmarkStart w:id="14" w:name="page15"/>
    <w:bookmarkEnd w:id="14"/>
    <w:p>
      <w:pPr>
        <w:ind w:right="80" w:firstLine="405"/>
        <w:spacing w:after="0" w:line="257"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securities on pricing from pricing vendors, who may use quoted prices in active markets for identical assets (Level 1) or inputs other than quoted prices that are observable either directly or indirectly in determining fair value (Level 2). Autodesk's Level 2 securities and derivatives are valued primarily using observable inputs other than quoted prices in active markets for identical assets and liabilities. Autodesk's Level 3 securities consist of investments held in convertible debt securities and derivative contracts.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2019, was as follows:</w:t>
      </w:r>
    </w:p>
    <w:p>
      <w:pPr>
        <w:spacing w:after="0" w:line="37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2019</w:t>
            </w:r>
          </w:p>
        </w:tc>
        <w:tc>
          <w:tcPr>
            <w:tcW w:w="68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Impairments</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Loss included in earnings (1)</w:t>
            </w:r>
          </w:p>
        </w:tc>
        <w:tc>
          <w:tcPr>
            <w:tcW w:w="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included in OCI</w:t>
            </w:r>
          </w:p>
        </w:tc>
        <w:tc>
          <w:tcPr>
            <w:tcW w:w="6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color w:val="auto"/>
              </w:rPr>
              <w:t>Balances, April 30, 2019</w:t>
            </w:r>
          </w:p>
        </w:tc>
        <w:tc>
          <w:tcPr>
            <w:tcW w:w="68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 Included in "Interest and other expense, net" in the accompanying Condensed Consolidated Statements of Operations.</w:t>
      </w:r>
    </w:p>
    <w:p>
      <w:pPr>
        <w:spacing w:after="0" w:line="207"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estimated fair value of Autodesk's "available-for-sale securities" classified by the contractual maturity date of the security: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5"/>
              </w:rPr>
              <w:t>April 30, 2019</w:t>
            </w:r>
          </w:p>
        </w:tc>
        <w:tc>
          <w:tcPr>
            <w:tcW w:w="10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Cost</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5"/>
              </w:rPr>
              <w:t>Fair Value</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24.1</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Total</w:t>
            </w: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24.1</w:t>
            </w: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April 30, 2019, and January 31, 2019, Autodesk had no material unrealized losses, individually and in the aggregate, for securities that are in a continuous unrealized loss position for greater than twelve months.</w:t>
      </w:r>
    </w:p>
    <w:p>
      <w:pPr>
        <w:spacing w:after="0" w:line="170"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There was no gain or loss for the sales or redemptions of securities during the three months ended April 30, 2019, and April 30, 2018. Gains and losses resulting from the sale or redemption of securities are recorded in “Interest and other expense, net” on the Company's Condensed Consolidated Statements of Operations.</w:t>
      </w:r>
    </w:p>
    <w:p>
      <w:pPr>
        <w:spacing w:after="0" w:line="18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three months ended April 30, 2019 and 2018, were $4.6 million and $74.8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As of April 30, 2019, and January 31, 2019, Autodesk had $109.8 million and $111.6 million in direct investments in privately held companies. These non-marketable equity security investments do not have readily determined fair values and Autodesk uses the measurement alternative to account for the adjustment to these investments in a given quarter.</w:t>
      </w:r>
    </w:p>
    <w:p>
      <w:pPr>
        <w:spacing w:after="0" w:line="18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Under the measurement alternative method, these investments are measured at cost, less any impairments, plus or minus changes resulting from observable price changes in orderly transactions for the identical or similar investment of the same issuer in the current period.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 During the three months ended April 30, 2019, and April 30, 2018, respectively, Autodesk recorded $0.5 million and $4.6 million as an upward adjustment on certain of its privately held investments, reflected as a gain in "Interest and other expense, net" on the Company's Condensed Consolidated Statement of Operations.</w:t>
      </w:r>
    </w:p>
    <w:p>
      <w:pPr>
        <w:sectPr>
          <w:pgSz w:w="11900" w:h="16838" w:orient="portrait"/>
          <w:cols w:equalWidth="0" w:num="1">
            <w:col w:w="11420"/>
          </w:cols>
          <w:pgMar w:left="240" w:top="584"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4" w:right="239" w:bottom="1440" w:gutter="0" w:footer="0" w:header="0"/>
          <w:type w:val="continuous"/>
        </w:sectPr>
      </w:pPr>
    </w:p>
    <w:bookmarkStart w:id="15" w:name="page16"/>
    <w:bookmarkEnd w:id="15"/>
    <w:p>
      <w:pPr>
        <w:ind w:right="260" w:firstLine="405"/>
        <w:spacing w:after="0" w:line="286" w:lineRule="auto"/>
        <w:rPr>
          <w:sz w:val="20"/>
          <w:szCs w:val="20"/>
          <w:color w:val="auto"/>
        </w:rPr>
      </w:pPr>
      <w:r>
        <w:rPr>
          <w:rFonts w:ascii="Arial" w:cs="Arial" w:eastAsia="Arial" w:hAnsi="Arial"/>
          <w:sz w:val="16"/>
          <w:szCs w:val="16"/>
          <w:color w:val="auto"/>
        </w:rPr>
        <w:t>Non-marketable equity securities investments are periodically assessed for impairment based on available information such as current cash positions, earnings and cash flow positions, earnings and cash flow forecasts, recent operational performance and any other readily available market data. Autodesk does not intend to sell these investments and it is not more likely than not that Autodesk will be required to sell the investment before recovery of the cost basis. If Autodesk determines that an impairment has occurred, Autodesk writes down the investment to its fair value. During the three months ended</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April 30, 2019, Autodesk recorded $3.2 million in impairments on its privately held investments, reflected as a loss in "Interest and other expense, net" on the Company's Condensed Consolidated Statements of Operations. Autodesk does not consider the remaining investments to be impaired at April 30, 2019. During the three months ended April 30, 2018, Autodesk recorded $2.0 million in impairments on its privately held investments.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euros, Japanese yen, Swiss francs, British pounds, Canadian dollars, Australian dollars, Singapore dollars, Swedish krona and Czech krona. These instruments have maturities between one and twelve months in the future. Autodesk does not enter into derivative instrument transactions for trading or speculative purposes.</w:t>
      </w:r>
    </w:p>
    <w:p>
      <w:pPr>
        <w:spacing w:after="0" w:line="188"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qualitatively thereafter considering transaction timing and probability and counterparty credit quality. To receive cash flow hedge accounting treatment, all hedging relationships are formally documented at the inception of the hedge relationship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and discloses the gain or loss on the related cash flow hedge from “Accumulated other comprehensive loss” to “Interest and other expense, net” in the Company's Condensed Consolidated Financial Statements at that time.</w:t>
      </w:r>
    </w:p>
    <w:p>
      <w:pPr>
        <w:spacing w:after="0" w:line="182"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The notional amounts of these contracts are presented net settled and were $938.6 million at April 30, 2019, and $803.5 million at January 31, 2019. Outstanding contracts are recognized as either assets or liabilities on the balance sheet at fair value. The majority of the net gain of $18.3 million remaining in “Accumulated other comprehensive loss” as of April 30, 2019, is expected to be recognized into earnings within the next twenty-four months.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6" w:name="page17"/>
    <w:bookmarkEnd w:id="16"/>
    <w:p>
      <w:pPr>
        <w:ind w:right="180" w:firstLine="405"/>
        <w:spacing w:after="0" w:line="264" w:lineRule="auto"/>
        <w:rPr>
          <w:sz w:val="20"/>
          <w:szCs w:val="20"/>
          <w:color w:val="auto"/>
        </w:rPr>
      </w:pPr>
      <w:r>
        <w:rPr>
          <w:rFonts w:ascii="Arial" w:cs="Arial" w:eastAsia="Arial" w:hAnsi="Arial"/>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months ended April 30, 2019.</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 April 30, 2019</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Net Revenue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0"/>
              </w:rPr>
              <w:t>Cost of revenue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Operating expenses</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Subscription</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Maintenance</w:t>
            </w:r>
          </w:p>
        </w:tc>
        <w:tc>
          <w:tcPr>
            <w:tcW w:w="14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Cost of subscription</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Marketing and</w:t>
            </w:r>
          </w:p>
        </w:tc>
        <w:tc>
          <w:tcPr>
            <w:tcW w:w="120" w:type="dxa"/>
            <w:vAlign w:val="bottom"/>
          </w:tcPr>
          <w:p>
            <w:pPr>
              <w:spacing w:after="0"/>
              <w:rPr>
                <w:sz w:val="13"/>
                <w:szCs w:val="13"/>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Research and</w:t>
            </w:r>
          </w:p>
        </w:tc>
        <w:tc>
          <w:tcPr>
            <w:tcW w:w="180" w:type="dxa"/>
            <w:vAlign w:val="bottom"/>
          </w:tcPr>
          <w:p>
            <w:pPr>
              <w:spacing w:after="0"/>
              <w:rPr>
                <w:sz w:val="13"/>
                <w:szCs w:val="13"/>
                <w:color w:val="auto"/>
              </w:rPr>
            </w:pPr>
          </w:p>
        </w:tc>
        <w:tc>
          <w:tcPr>
            <w:tcW w:w="118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General and</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maintenance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development</w:t>
            </w:r>
          </w:p>
        </w:tc>
        <w:tc>
          <w:tcPr>
            <w:tcW w:w="180" w:type="dxa"/>
            <w:vAlign w:val="bottom"/>
          </w:tcPr>
          <w:p>
            <w:pPr>
              <w:spacing w:after="0"/>
              <w:rPr>
                <w:sz w:val="16"/>
                <w:szCs w:val="16"/>
                <w:color w:val="auto"/>
              </w:rPr>
            </w:pPr>
          </w:p>
        </w:tc>
        <w:tc>
          <w:tcPr>
            <w:tcW w:w="1180" w:type="dxa"/>
            <w:vAlign w:val="bottom"/>
          </w:tcPr>
          <w:p>
            <w:pPr>
              <w:jc w:val="right"/>
              <w:ind w:right="143"/>
              <w:spacing w:after="0"/>
              <w:rPr>
                <w:sz w:val="20"/>
                <w:szCs w:val="20"/>
                <w:color w:val="auto"/>
              </w:rPr>
            </w:pPr>
            <w:r>
              <w:rPr>
                <w:rFonts w:ascii="Arial" w:cs="Arial" w:eastAsia="Arial" w:hAnsi="Arial"/>
                <w:sz w:val="14"/>
                <w:szCs w:val="14"/>
                <w:b w:val="1"/>
                <w:bCs w:val="1"/>
                <w:color w:val="auto"/>
                <w:w w:val="98"/>
              </w:rPr>
              <w:t>administrative</w:t>
            </w:r>
          </w:p>
        </w:tc>
        <w:tc>
          <w:tcPr>
            <w:tcW w:w="0" w:type="dxa"/>
            <w:vAlign w:val="bottom"/>
          </w:tcPr>
          <w:p>
            <w:pPr>
              <w:spacing w:after="0"/>
              <w:rPr>
                <w:sz w:val="1"/>
                <w:szCs w:val="1"/>
                <w:color w:val="auto"/>
              </w:rPr>
            </w:pPr>
          </w:p>
        </w:tc>
      </w:tr>
      <w:tr>
        <w:trPr>
          <w:trHeight w:val="206"/>
        </w:trPr>
        <w:tc>
          <w:tcPr>
            <w:tcW w:w="3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Total amounts of income and expense line</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items presented in the condensed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consolidated statements of operations in</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which the effects of cash flow hedges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595.8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313.3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97"/>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 of gain (loss) reclassified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8"/>
              </w:rPr>
              <w:t>comprehensive income into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3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fiscal quarter with gains and losses recognized in “Interest and other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 The notional amounts of these foreign currency contracts are presented net settled and were $336.3 million at April 30, 2019, and $579.8 million at January 31, 2019.</w:t>
      </w:r>
    </w:p>
    <w:p>
      <w:pPr>
        <w:spacing w:after="0" w:line="178"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expense, net.”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April 30, 2019, and January 31, 2019: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620" w:type="dxa"/>
            <w:vAlign w:val="bottom"/>
          </w:tcPr>
          <w:p>
            <w:pPr>
              <w:spacing w:after="0"/>
              <w:rPr>
                <w:sz w:val="22"/>
                <w:szCs w:val="22"/>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2019</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2019</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84"/>
        </w:trPr>
        <w:tc>
          <w:tcPr>
            <w:tcW w:w="5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8.5</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44"/>
        </w:trPr>
        <w:tc>
          <w:tcPr>
            <w:tcW w:w="56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ended April 30, 2019 and 2018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4"/>
                <w:szCs w:val="14"/>
                <w:b w:val="1"/>
                <w:bCs w:val="1"/>
                <w:color w:val="auto"/>
              </w:rPr>
              <w:t>Foreign Currency Contracts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tcPr>
          <w:p>
            <w:pPr>
              <w:spacing w:after="0"/>
              <w:rPr>
                <w:sz w:val="22"/>
                <w:szCs w:val="22"/>
                <w:color w:val="auto"/>
              </w:rPr>
            </w:pPr>
          </w:p>
        </w:tc>
        <w:tc>
          <w:tcPr>
            <w:tcW w:w="40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91"/>
                <w:shd w:val="clear" w:color="auto" w:fill="CCEEFF"/>
              </w:rPr>
              <w:t xml:space="preserve">Amount </w:t>
            </w:r>
            <w:r>
              <w:rPr>
                <w:rFonts w:ascii="Arial" w:cs="Arial" w:eastAsia="Arial" w:hAnsi="Arial"/>
                <w:sz w:val="16"/>
                <w:szCs w:val="16"/>
                <w:i w:val="1"/>
                <w:iCs w:val="1"/>
                <w:color w:val="auto"/>
                <w:w w:val="91"/>
              </w:rPr>
              <w:t>of gain recognized in accumulated other comprehensive loss</w:t>
            </w: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i w:val="1"/>
                <w:iCs w:val="1"/>
                <w:color w:val="auto"/>
                <w:shd w:val="clear" w:color="auto" w:fill="CCEEFF"/>
              </w:rPr>
              <w:t>on derivatives (effective portion)</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i w:val="1"/>
                <w:iCs w:val="1"/>
                <w:color w:val="auto"/>
                <w:w w:val="94"/>
              </w:rPr>
              <w:t>Amount and location of gain (loss) reclassified from accumulated other comprehensive loss into (loss) income (effective portion)</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5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Cost of revenue</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Operating expenses</w:t>
            </w: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gridSpan w:val="2"/>
          </w:tcPr>
          <w:p>
            <w:pPr>
              <w:ind w:left="720"/>
              <w:spacing w:after="0"/>
              <w:rPr>
                <w:sz w:val="20"/>
                <w:szCs w:val="20"/>
                <w:color w:val="auto"/>
              </w:rPr>
            </w:pPr>
            <w:r>
              <w:rPr>
                <w:rFonts w:ascii="Arial" w:cs="Arial" w:eastAsia="Arial" w:hAnsi="Arial"/>
                <w:sz w:val="16"/>
                <w:szCs w:val="16"/>
                <w:color w:val="auto"/>
              </w:rPr>
              <w:t>Total</w:t>
            </w:r>
          </w:p>
        </w:tc>
        <w:tc>
          <w:tcPr>
            <w:tcW w:w="92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0"/>
        </w:trPr>
        <w:tc>
          <w:tcPr>
            <w:tcW w:w="8580" w:type="dxa"/>
            <w:vAlign w:val="bottom"/>
            <w:gridSpan w:val="2"/>
            <w:shd w:val="clear" w:color="auto" w:fill="CCEEFF"/>
          </w:tcPr>
          <w:p>
            <w:pPr>
              <w:ind w:left="40"/>
              <w:spacing w:after="0" w:line="180" w:lineRule="exact"/>
              <w:rPr>
                <w:sz w:val="20"/>
                <w:szCs w:val="20"/>
                <w:color w:val="auto"/>
              </w:rPr>
            </w:pPr>
            <w:r>
              <w:rPr>
                <w:rFonts w:ascii="Arial" w:cs="Arial" w:eastAsia="Arial" w:hAnsi="Arial"/>
                <w:sz w:val="16"/>
                <w:szCs w:val="16"/>
                <w:i w:val="1"/>
                <w:iCs w:val="1"/>
                <w:color w:val="auto"/>
                <w:w w:val="97"/>
              </w:rPr>
              <w:t>Amount and location of gain (loss) recognized in (loss) income on derivatives (ineffective portion and amount excluded from</w:t>
            </w: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i w:val="1"/>
                <w:iCs w:val="1"/>
                <w:color w:val="auto"/>
              </w:rPr>
              <w:t>effectiveness testing)</w:t>
            </w:r>
          </w:p>
        </w:tc>
        <w:tc>
          <w:tcPr>
            <w:tcW w:w="9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Interest and other expense, net</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months ended April 30, 2019 and 2018 (amounts presented include any income tax effects):</w:t>
      </w:r>
    </w:p>
    <w:p>
      <w:pPr>
        <w:spacing w:after="0" w:line="32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0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3773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Amount and location of gain recognized on derivatives in net (loss)</w:t>
      </w:r>
    </w:p>
    <w:p>
      <w:pPr>
        <w:spacing w:after="0" w:line="86" w:lineRule="exact"/>
        <w:rPr>
          <w:sz w:val="20"/>
          <w:szCs w:val="20"/>
          <w:color w:val="auto"/>
        </w:rPr>
      </w:pPr>
    </w:p>
    <w:p>
      <w:pPr>
        <w:ind w:left="380"/>
        <w:spacing w:after="0"/>
        <w:tabs>
          <w:tab w:leader="none" w:pos="8580" w:val="left"/>
          <w:tab w:leader="none" w:pos="9620" w:val="left"/>
          <w:tab w:leader="none" w:pos="10060" w:val="left"/>
          <w:tab w:leader="none" w:pos="11080" w:val="left"/>
        </w:tabs>
        <w:rPr>
          <w:sz w:val="20"/>
          <w:szCs w:val="20"/>
          <w:color w:val="auto"/>
        </w:rPr>
      </w:pPr>
      <w:r>
        <w:rPr>
          <w:rFonts w:ascii="Arial" w:cs="Arial" w:eastAsia="Arial" w:hAnsi="Arial"/>
          <w:sz w:val="16"/>
          <w:szCs w:val="16"/>
          <w:color w:val="auto"/>
        </w:rPr>
        <w:t>Interest and other expense, net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4.1</w:t>
        <w:tab/>
        <w:t>$</w:t>
      </w:r>
      <w:r>
        <w:rPr>
          <w:sz w:val="20"/>
          <w:szCs w:val="20"/>
          <w:color w:val="auto"/>
        </w:rPr>
        <w:tab/>
      </w:r>
      <w:r>
        <w:rPr>
          <w:rFonts w:ascii="Arial" w:cs="Arial" w:eastAsia="Arial" w:hAnsi="Arial"/>
          <w:sz w:val="14"/>
          <w:szCs w:val="14"/>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left="220" w:right="8560" w:hanging="212"/>
        <w:spacing w:after="0" w:line="501" w:lineRule="auto"/>
        <w:tabs>
          <w:tab w:leader="none" w:pos="184"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Stock Options:</w:t>
      </w:r>
    </w:p>
    <w:p>
      <w:pPr>
        <w:ind w:left="440"/>
        <w:spacing w:after="0"/>
        <w:rPr>
          <w:sz w:val="20"/>
          <w:szCs w:val="20"/>
          <w:color w:val="auto"/>
        </w:rPr>
      </w:pPr>
      <w:r>
        <w:rPr>
          <w:rFonts w:ascii="Arial" w:cs="Arial" w:eastAsia="Arial" w:hAnsi="Arial"/>
          <w:sz w:val="18"/>
          <w:szCs w:val="18"/>
          <w:color w:val="auto"/>
        </w:rPr>
        <w:t>A summary of stock option activity for the three months ended April 30, 2019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80" w:type="dxa"/>
            <w:vAlign w:val="bottom"/>
          </w:tcPr>
          <w:p>
            <w:pPr>
              <w:spacing w:after="0"/>
              <w:rPr>
                <w:sz w:val="12"/>
                <w:szCs w:val="12"/>
                <w:color w:val="auto"/>
              </w:rPr>
            </w:pPr>
          </w:p>
        </w:tc>
        <w:tc>
          <w:tcPr>
            <w:tcW w:w="1060" w:type="dxa"/>
            <w:vAlign w:val="bottom"/>
          </w:tcPr>
          <w:p>
            <w:pPr>
              <w:jc w:val="right"/>
              <w:ind w:right="283"/>
              <w:spacing w:after="0" w:line="149" w:lineRule="exact"/>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2019</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24.72</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April 30, 2019</w:t>
            </w: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0.7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23.92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April 30, 2019</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2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34.91</w:t>
            </w: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for grant at April 30, 2019</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$178.21 per share as of April 30, 2019.</w:t>
      </w:r>
    </w:p>
    <w:p>
      <w:pPr>
        <w:spacing w:after="0" w:line="207"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As of April 30, 2019, compensation cost of $58.5 million related to non-vested stock options is expected to be recognized over a weighted average period of 2.6 years.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three months ended April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64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4"/>
                <w:szCs w:val="14"/>
                <w:b w:val="1"/>
                <w:bCs w:val="1"/>
                <w:color w:val="auto"/>
              </w:rPr>
              <w:t>Three months ended April 30,</w:t>
            </w:r>
          </w:p>
        </w:tc>
        <w:tc>
          <w:tcPr>
            <w:tcW w:w="44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2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for the three months ended April 30, 2019,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Unvested restricted stock units at January 31, 2019</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4,287.4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120.07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904.8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157.69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117.08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500" w:type="dxa"/>
            <w:vAlign w:val="bottom"/>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123.87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Performance Adjustment (1)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156.69</w:t>
            </w:r>
          </w:p>
        </w:tc>
        <w:tc>
          <w:tcPr>
            <w:tcW w:w="0" w:type="dxa"/>
            <w:vAlign w:val="bottom"/>
          </w:tcPr>
          <w:p>
            <w:pPr>
              <w:spacing w:after="0"/>
              <w:rPr>
                <w:sz w:val="1"/>
                <w:szCs w:val="1"/>
                <w:color w:val="auto"/>
              </w:rPr>
            </w:pP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Unvested restricted stock units at April 30, 2019</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4,681.9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127.70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40" w:hanging="412"/>
        <w:spacing w:after="0" w:line="263"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2019 performance period. The performance stock units were attained at rates ranging from 105.2% to 122.5%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three months ended April 30, 2019 and 2018, was $50.3 million and $96.2 million, respectively.</w:t>
      </w:r>
    </w:p>
    <w:p>
      <w:pPr>
        <w:spacing w:after="0" w:line="237"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During the three months ended April 30, 2019, Autodesk granted 0.7 million restricted stock units. Autodesk recorded stock-based compensation expense related to restricted stock units of $54.4 million and $41.7 million during the three months ended April 30, 2019 and 2018,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ind w:right="100" w:firstLine="405"/>
        <w:spacing w:after="0" w:line="297" w:lineRule="auto"/>
        <w:rPr>
          <w:sz w:val="20"/>
          <w:szCs w:val="20"/>
          <w:color w:val="auto"/>
        </w:rPr>
      </w:pPr>
      <w:r>
        <w:rPr>
          <w:rFonts w:ascii="Arial" w:cs="Arial" w:eastAsia="Arial" w:hAnsi="Arial"/>
          <w:sz w:val="16"/>
          <w:szCs w:val="16"/>
          <w:color w:val="auto"/>
        </w:rPr>
        <w:t>During the three months ended April 30, 2019, Autodesk granted 0.3 million performance stock units for which the ultimate number of shares earned is determined based on the achievement of performance criteria at the end of the stated service and performance period. The performance criteria for the performance stock units are based on Annualized Recurring Revenue ("ARR") and free cash flow goals adopted by the Compensation and Human Resource Committee, as well as total stockholder return compared against companies in the S&amp;P North American Technology Software Index with a market capitalization over $2.0 billion (“Relative TSR”). These performance stock units vest over a three-year period and have the following vesting schedule:</w:t>
      </w:r>
    </w:p>
    <w:p>
      <w:pPr>
        <w:spacing w:after="0" w:line="158" w:lineRule="exact"/>
        <w:rPr>
          <w:sz w:val="20"/>
          <w:szCs w:val="20"/>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2020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8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 Autodesk has determined the grant date fair value for these awards using the stock price on the date of grant or if the awards are also subject to a market condition, a Monte Carlo simulation model. The fair value of the performance stock units is expensed using the accelerated attribution over the vesting period. Autodesk recorded stock-based compensation expense related to performance stock units of $6.5 million for both the three months ended April 30, 2019 and 2018.</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three months ended April 30, 2019 and 2018,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shares (in millions)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Average price of issued shares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99.46</w:t>
            </w:r>
          </w:p>
        </w:tc>
        <w:tc>
          <w:tcPr>
            <w:tcW w:w="120" w:type="dxa"/>
            <w:vAlign w:val="bottom"/>
          </w:tcPr>
          <w:p>
            <w:pPr>
              <w:spacing w:after="0"/>
              <w:rPr>
                <w:sz w:val="20"/>
                <w:szCs w:val="20"/>
                <w:color w:val="auto"/>
              </w:rPr>
            </w:pP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88.45</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of awards granted under the ESPP (1)</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52.41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37.64</w:t>
            </w:r>
          </w:p>
        </w:tc>
      </w:tr>
      <w:tr>
        <w:trPr>
          <w:trHeight w:val="220"/>
        </w:trPr>
        <w:tc>
          <w:tcPr>
            <w:tcW w:w="834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as of the award grant date using the Black-Scholes Merton (“BSM") option pricing model.</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stock-based compensation expense for the three months ended April 30, 2019 and 2018, respectively,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 and maintenance revenue</w:t>
            </w:r>
          </w:p>
        </w:tc>
        <w:tc>
          <w:tcPr>
            <w:tcW w:w="1000" w:type="dxa"/>
            <w:vAlign w:val="bottom"/>
            <w:tcBorders>
              <w:bottom w:val="single" w:sz="8" w:color="CCEEFF"/>
            </w:tcBorders>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Cost of other revenue</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w:t>
            </w: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54.4</w:t>
            </w:r>
          </w:p>
        </w:tc>
      </w:tr>
      <w:tr>
        <w:trPr>
          <w:trHeight w:val="33"/>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 purchases, net of tax</w:t>
            </w:r>
          </w:p>
        </w:tc>
        <w:tc>
          <w:tcPr>
            <w:tcW w:w="1000" w:type="dxa"/>
            <w:vAlign w:val="bottom"/>
            <w:tcBorders>
              <w:top w:val="single" w:sz="8" w:color="auto"/>
            </w:tcBorders>
          </w:tcPr>
          <w:p>
            <w:pPr>
              <w:jc w:val="right"/>
              <w:ind w:right="82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54.0</w:t>
            </w:r>
          </w:p>
        </w:tc>
      </w:tr>
      <w:tr>
        <w:trPr>
          <w:trHeight w:val="33"/>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 April 30, 2019</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Three months ended April 30, 2018</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7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ESPP</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Performance Stock Unit</w:t>
            </w: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7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36.6 - 39.7%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33.5 - 37.5%</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.5 - 2.0</w:t>
            </w: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2.4 - 2.5%</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1.9 - 2.3%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North American Technology Software Index with a market capitalization over $2.0 billion, depending on the award type.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our stock-based awards as those forfeitures occur.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7. Income Tax</w:t>
      </w:r>
    </w:p>
    <w:p>
      <w:pPr>
        <w:spacing w:after="0" w:line="225" w:lineRule="exact"/>
        <w:rPr>
          <w:sz w:val="20"/>
          <w:szCs w:val="20"/>
          <w:color w:val="auto"/>
        </w:rPr>
      </w:pPr>
    </w:p>
    <w:p>
      <w:pPr>
        <w:jc w:val="both"/>
        <w:ind w:right="220" w:firstLine="467"/>
        <w:spacing w:after="0" w:line="312" w:lineRule="auto"/>
        <w:rPr>
          <w:sz w:val="20"/>
          <w:szCs w:val="20"/>
          <w:color w:val="auto"/>
        </w:rPr>
      </w:pPr>
      <w:r>
        <w:rPr>
          <w:rFonts w:ascii="Arial" w:cs="Arial" w:eastAsia="Arial" w:hAnsi="Arial"/>
          <w:sz w:val="16"/>
          <w:szCs w:val="16"/>
          <w:color w:val="auto"/>
        </w:rPr>
        <w:t>Autodesk had income tax expense of $32.8 million, relative to pre-tax income of $8.6 million for the three months ended April 30, 2019, and income tax expense of $18.6 million, relative to pre-tax losses of $63.8 million for the three months ended April 30, 2018. Income tax expense for the three months ended April 30, 2019, increased primarily due to increased foreign income taxes as result of the increased foreign earnings and withholding taxes.</w:t>
      </w:r>
    </w:p>
    <w:p>
      <w:pPr>
        <w:spacing w:after="0" w:line="16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as a significant source of negative evidence and maintained a valuation allowance against our deferred tax attributes in the U.S. and certain foreign jurisdictions as of April 30, 2019.</w:t>
      </w:r>
    </w:p>
    <w:p>
      <w:pPr>
        <w:spacing w:after="0" w:line="188"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As of April 30, 2019, the Company had $211.4 million of gross unrecognized tax benefits, of which $194.6 million would reduce our valuation allowance, if recognized. The remaining $16.9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2019</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2019</w:t>
            </w:r>
          </w:p>
        </w:tc>
      </w:tr>
      <w:tr>
        <w:trPr>
          <w:trHeight w:val="223"/>
        </w:trPr>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669.6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670.2</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532.1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533.1</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1,203.3</w:t>
            </w:r>
          </w:p>
        </w:tc>
      </w:tr>
      <w:tr>
        <w:trPr>
          <w:trHeight w:val="270"/>
        </w:trPr>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(922.5)</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261.8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280.8</w:t>
            </w: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The following table summarizes the changes in the carrying amount of goodwill for the three months ended April 30,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2019</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2,600.0</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accumulated impairment losses as of January 31, 2019</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balance as of January 31, 2019</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2,450.8</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Effect of foreign currency translation, measurement period adjustments, and other (1)</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April 30, 2019</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2,446.2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right="180" w:firstLine="8"/>
        <w:spacing w:after="0" w:line="263" w:lineRule="auto"/>
        <w:tabs>
          <w:tab w:leader="none" w:pos="392"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Purchase accounting adjustments reflect revisions made to the Company's preliminary determination of estimated fair value of assets and liabilities assumed during the three months ended April 30, 2019.</w:t>
      </w:r>
    </w:p>
    <w:p>
      <w:pPr>
        <w:spacing w:after="0" w:line="150"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type w:val="continuous"/>
        </w:sectPr>
      </w:pPr>
    </w:p>
    <w:bookmarkStart w:id="22" w:name="page23"/>
    <w:bookmarkEnd w:id="22"/>
    <w:p>
      <w:pPr>
        <w:ind w:right="2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3" w:lineRule="exact"/>
        <w:rPr>
          <w:sz w:val="20"/>
          <w:szCs w:val="20"/>
          <w:color w:val="auto"/>
        </w:rPr>
      </w:pPr>
    </w:p>
    <w:p>
      <w:pPr>
        <w:ind w:right="160" w:firstLine="405"/>
        <w:spacing w:after="0" w:line="312"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months ended April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Deferred Compensation</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At April 30, 2019, Autodesk had marketable securities totaling $88.9 million, of which $66.3 million related to investments in debt and equity securities that are held in a rabbi trust under non-qualified deferred compensation plans. Of the $66.3 million related to the deferred compensation liability at April 30, 2019, $5.1 million was classified as current and $61.2 million was classified as non-current liabilities. Of the $60.3 million related to the deferred compensation liability at January 31, 2019, $5.0 million was classified as current and $55.3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460" w:firstLine="405"/>
        <w:spacing w:after="0" w:line="290"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and "Other assets" on our Condensed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sales and marketing expenses in the Condensed Consolidated Statements of Operations.</w:t>
      </w:r>
    </w:p>
    <w:p>
      <w:pPr>
        <w:spacing w:after="0" w:line="16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ending balance of assets recognized from costs to obtain a contract with a customer was $85.5 million as of April 30, 2019, and $93.0 million as of January 31, 2019. Amortization expense related to assets recognized from costs to obtain a contract with a customer was $24.7 million and $26.2 million during the three months ended April 30, 2019 and 2018, respectively. Autodesk did not recognize any contract cost impairment losses during the three months ended April 30, 2019 and 2018.</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11.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2019</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2019</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66.7</w:t>
            </w: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67.2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(422.2)</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Borrowing Arrangements</w:t>
      </w:r>
    </w:p>
    <w:p>
      <w:pPr>
        <w:spacing w:after="0" w:line="225" w:lineRule="exact"/>
        <w:rPr>
          <w:sz w:val="20"/>
          <w:szCs w:val="20"/>
          <w:color w:val="auto"/>
        </w:rPr>
      </w:pPr>
    </w:p>
    <w:p>
      <w:pPr>
        <w:ind w:right="120" w:firstLine="405"/>
        <w:spacing w:after="0" w:line="286" w:lineRule="auto"/>
        <w:rPr>
          <w:sz w:val="20"/>
          <w:szCs w:val="20"/>
          <w:color w:val="auto"/>
        </w:rPr>
      </w:pPr>
      <w:r>
        <w:rPr>
          <w:rFonts w:ascii="Arial" w:cs="Arial" w:eastAsia="Arial" w:hAnsi="Arial"/>
          <w:sz w:val="16"/>
          <w:szCs w:val="16"/>
          <w:color w:val="auto"/>
        </w:rPr>
        <w:t>On December 17,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replaced and terminated Autodesk’s prior $400.0 million revolving credit facility.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2.50:1.0 starting with the fiscal quarter ending January 31, 2019 and increasing to 3.00:1.0 starting with the fiscal quarter ending April 30, 2019, and (2) a maximum leverage ratio of 3.50:1.0 starting with the fiscal quarter ending July 31, 2019, and dropping to 3.00:1.0 in the fiscal quarter ending January 31, 2020. At April 30, 2019,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April 30, 2019, Autodesk had no outstanding borrowings under the credit agreement.</w:t>
      </w:r>
    </w:p>
    <w:p>
      <w:pPr>
        <w:spacing w:after="0" w:line="175"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On December 17, 2018, Autodesk also entered into a Term Loan Agreement by and among Autodesk, the lenders from time to time party thereto and Citibank, N.A., as agent, which provides for a delayed draw term loan facility in the aggregate principal amount of $500.0 million and was borrowed in full to consummate the PlanGrid, Inc. acquisition. The term loan bears interest, at Autodesk's option, at either (i) a floating rate per annum equal to the base rate plus a margin between 0.000% and 0.625%, depending on Autodesk's Public Debt Rating or (ii) a per annum rate equal to the 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Interest under the term loan was 3.539% at April 30, 2019. The Term Loan Agreement contains customary covenants that could, among other things, restrict the imposition of liens on Autodesk's assets, and restrict Autodesk’s ability to incur additional indebtedness or make dispositions of assets if Autodesk fails to maintain the financial covenants. The Term Loan Agreement has the same financial covenants as those included in the credit agreement governing its revolving loan facility described above. The term loan will mature on December 2020 and will not be subject to amortization prior to the maturity date. As of April 30, 2019, $375.0 million remains outstanding under the term loan.</w:t>
      </w:r>
    </w:p>
    <w:p>
      <w:pPr>
        <w:spacing w:after="0" w:line="173"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 of their principal amount, plus accrued and unpaid interest to the date of repurchase. The 2017 Notes contain restrictive covenants that limit Autodesk's ability to create certain liens, to enter into certain sale and leaseback transactions and to consolidate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60"/>
        <w:spacing w:after="0" w:line="277" w:lineRule="auto"/>
        <w:rPr>
          <w:sz w:val="20"/>
          <w:szCs w:val="20"/>
          <w:color w:val="auto"/>
        </w:rPr>
      </w:pPr>
      <w:r>
        <w:rPr>
          <w:rFonts w:ascii="Arial" w:cs="Arial" w:eastAsia="Arial" w:hAnsi="Arial"/>
          <w:sz w:val="18"/>
          <w:szCs w:val="18"/>
          <w:color w:val="auto"/>
        </w:rPr>
        <w:t>merge with, or convey, transfer or lease all or substantially all of its assets, subject to important qualifications and exceptions. Based on quoted market prices, the fair value of the 2017 Notes was approximately $488.2 million as of April 30, 2019.</w:t>
      </w:r>
    </w:p>
    <w:p>
      <w:pPr>
        <w:spacing w:after="0" w:line="170"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$763.5 million as of April 30, 2019.</w:t>
      </w:r>
    </w:p>
    <w:p>
      <w:pPr>
        <w:spacing w:after="0" w:line="179"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notes due December 15, 2017 ("$400.0 million 2012 Notes") and $350.0 million aggregate principal amount of 3.6% notes due December 15, 2022 ("$350.0 million 2012 Notes" and collectively with the $400.0 million 2012 Notes,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the $400.0 million 2012 Notes.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The Company did not incur any additional early termination penalties in connection with such redemption. Based on the quoted market price, the fair value of the $350.0 million 2012 Notes was approximately $357.2 million as of April 30,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Leases</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Autodesk has operating leases for real estate, vehicles and certain equipment. Leases have remaining lease terms of less than 1 year to 71 years, some of which include options to extend the lease with renewal terms from 1 year to 10 years and some of which include options to terminate the leases from less than 1 year to 11 years. Options to extend the lease are included in the lease liability if they are reasonably certain of being exercised. Options to terminate are considered in determining the lease liability if they are reasonably certain of being exercised. The Company’s lease contracts include obligations to pay for other services, such as operations and maintenance. The Company’s leases do not contain residual value guarantees or material restrictive covenants.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color w:val="auto"/>
        </w:rPr>
        <w:t>The components of lease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w w:val="94"/>
              </w:rPr>
              <w:t>Three months ended April 30, 2019</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Cost of</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subscription and</w:t>
            </w:r>
          </w:p>
        </w:tc>
        <w:tc>
          <w:tcPr>
            <w:tcW w:w="140" w:type="dxa"/>
            <w:vAlign w:val="bottom"/>
          </w:tcPr>
          <w:p>
            <w:pPr>
              <w:spacing w:after="0"/>
              <w:rPr>
                <w:sz w:val="12"/>
                <w:szCs w:val="12"/>
                <w:color w:val="auto"/>
              </w:rPr>
            </w:pPr>
          </w:p>
        </w:tc>
        <w:tc>
          <w:tcPr>
            <w:tcW w:w="94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w w:val="94"/>
              </w:rPr>
              <w:t>Cost of 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Marketing</w:t>
            </w:r>
          </w:p>
        </w:tc>
        <w:tc>
          <w:tcPr>
            <w:tcW w:w="14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Research and</w:t>
            </w:r>
          </w:p>
        </w:tc>
        <w:tc>
          <w:tcPr>
            <w:tcW w:w="16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General and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3"/>
              </w:rPr>
              <w:t>and sales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2"/>
              </w:rPr>
              <w:t>development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8"/>
              </w:rPr>
              <w:t>administrative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120" w:type="dxa"/>
            <w:vAlign w:val="bottom"/>
          </w:tcPr>
          <w:p>
            <w:pPr>
              <w:spacing w:after="0"/>
              <w:rPr>
                <w:sz w:val="20"/>
                <w:szCs w:val="20"/>
                <w:color w:val="auto"/>
              </w:rPr>
            </w:pP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operating cash flow information related to leases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w w:val="97"/>
              </w:rPr>
              <w:t>Three months ended April</w:t>
            </w:r>
          </w:p>
        </w:tc>
      </w:tr>
      <w:tr>
        <w:trPr>
          <w:trHeight w:val="192"/>
        </w:trPr>
        <w:tc>
          <w:tcPr>
            <w:tcW w:w="96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30,</w:t>
            </w:r>
          </w:p>
        </w:tc>
      </w:tr>
      <w:tr>
        <w:trPr>
          <w:trHeight w:val="250"/>
        </w:trPr>
        <w:tc>
          <w:tcPr>
            <w:tcW w:w="96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2019</w:t>
            </w:r>
          </w:p>
        </w:tc>
      </w:tr>
      <w:tr>
        <w:trPr>
          <w:trHeight w:val="23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cash flows from operating leases (1)</w:t>
            </w:r>
          </w:p>
        </w:tc>
        <w:tc>
          <w:tcPr>
            <w:tcW w:w="440" w:type="dxa"/>
            <w:vAlign w:val="bottom"/>
            <w:tcBorders>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Non-cash operating lease liabilities arising from obtaining operating lease right-of-use assets</w:t>
            </w:r>
          </w:p>
        </w:tc>
        <w:tc>
          <w:tcPr>
            <w:tcW w:w="440" w:type="dxa"/>
            <w:vAlign w:val="bottom"/>
          </w:tcPr>
          <w:p>
            <w:pPr>
              <w:spacing w:after="0"/>
              <w:rPr>
                <w:sz w:val="19"/>
                <w:szCs w:val="19"/>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44.0</w:t>
            </w:r>
          </w:p>
        </w:tc>
      </w:tr>
      <w:tr>
        <w:trPr>
          <w:trHeight w:val="249"/>
        </w:trPr>
        <w:tc>
          <w:tcPr>
            <w:tcW w:w="9600" w:type="dxa"/>
            <w:vAlign w:val="bottom"/>
          </w:tcPr>
          <w:p>
            <w:pPr>
              <w:jc w:val="right"/>
              <w:ind w:right="8076"/>
              <w:spacing w:after="0"/>
              <w:rPr>
                <w:sz w:val="20"/>
                <w:szCs w:val="20"/>
                <w:color w:val="auto"/>
              </w:rPr>
            </w:pPr>
            <w:r>
              <w:rPr>
                <w:rFonts w:ascii="Arial" w:cs="Arial" w:eastAsia="Arial" w:hAnsi="Arial"/>
                <w:sz w:val="18"/>
                <w:szCs w:val="18"/>
                <w:color w:val="auto"/>
                <w:w w:val="94"/>
              </w:rPr>
              <w:t>_______________</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ind w:right="300" w:firstLine="8"/>
        <w:spacing w:after="0" w:line="263" w:lineRule="auto"/>
        <w:tabs>
          <w:tab w:leader="none" w:pos="2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$3.0 million in variable lease payments not included in "Operating lease liabilities" and "Long-term operating lease liabilities" on the Condensed Consolidated Balance Sheet.</w:t>
      </w:r>
    </w:p>
    <w:p>
      <w:pPr>
        <w:spacing w:after="0" w:line="15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remaining lease term for operating leases is 6.2 years at April 30, 2019. The weighted average discount rate was 3.85% at April 30, 2019.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Maturities of operating lease liabilities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00" w:type="dxa"/>
            <w:vAlign w:val="bottom"/>
          </w:tcPr>
          <w:p>
            <w:pPr>
              <w:ind w:left="40"/>
              <w:spacing w:after="0"/>
              <w:rPr>
                <w:sz w:val="20"/>
                <w:szCs w:val="20"/>
                <w:color w:val="auto"/>
              </w:rPr>
            </w:pPr>
            <w:r>
              <w:rPr>
                <w:rFonts w:ascii="Arial" w:cs="Arial" w:eastAsia="Arial" w:hAnsi="Arial"/>
                <w:sz w:val="16"/>
                <w:szCs w:val="16"/>
                <w:color w:val="auto"/>
              </w:rPr>
              <w:t>Fiscal year ending</w:t>
            </w: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 (remainder)</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2021</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75.9</w:t>
            </w: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2023</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57.9</w:t>
            </w:r>
          </w:p>
        </w:tc>
      </w:tr>
      <w:tr>
        <w:trPr>
          <w:trHeight w:val="33"/>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75.3</w:t>
            </w:r>
          </w:p>
        </w:tc>
      </w:tr>
      <w:tr>
        <w:trPr>
          <w:trHeight w:val="33"/>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367.2</w:t>
            </w: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72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42.4</w:t>
            </w:r>
          </w:p>
        </w:tc>
      </w:tr>
      <w:tr>
        <w:trPr>
          <w:trHeight w:val="33"/>
        </w:trPr>
        <w:tc>
          <w:tcPr>
            <w:tcW w:w="96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operating lease liabilities</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324.8</w:t>
            </w:r>
          </w:p>
        </w:tc>
      </w:tr>
      <w:tr>
        <w:trPr>
          <w:trHeight w:val="20"/>
        </w:trPr>
        <w:tc>
          <w:tcPr>
            <w:tcW w:w="9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0" w:firstLine="405"/>
        <w:spacing w:after="0" w:line="277" w:lineRule="auto"/>
        <w:rPr>
          <w:sz w:val="20"/>
          <w:szCs w:val="20"/>
          <w:color w:val="auto"/>
        </w:rPr>
      </w:pPr>
      <w:r>
        <w:rPr>
          <w:rFonts w:ascii="Arial" w:cs="Arial" w:eastAsia="Arial" w:hAnsi="Arial"/>
          <w:sz w:val="18"/>
          <w:szCs w:val="18"/>
          <w:color w:val="auto"/>
        </w:rPr>
        <w:t>As of April 30, 2019, Autodesk has additional operating lease minimum lease payments of $25.8 million for executed leases that have not yet commenced, primarily for office locations.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months ended April 30, 2018, rent expense related to operating leases under previous accounting guidance was $15.1 million.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14.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inquiries, and proceedings in the normal course of business including claims of alleged infringement of intellectual property rights, commercial, employment, tax,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15. Stockholders' Deficit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stockholders' deficit by component, net of tax, as of April 30, 2019 are as follows: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2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Common stock and additional paid-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660" w:type="dxa"/>
            <w:vAlign w:val="bottom"/>
          </w:tcPr>
          <w:p>
            <w:pPr>
              <w:spacing w:after="0"/>
              <w:rPr>
                <w:sz w:val="6"/>
                <w:szCs w:val="6"/>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6"/>
                <w:szCs w:val="6"/>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comprehensive loss</w:t>
            </w:r>
          </w:p>
        </w:tc>
        <w:tc>
          <w:tcPr>
            <w:tcW w:w="14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3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2019</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6"/>
                <w:szCs w:val="16"/>
                <w:color w:val="auto"/>
              </w:rPr>
              <w:t>Post-combination expense related to equity awards assumed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April 30, 2019</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________________</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300" w:hanging="412"/>
        <w:spacing w:after="0" w:line="263"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three months ended April 30, 2019, Autodesk repurchased 0.6 million shares at an average repurchase price of $171.84 per share. At April 30, 2019, 16.8 million shares remained available for repurchase under the repurchase program approved by the Board of Directors.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ind w:left="380"/>
        <w:spacing w:after="0"/>
        <w:rPr>
          <w:sz w:val="20"/>
          <w:szCs w:val="20"/>
          <w:color w:val="auto"/>
        </w:rPr>
      </w:pPr>
      <w:r>
        <w:rPr>
          <w:rFonts w:ascii="Arial" w:cs="Arial" w:eastAsia="Arial" w:hAnsi="Arial"/>
          <w:sz w:val="18"/>
          <w:szCs w:val="18"/>
          <w:color w:val="auto"/>
        </w:rPr>
        <w:t>Changes in stockholders' deficit by component, net of tax, as of January 31, 2019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2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Common stock and additional paid-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660" w:type="dxa"/>
            <w:vAlign w:val="bottom"/>
          </w:tcPr>
          <w:p>
            <w:pPr>
              <w:spacing w:after="0"/>
              <w:rPr>
                <w:sz w:val="6"/>
                <w:szCs w:val="6"/>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6"/>
                <w:szCs w:val="6"/>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comprehensive loss</w:t>
            </w:r>
          </w:p>
        </w:tc>
        <w:tc>
          <w:tcPr>
            <w:tcW w:w="14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3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April 30,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2,001.0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Shares issued for acquisition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July 31,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218.5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2,012.5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October 31,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2,009.1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(2,189.9)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price accounting adjustment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2019</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80" w:top="584"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16.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April 30,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Debt 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April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Per Share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5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9"/>
                <w:szCs w:val="19"/>
                <w:color w:val="auto"/>
              </w:rPr>
            </w:pP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5"/>
              </w:rPr>
              <w:t>(82.4)</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5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219.6</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218.6</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8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58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219.6</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218.6</w:t>
            </w:r>
          </w:p>
        </w:tc>
        <w:tc>
          <w:tcPr>
            <w:tcW w:w="0" w:type="dxa"/>
            <w:vAlign w:val="bottom"/>
          </w:tcPr>
          <w:p>
            <w:pPr>
              <w:spacing w:after="0"/>
              <w:rPr>
                <w:sz w:val="1"/>
                <w:szCs w:val="1"/>
                <w:color w:val="auto"/>
              </w:rPr>
            </w:pPr>
          </w:p>
        </w:tc>
      </w:tr>
      <w:tr>
        <w:trPr>
          <w:trHeight w:val="73"/>
        </w:trPr>
        <w:tc>
          <w:tcPr>
            <w:tcW w:w="858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5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(0.38)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80" w:type="dxa"/>
            <w:vAlign w:val="bottom"/>
            <w:vMerge w:val="continue"/>
          </w:tcPr>
          <w:p>
            <w:pPr>
              <w:spacing w:after="0"/>
              <w:rPr>
                <w:sz w:val="17"/>
                <w:szCs w:val="17"/>
                <w:color w:val="auto"/>
              </w:rPr>
            </w:pP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17"/>
                <w:szCs w:val="17"/>
                <w:color w:val="auto"/>
              </w:rPr>
            </w:pP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5"/>
              </w:rPr>
              <w:t>(0.38)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440" w:hanging="412"/>
        <w:spacing w:after="0" w:line="296" w:lineRule="auto"/>
        <w:tabs>
          <w:tab w:leader="none" w:pos="4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effect of dilutive securities of 2.3 million and 3.0 million shares in the three months ended April 30, 2019 and 2018, respectively, have been excluded from the calculation of diluted net loss per share as those shares would have been anti-dilutive due to the net loss incurred during those periods.</w:t>
      </w:r>
    </w:p>
    <w:p>
      <w:pPr>
        <w:spacing w:after="0" w:line="15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computation of diluted net loss per share does not include shares that are anti-dilutive under the treasury stock method because their exercise prices are higher than the average market value of Autodesk’s stock during the period. For the three months ended April 30, 2019, there were no potentially anti-dilutive shares excluded from the computation of diluted net loss per share. For the three months ended April 30, 2018, 0.2 million potentially anti-dilutive shares were excluded from the computation of diluted net loss per share.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18. Segments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Months Ended April 30, 2019 and 2018” below; future revenue, operating expenses, recurring revenue, annualized recurring revenue, cash flow, net revenue retention rate and other future financial results (by product type and geography); the effectiveness of our efforts to successfully manage transitions to new industries; our ability to increase our subscription base; expected market trends, including the growth of cloud and mobile computing; the availability of credit; the effect of unemployment; the effects of global economic conditions;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8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cloud, mobile and social applications.</w:t>
      </w:r>
    </w:p>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To address this shift, Autodesk made a strategic decision to shift its business model from selling perpetual licenses and maintenance plans to selling subscriptions.</w:t>
      </w:r>
    </w:p>
    <w:p>
      <w:pPr>
        <w:spacing w:after="0" w:line="170"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Today, we offer subscriptions for individual products and Industry Collections, flexible enterprise business agreements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181"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product subscriptions currently represent a hybrid of desktop software and cloud functionality, which provides a device-independent, collaborative design workflow for designers and their stakeholders. Our cloud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2" w:name="page33"/>
    <w:bookmarkEnd w:id="32"/>
    <w:p>
      <w:pPr>
        <w:ind w:right="760" w:firstLine="405"/>
        <w:spacing w:after="0" w:line="308" w:lineRule="auto"/>
        <w:rPr>
          <w:sz w:val="20"/>
          <w:szCs w:val="20"/>
          <w:color w:val="auto"/>
        </w:rPr>
      </w:pPr>
      <w:r>
        <w:rPr>
          <w:rFonts w:ascii="Arial" w:cs="Arial" w:eastAsia="Arial" w:hAnsi="Arial"/>
          <w:sz w:val="17"/>
          <w:szCs w:val="17"/>
          <w:color w:val="auto"/>
        </w:rPr>
        <w:t>Industry Collections provide our customers with increased access to a broader selection of Autodesk solutions and services that exceeds those previously available in suites — simplifying the customers' ability to get access to a complete set of tools for their industry.</w:t>
      </w:r>
    </w:p>
    <w:p>
      <w:pPr>
        <w:spacing w:after="0" w:line="14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discontinued the sale of new commercial licenses of most individual software products in 2016. Additionally, in June 2017, we commenced a program to incentivize maintenance plan customers to move to subscription plan offerings, maintenance-to-subscription ("M2S"), while at the same time increasing maintenance plan pricing over time for customers that remain on maintenance plans. Since launching the program, over 875,000 maintenance plan customers have converted to subscription plan offerings. Autodesk seeks to convert the remaining 689,000 maintenance plan customers to subscription through this program.</w:t>
      </w:r>
    </w:p>
    <w:p>
      <w:pPr>
        <w:spacing w:after="0" w:line="18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To support our strategic priority of re-imagining construction, in fiscal 2019, we strengthened the foundation of our construction solutions with both organic and inorganic investments. In addition to investing in our BIM 360 portfolio, we acquired Assemble Systems, Inc. ("Assemble Systems") for quantity take off functionality, PlanGrid, Inc. ("PlanGrid") for document-centric workflows and field execution, and BuildingConnected, Inc. ("BuildingConnected") for bidding and estimation processes. The broadened product portfolio will help us expand our presence with sub-contractors, trades people, and building owners.</w:t>
      </w:r>
    </w:p>
    <w:p>
      <w:pPr>
        <w:spacing w:after="0" w:line="18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part of our manufacturing strategy, we continue to attract global manufacturing leaders with our generative design and our Fusion technology enhancements.</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See Note 3, "Revenue Recognition" in the Notes to the unaudited Condensed Consolidated Financial Statements for further detail on net revenue by indirect and direct channel sales for the three months ended April 30, 2019 and 2018.</w:t>
      </w:r>
    </w:p>
    <w:p>
      <w:pPr>
        <w:spacing w:after="0" w:line="188"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15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making with students of all ages. We offer free educational licenses of Autodesk software worldwide to students, educators, and accredited educational institutions. We inspire and support beginners with Tinkercad, a simple online 3D design and 3D printing tool.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Udemy and Coursera. Our intention is to make Autodesk software ubiquitous and the design and making software of choice for those poised to become the next generation of professional users.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84" w:right="279" w:bottom="1440" w:gutter="0" w:footer="0" w:header="0"/>
        </w:sectPr>
      </w:pPr>
    </w:p>
    <w:bookmarkStart w:id="33" w:name="page34"/>
    <w:bookmarkEnd w:id="33"/>
    <w:p>
      <w:pPr>
        <w:ind w:right="220" w:firstLine="432"/>
        <w:spacing w:after="0" w:line="291"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For example, we recently acquired Assemble Systems, a leading provider of key workflow software solutions, PlanGrid, Inc., a leading provider of construction productivity software, and BuildingConnected, a leading pre-construction platform. We believe that the acquisitions of Assemble Systems, PlanGrid and BuildingConnected will enable us to offer a more comprehensive, cloud-based construction platform.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continue to acquire products, technology, and businesses as compelling opportunities become available.</w:t>
      </w:r>
    </w:p>
    <w:p>
      <w:pPr>
        <w:spacing w:after="0" w:line="16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our current business model, annualized recurring revenue ("ARR"), growth of billings, and total deferred revenue better reflect business momentum. To analyze progress, we have disaggregated our growth between the original maintenance model ("maintenance plan") and the subscription plan model. Maintenance plan subscriptions peaked in the fourth quarter of our fiscal 2016 as we discontinued selling new maintenance plan subscriptions in fiscal 2017, and we expect the number of these subscriptions to keep declining over time as maintenance plan customers continue to convert to our subscription plans.</w:t>
      </w:r>
    </w:p>
    <w:p>
      <w:pPr>
        <w:spacing w:after="0" w:line="15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2019.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April 30, 2019 as compared to those disclosed in our Form 10-K for the fiscal year ended January 31, 2019. We believe these policies are the most critical to aid in fully understanding and evaluating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2019 and 2018</w:t>
      </w:r>
    </w:p>
    <w:p>
      <w:pPr>
        <w:spacing w:after="0" w:line="20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net revenue increased 31% to $735.5 million for the three months ended April 30, 2019, compared to the same period in the prior fiscal year.</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ARR was $2.83 billion, an increase of 33% compared to the same period in the prior fiscal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Subscription plan ARR was $2.38 billion, an increase of 70% compared to the first quarter in the prior fiscal year.</w:t>
      </w:r>
    </w:p>
    <w:p>
      <w:pPr>
        <w:spacing w:after="0" w:line="63" w:lineRule="exact"/>
        <w:rPr>
          <w:rFonts w:ascii="Arial" w:cs="Arial" w:eastAsia="Arial" w:hAnsi="Arial"/>
          <w:sz w:val="18"/>
          <w:szCs w:val="18"/>
          <w:color w:val="auto"/>
        </w:rPr>
      </w:pPr>
    </w:p>
    <w:p>
      <w:pPr>
        <w:ind w:left="660" w:right="5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Deferred revenue was $2.15 billion, an increase of 3% compared to the fourth quarter in the prior fiscal year. Total deferred revenue (deferred revenue plus unbilled deferred revenue) was $2.74 billion, an increase of 2% compared to the fourth quarter in the prior fiscal year.</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Net revenue increased during the three months ended April 30, 2019, as compared to the same period in the prior fiscal year, primarily due to a 70% increase in subscription revenue, partially offset by a 38% decrease in maintenance revenue primarily as a result of the program to migrate customers from a maintenance plan to a subscription plan.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discussion of the drivers of these results, see below under the heading “Results of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firstLine="405"/>
        <w:spacing w:after="0" w:line="254"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Total sales to Tech Data accounted for 35% of Autodesk’s total net revenue for the three months ended April 30, 2019, and 34% for the three months ended April 30, 2018. During both the three months ended April 30, 2019, and April 30, 2018, Ingram Micro accounted for 10% of Autodesk's total net revenue. Our customers through Tech Data and Ingram Micro are the resellers and end users who purchase our software subscriptions and services.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Revenue and Net Revenue Retention Rate</w:t>
      </w:r>
    </w:p>
    <w:p>
      <w:pPr>
        <w:spacing w:after="0" w:line="225"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order to help better understand our financial performance, we use metrics such as recurring revenue, ARR and net revenue retention rate ("NR3"). Recurring revenue, ARR and NR3 are performance metrics and should be viewed independently of revenue and deferred revenue as recurring revenue, ARR and NR3 are not intended to be combined with those items. Our determination and presentation may differ from that of other companies. Please refer to the Glossary of Terms for the definitions of these metrics.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months ended April 30, 2019 and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4"/>
              </w:rPr>
              <w:t>Three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April 30, 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April 30, 2018</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707.8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49"/>
        </w:trPr>
        <w:tc>
          <w:tcPr>
            <w:tcW w:w="55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The following table outlines our ARR metric as of April 30, 2019 and January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ind w:left="220"/>
              <w:spacing w:after="0"/>
              <w:rPr>
                <w:sz w:val="20"/>
                <w:szCs w:val="20"/>
                <w:color w:val="auto"/>
              </w:rPr>
            </w:pPr>
            <w:r>
              <w:rPr>
                <w:rFonts w:ascii="Arial" w:cs="Arial" w:eastAsia="Arial" w:hAnsi="Arial"/>
                <w:sz w:val="14"/>
                <w:szCs w:val="14"/>
                <w:b w:val="1"/>
                <w:bCs w:val="1"/>
                <w:color w:val="auto"/>
                <w:w w:val="90"/>
              </w:rPr>
              <w:t>Change compared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88"/>
              </w:rPr>
              <w:t>Balances,</w:t>
            </w:r>
          </w:p>
        </w:tc>
        <w:tc>
          <w:tcPr>
            <w:tcW w:w="0" w:type="dxa"/>
            <w:vAlign w:val="bottom"/>
          </w:tcPr>
          <w:p>
            <w:pPr>
              <w:spacing w:after="0"/>
              <w:rPr>
                <w:sz w:val="1"/>
                <w:szCs w:val="1"/>
                <w:color w:val="auto"/>
              </w:rPr>
            </w:pPr>
          </w:p>
        </w:tc>
      </w:tr>
      <w:tr>
        <w:trPr>
          <w:trHeight w:val="144"/>
        </w:trPr>
        <w:tc>
          <w:tcPr>
            <w:tcW w:w="694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Balances, April</w:t>
            </w:r>
          </w:p>
        </w:tc>
        <w:tc>
          <w:tcPr>
            <w:tcW w:w="280" w:type="dxa"/>
            <w:vAlign w:val="bottom"/>
          </w:tcPr>
          <w:p>
            <w:pPr>
              <w:spacing w:after="0"/>
              <w:rPr>
                <w:sz w:val="12"/>
                <w:szCs w:val="12"/>
                <w:color w:val="auto"/>
              </w:rPr>
            </w:pPr>
          </w:p>
        </w:tc>
        <w:tc>
          <w:tcPr>
            <w:tcW w:w="1500" w:type="dxa"/>
            <w:vAlign w:val="bottom"/>
            <w:gridSpan w:val="3"/>
          </w:tcPr>
          <w:p>
            <w:pPr>
              <w:ind w:left="240"/>
              <w:spacing w:after="0" w:line="145" w:lineRule="exact"/>
              <w:rPr>
                <w:sz w:val="20"/>
                <w:szCs w:val="20"/>
                <w:color w:val="auto"/>
              </w:rPr>
            </w:pPr>
            <w:r>
              <w:rPr>
                <w:rFonts w:ascii="Arial" w:cs="Arial" w:eastAsia="Arial" w:hAnsi="Arial"/>
                <w:sz w:val="14"/>
                <w:szCs w:val="14"/>
                <w:b w:val="1"/>
                <w:bCs w:val="1"/>
                <w:color w:val="auto"/>
                <w:w w:val="93"/>
              </w:rPr>
              <w:t>prior fiscal year end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94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63"/>
              <w:spacing w:after="0" w:line="126"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30, 2019</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2,383.3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2,200.1</w:t>
            </w:r>
          </w:p>
        </w:tc>
        <w:tc>
          <w:tcPr>
            <w:tcW w:w="0" w:type="dxa"/>
            <w:vAlign w:val="bottom"/>
          </w:tcPr>
          <w:p>
            <w:pPr>
              <w:spacing w:after="0"/>
              <w:rPr>
                <w:sz w:val="1"/>
                <w:szCs w:val="1"/>
                <w:color w:val="auto"/>
              </w:rPr>
            </w:pPr>
          </w:p>
        </w:tc>
      </w:tr>
      <w:tr>
        <w:trPr>
          <w:trHeight w:val="33"/>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549.3</w:t>
            </w:r>
          </w:p>
        </w:tc>
        <w:tc>
          <w:tcPr>
            <w:tcW w:w="0" w:type="dxa"/>
            <w:vAlign w:val="bottom"/>
          </w:tcPr>
          <w:p>
            <w:pPr>
              <w:spacing w:after="0"/>
              <w:rPr>
                <w:sz w:val="1"/>
                <w:szCs w:val="1"/>
                <w:color w:val="auto"/>
              </w:rPr>
            </w:pPr>
          </w:p>
        </w:tc>
      </w:tr>
      <w:tr>
        <w:trPr>
          <w:trHeight w:val="244"/>
        </w:trPr>
        <w:tc>
          <w:tcPr>
            <w:tcW w:w="6940" w:type="dxa"/>
            <w:vAlign w:val="bottom"/>
          </w:tcPr>
          <w:p>
            <w:pPr>
              <w:ind w:left="360"/>
              <w:spacing w:after="0"/>
              <w:rPr>
                <w:sz w:val="20"/>
                <w:szCs w:val="20"/>
                <w:color w:val="auto"/>
              </w:rPr>
            </w:pPr>
            <w:r>
              <w:rPr>
                <w:rFonts w:ascii="Arial" w:cs="Arial" w:eastAsia="Arial" w:hAnsi="Arial"/>
                <w:sz w:val="16"/>
                <w:szCs w:val="16"/>
                <w:color w:val="auto"/>
              </w:rPr>
              <w:t>Total ARR (1)</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2,831.2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2,749.4</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80" w:hanging="412"/>
        <w:spacing w:after="0" w:line="263"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Condensed Consolidated Statements of Operations.</w:t>
      </w:r>
    </w:p>
    <w:p>
      <w:pPr>
        <w:spacing w:after="0" w:line="339"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Total ARR increased 3% as of April 30, 2019, as compared to the end of fiscal 2019, primarily due to an 8% increase in subscription plan ARR driven by product subscriptions, including the maintenance-to-subscription ("M2S") program. The increase was partially offset by an 18% decrease in maintenance plan ARR driven by M2S program.</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NR3 was within the fiscal year 2019 range of approximately 110% and 120% for the three months ended April 30, 2019, and April 30, 2018.</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Germany, Japan, the United Kingdom, and Finland.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 April 30, 2019</w:t>
            </w:r>
          </w:p>
        </w:tc>
        <w:tc>
          <w:tcPr>
            <w:tcW w:w="2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210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8"/>
              </w:rPr>
              <w:t>Percent change compared to</w:t>
            </w:r>
          </w:p>
        </w:tc>
        <w:tc>
          <w:tcPr>
            <w:tcW w:w="100" w:type="dxa"/>
            <w:vAlign w:val="bottom"/>
          </w:tcPr>
          <w:p>
            <w:pPr>
              <w:spacing w:after="0"/>
              <w:rPr>
                <w:sz w:val="13"/>
                <w:szCs w:val="13"/>
                <w:color w:val="auto"/>
              </w:rPr>
            </w:pPr>
          </w:p>
        </w:tc>
        <w:tc>
          <w:tcPr>
            <w:tcW w:w="22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Constant Currency percent</w:t>
            </w:r>
          </w:p>
        </w:tc>
        <w:tc>
          <w:tcPr>
            <w:tcW w:w="2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Positive/Negative/Neutral</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impact from foreign exchange</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prior fiscal year (1)</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rate changes</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6"/>
                <w:szCs w:val="16"/>
                <w:color w:val="auto"/>
              </w:rPr>
              <w:t>Total spend (2)</w:t>
            </w:r>
          </w:p>
        </w:tc>
        <w:tc>
          <w:tcPr>
            <w:tcW w:w="2100" w:type="dxa"/>
            <w:vAlign w:val="bottom"/>
          </w:tcPr>
          <w:p>
            <w:pPr>
              <w:jc w:val="right"/>
              <w:spacing w:after="0"/>
              <w:rPr>
                <w:sz w:val="20"/>
                <w:szCs w:val="20"/>
                <w:color w:val="auto"/>
              </w:rPr>
            </w:pPr>
            <w:r>
              <w:rPr>
                <w:rFonts w:ascii="Arial" w:cs="Arial" w:eastAsia="Arial" w:hAnsi="Arial"/>
                <w:sz w:val="16"/>
                <w:szCs w:val="16"/>
                <w:color w:val="auto"/>
              </w:rPr>
              <w:t>16%</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49"/>
        </w:trPr>
        <w:tc>
          <w:tcPr>
            <w:tcW w:w="4940" w:type="dxa"/>
            <w:vAlign w:val="bottom"/>
          </w:tcPr>
          <w:p>
            <w:pPr>
              <w:ind w:left="40"/>
              <w:spacing w:after="0"/>
              <w:rPr>
                <w:sz w:val="20"/>
                <w:szCs w:val="20"/>
                <w:color w:val="auto"/>
              </w:rPr>
            </w:pPr>
            <w:r>
              <w:rPr>
                <w:rFonts w:ascii="Arial" w:cs="Arial" w:eastAsia="Arial" w:hAnsi="Arial"/>
                <w:sz w:val="18"/>
                <w:szCs w:val="18"/>
                <w:color w:val="auto"/>
              </w:rPr>
              <w:t>________________</w:t>
            </w: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Spend is the sum of total cost of revenue and total operating expenses.</w:t>
      </w:r>
    </w:p>
    <w:p>
      <w:pPr>
        <w:spacing w:after="0" w:line="203"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Unbilled Deferred Revenue</w:t>
      </w:r>
    </w:p>
    <w:p>
      <w:pPr>
        <w:spacing w:after="0" w:line="225" w:lineRule="exact"/>
        <w:rPr>
          <w:sz w:val="20"/>
          <w:szCs w:val="20"/>
          <w:color w:val="auto"/>
        </w:rPr>
      </w:pPr>
    </w:p>
    <w:p>
      <w:pPr>
        <w:ind w:right="660" w:firstLine="405"/>
        <w:spacing w:after="0" w:line="259" w:lineRule="auto"/>
        <w:rPr>
          <w:sz w:val="20"/>
          <w:szCs w:val="20"/>
          <w:color w:val="auto"/>
        </w:rPr>
      </w:pPr>
      <w:r>
        <w:rPr>
          <w:rFonts w:ascii="Arial" w:cs="Arial" w:eastAsia="Arial" w:hAnsi="Arial"/>
          <w:sz w:val="18"/>
          <w:szCs w:val="18"/>
          <w:color w:val="auto"/>
        </w:rPr>
        <w:t>Unbilled deferred revenue represents contractually stated or committed orders under early renewal and multi-year billing plans for subscription, services, license and maintenance for which the associated deferred revenue has not been recognized. Unbilled deferred revenue is not included as a receivable or deferred revenue on our Condensed Consolidated Balance Sheets. See Note 3, “Revenue Recognition” for more details on Autodesk's performance obligations.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18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2019</w:t>
            </w:r>
          </w:p>
        </w:tc>
        <w:tc>
          <w:tcPr>
            <w:tcW w:w="16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2019</w:t>
            </w:r>
          </w:p>
        </w:tc>
      </w:tr>
      <w:tr>
        <w:trPr>
          <w:trHeight w:val="236"/>
        </w:trPr>
        <w:tc>
          <w:tcPr>
            <w:tcW w:w="8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2,153.5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2,091.4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Unbilled deferred revenue</w:t>
            </w:r>
          </w:p>
        </w:tc>
        <w:tc>
          <w:tcPr>
            <w:tcW w:w="220" w:type="dxa"/>
            <w:vAlign w:val="bottom"/>
          </w:tcPr>
          <w:p>
            <w:pPr>
              <w:spacing w:after="0"/>
              <w:rPr>
                <w:sz w:val="20"/>
                <w:szCs w:val="20"/>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589.1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591.0</w:t>
            </w: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deferred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2,682.4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At April 30, 2019, we had $972.1 million in cash and marketable securities. Our cash flow from operations increased to $221.2 million for the three months ended April 30, 2019, compared to $(16.9) million for the three months ended April 30, 2018. We repurchased 0.6 million shares of our common stock for $100.0 million during the three months ended April 30, 2019. Comparatively, we repurchased 0.2 million shares of our common stock for $21.0 million during the three months ended April 30, 2018. Further discussion regarding the balance sheet and cash flow activities are discussed below under the heading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Income Statement Presentation</w:t>
      </w:r>
    </w:p>
    <w:p>
      <w:pPr>
        <w:spacing w:after="0" w:line="225"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 business arrangements. Revenue from these arrangements is recognized ratably over the contract term commencing with the date our service is made available to customers and when all other revenue recognition criteria have been satisfied.</w:t>
      </w:r>
    </w:p>
    <w:p>
      <w:pPr>
        <w:spacing w:after="0" w:line="18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6" w:right="239" w:bottom="1440" w:gutter="0" w:footer="0" w:header="0"/>
        </w:sectPr>
      </w:pPr>
    </w:p>
    <w:bookmarkStart w:id="36" w:name="page37"/>
    <w:bookmarkEnd w:id="36"/>
    <w:p>
      <w:pPr>
        <w:ind w:right="40" w:firstLine="405"/>
        <w:spacing w:after="0" w:line="342" w:lineRule="auto"/>
        <w:rPr>
          <w:sz w:val="20"/>
          <w:szCs w:val="20"/>
          <w:color w:val="auto"/>
        </w:rPr>
      </w:pPr>
      <w:r>
        <w:rPr>
          <w:rFonts w:ascii="Arial" w:cs="Arial" w:eastAsia="Arial" w:hAnsi="Arial"/>
          <w:sz w:val="16"/>
          <w:szCs w:val="16"/>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18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months</w:t>
            </w:r>
          </w:p>
        </w:tc>
        <w:tc>
          <w:tcPr>
            <w:tcW w:w="2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months</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3"/>
                <w:szCs w:val="13"/>
                <w:color w:val="auto"/>
              </w:rPr>
            </w:pPr>
          </w:p>
        </w:tc>
        <w:tc>
          <w:tcPr>
            <w:tcW w:w="6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3"/>
                <w:szCs w:val="13"/>
                <w:color w:val="auto"/>
              </w:rPr>
            </w:pPr>
          </w:p>
        </w:tc>
        <w:tc>
          <w:tcPr>
            <w:tcW w:w="33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595.8</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245.4</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3"/>
              </w:rPr>
              <w:t>revenue, which benefited from the success of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7"/>
              </w:rPr>
              <w:t>M2S program. Also contributing to the increase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7"/>
              </w:rPr>
              <w:t>was growth in new product subscriptions, cloud</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service offerings and EBA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181.2</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maintenance plan subscriptions to subscription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707.8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176.2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531.6</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735.5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175.6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559.9</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60" w:hanging="412"/>
        <w:spacing w:after="0" w:line="263"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expect maintenance revenue will slowly decline; however, the rate of decline will vary based on the number of renewals, the renewal rate, and our ability to incentivize maintenance plan customers to switch over to subscription plan offerings.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AutoCAD and AutoCAD LT, Manufacturing ("MFG"), and Media and Entertainment ("M&amp;E").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9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Pr>
          <w:p>
            <w:pPr>
              <w:spacing w:after="0"/>
              <w:rPr>
                <w:sz w:val="14"/>
                <w:szCs w:val="14"/>
                <w:color w:val="auto"/>
              </w:rPr>
            </w:pPr>
          </w:p>
        </w:tc>
        <w:tc>
          <w:tcPr>
            <w:tcW w:w="760" w:type="dxa"/>
            <w:vAlign w:val="bottom"/>
          </w:tcPr>
          <w:p>
            <w:pPr>
              <w:jc w:val="center"/>
              <w:ind w:right="63"/>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months</w:t>
            </w:r>
          </w:p>
        </w:tc>
        <w:tc>
          <w:tcPr>
            <w:tcW w:w="2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7"/>
              </w:rPr>
              <w:t>April 30,</w:t>
            </w:r>
          </w:p>
        </w:tc>
        <w:tc>
          <w:tcPr>
            <w:tcW w:w="220" w:type="dxa"/>
            <w:vAlign w:val="bottom"/>
          </w:tcPr>
          <w:p>
            <w:pPr>
              <w:spacing w:after="0"/>
              <w:rPr>
                <w:sz w:val="13"/>
                <w:szCs w:val="13"/>
                <w:color w:val="auto"/>
              </w:rPr>
            </w:pPr>
          </w:p>
        </w:tc>
        <w:tc>
          <w:tcPr>
            <w:tcW w:w="6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3"/>
                <w:szCs w:val="13"/>
                <w:color w:val="auto"/>
              </w:rPr>
            </w:pPr>
          </w:p>
        </w:tc>
        <w:tc>
          <w:tcPr>
            <w:tcW w:w="376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16"/>
                <w:szCs w:val="16"/>
                <w:color w:val="auto"/>
              </w:rPr>
            </w:pPr>
          </w:p>
        </w:tc>
        <w:tc>
          <w:tcPr>
            <w:tcW w:w="680" w:type="dxa"/>
            <w:vAlign w:val="bottom"/>
          </w:tcPr>
          <w:p>
            <w:pPr>
              <w:jc w:val="center"/>
              <w:ind w:right="2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6"/>
                <w:szCs w:val="16"/>
                <w:color w:val="auto"/>
              </w:rPr>
              <w:t>AEC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304.3</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82.5</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6"/>
              </w:rPr>
              <w:t>Up due to increases in revenue from AEC Collections,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PlanGrid, EBAs and BIM 360.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AutoCAD and AutoCAD LT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155.6</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Up due to increases in revenue from both AutoCAD and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AutoCAD LT.</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MFG</w:t>
            </w:r>
          </w:p>
        </w:tc>
        <w:tc>
          <w:tcPr>
            <w:tcW w:w="100" w:type="dxa"/>
            <w:vAlign w:val="bottom"/>
          </w:tcPr>
          <w:p>
            <w:pPr>
              <w:spacing w:after="0"/>
              <w:rPr>
                <w:sz w:val="19"/>
                <w:szCs w:val="19"/>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32.1</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7"/>
              </w:rPr>
              <w:t>Up due to increases in revenue from MFG Collections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and EBAs.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M&amp;E</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increases in revenue from 3DS Max, Maya</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M&amp;E Collections.</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9"/>
                <w:szCs w:val="19"/>
                <w:color w:val="auto"/>
              </w:rPr>
            </w:pP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(0.3)</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175.6</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6"/>
          <w:szCs w:val="16"/>
          <w:i w:val="1"/>
          <w:iCs w:val="1"/>
          <w:color w:val="auto"/>
        </w:rPr>
        <w:t>Net Revenue by Geographic Area</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 except percentages)</w:t>
      </w:r>
    </w:p>
    <w:p>
      <w:pPr>
        <w:spacing w:after="0" w:line="50"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Net Revenue: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Constant currency data not provided at this level.</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Change compared to</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 currency</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Three months ended</w:t>
            </w:r>
          </w:p>
        </w:tc>
        <w:tc>
          <w:tcPr>
            <w:tcW w:w="42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prior fiscal year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71"/>
        </w:trPr>
        <w:tc>
          <w:tcPr>
            <w:tcW w:w="1560" w:type="dxa"/>
            <w:vAlign w:val="bottom"/>
            <w:gridSpan w:val="2"/>
            <w:vMerge w:val="continue"/>
          </w:tcPr>
          <w:p>
            <w:pPr>
              <w:spacing w:after="0"/>
              <w:rPr>
                <w:sz w:val="6"/>
                <w:szCs w:val="6"/>
                <w:color w:val="auto"/>
              </w:rPr>
            </w:pPr>
          </w:p>
        </w:tc>
        <w:tc>
          <w:tcPr>
            <w:tcW w:w="4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vMerge w:val="restart"/>
          </w:tcPr>
          <w:p>
            <w:pPr>
              <w:spacing w:after="0"/>
              <w:rPr>
                <w:sz w:val="6"/>
                <w:szCs w:val="6"/>
                <w:color w:val="auto"/>
              </w:rPr>
            </w:pPr>
          </w:p>
        </w:tc>
        <w:tc>
          <w:tcPr>
            <w:tcW w:w="100" w:type="dxa"/>
            <w:vAlign w:val="bottom"/>
            <w:tcBorders>
              <w:top w:val="single" w:sz="8" w:color="auto"/>
            </w:tcBorders>
            <w:vMerge w:val="restart"/>
          </w:tcPr>
          <w:p>
            <w:pPr>
              <w:spacing w:after="0"/>
              <w:rPr>
                <w:sz w:val="6"/>
                <w:szCs w:val="6"/>
                <w:color w:val="auto"/>
              </w:rPr>
            </w:pPr>
          </w:p>
        </w:tc>
        <w:tc>
          <w:tcPr>
            <w:tcW w:w="9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40" w:type="dxa"/>
            <w:vAlign w:val="bottom"/>
            <w:tcBorders>
              <w:top w:val="single" w:sz="8" w:color="auto"/>
            </w:tcBorders>
            <w:vMerge w:val="restart"/>
          </w:tcPr>
          <w:p>
            <w:pPr>
              <w:jc w:val="right"/>
              <w:ind w:right="7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April 30, 2019</w:t>
            </w: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April 30,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-8255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342900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249.1</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53.2</w:t>
            </w: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27%</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195.9</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24%</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33"/>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62.3</w:t>
            </w: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27%</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233.5</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35%</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220.9</w:t>
            </w:r>
          </w:p>
        </w:tc>
      </w:tr>
      <w:tr>
        <w:trPr>
          <w:trHeight w:val="270"/>
        </w:trPr>
        <w:tc>
          <w:tcPr>
            <w:tcW w:w="5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35%</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5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105.5</w:t>
            </w:r>
          </w:p>
        </w:tc>
      </w:tr>
      <w:tr>
        <w:trPr>
          <w:trHeight w:val="33"/>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735.5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175.6</w:t>
            </w: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31%</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559.9</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21"/>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760" w:type="dxa"/>
            <w:vAlign w:val="bottom"/>
          </w:tcPr>
          <w:p>
            <w:pPr>
              <w:jc w:val="right"/>
              <w:ind w:right="639"/>
              <w:spacing w:after="0"/>
              <w:rPr>
                <w:sz w:val="20"/>
                <w:szCs w:val="20"/>
                <w:color w:val="auto"/>
              </w:rPr>
            </w:pPr>
            <w:r>
              <w:rPr>
                <w:rFonts w:ascii="Arial" w:cs="Arial" w:eastAsia="Arial" w:hAnsi="Arial"/>
                <w:sz w:val="16"/>
                <w:szCs w:val="16"/>
                <w:color w:val="auto"/>
              </w:rPr>
              <w:t>35%</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-1050290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-707390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-355600</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610" w:lineRule="exact"/>
        <w:rPr>
          <w:sz w:val="20"/>
          <w:szCs w:val="20"/>
          <w:color w:val="auto"/>
        </w:rPr>
      </w:pPr>
    </w:p>
    <w:p>
      <w:pPr>
        <w:sectPr>
          <w:pgSz w:w="11900" w:h="16838" w:orient="portrait"/>
          <w:cols w:equalWidth="0" w:num="2">
            <w:col w:w="4080" w:space="720"/>
            <w:col w:w="6620"/>
          </w:cols>
          <w:pgMar w:left="240" w:top="584" w:right="239" w:bottom="1440" w:gutter="0" w:footer="0" w:header="0"/>
          <w:type w:val="continuous"/>
        </w:sectPr>
      </w:pPr>
    </w:p>
    <w:p>
      <w:pPr>
        <w:spacing w:after="0" w:line="3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 by Sales Channel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4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months</w:t>
            </w:r>
          </w:p>
        </w:tc>
        <w:tc>
          <w:tcPr>
            <w:tcW w:w="2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0"/>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9"/>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3"/>
                <w:szCs w:val="13"/>
                <w:color w:val="auto"/>
              </w:rPr>
            </w:pPr>
          </w:p>
        </w:tc>
        <w:tc>
          <w:tcPr>
            <w:tcW w:w="20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76"/>
              </w:rPr>
              <w:t>$</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7"/>
              </w:rPr>
              <w:t>April 30,</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700" w:type="dxa"/>
            <w:vAlign w:val="bottom"/>
          </w:tcPr>
          <w:p>
            <w:pPr>
              <w:jc w:val="center"/>
              <w:ind w:right="6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center"/>
              <w:ind w:right="6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5"/>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9"/>
                <w:szCs w:val="19"/>
                <w:color w:val="auto"/>
              </w:rPr>
            </w:pPr>
          </w:p>
        </w:tc>
        <w:tc>
          <w:tcPr>
            <w:tcW w:w="480" w:type="dxa"/>
            <w:vAlign w:val="bottom"/>
          </w:tcPr>
          <w:p>
            <w:pPr>
              <w:jc w:val="right"/>
              <w:ind w:right="43"/>
              <w:spacing w:after="0"/>
              <w:rPr>
                <w:sz w:val="20"/>
                <w:szCs w:val="20"/>
                <w:color w:val="auto"/>
              </w:rPr>
            </w:pPr>
            <w:r>
              <w:rPr>
                <w:rFonts w:ascii="Arial" w:cs="Arial" w:eastAsia="Arial" w:hAnsi="Arial"/>
                <w:sz w:val="16"/>
                <w:szCs w:val="16"/>
                <w:color w:val="auto"/>
                <w:w w:val="84"/>
              </w:rPr>
              <w:t>118.1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5"/>
              <w:spacing w:after="0"/>
              <w:rPr>
                <w:sz w:val="20"/>
                <w:szCs w:val="20"/>
                <w:color w:val="auto"/>
              </w:rPr>
            </w:pPr>
            <w:r>
              <w:rPr>
                <w:rFonts w:ascii="Arial" w:cs="Arial" w:eastAsia="Arial" w:hAnsi="Arial"/>
                <w:sz w:val="16"/>
                <w:szCs w:val="16"/>
                <w:color w:val="auto"/>
              </w:rPr>
              <w:t>398.3</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161.6</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735.5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w w:val="84"/>
              </w:rPr>
              <w:t>175.6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31%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6"/>
                <w:szCs w:val="16"/>
                <w:color w:val="auto"/>
              </w:rPr>
              <w:t>559.9</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type w:val="continuous"/>
        </w:sectPr>
      </w:pPr>
    </w:p>
    <w:bookmarkStart w:id="38" w:name="page39"/>
    <w:bookmarkEnd w:id="38"/>
    <w:p>
      <w:pPr>
        <w:ind w:right="2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18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47" w:lineRule="exact"/>
        <w:rPr>
          <w:sz w:val="20"/>
          <w:szCs w:val="20"/>
          <w:color w:val="auto"/>
        </w:rPr>
      </w:pPr>
    </w:p>
    <w:p>
      <w:pPr>
        <w:jc w:val="both"/>
        <w:ind w:right="16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acquisition-related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13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0"/>
              </w:rPr>
              <w:t>Change compared to</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months</w:t>
            </w: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3"/>
                <w:szCs w:val="13"/>
                <w:color w:val="auto"/>
              </w:rPr>
            </w:pPr>
          </w:p>
        </w:tc>
        <w:tc>
          <w:tcPr>
            <w:tcW w:w="54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1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6"/>
                <w:szCs w:val="16"/>
                <w:color w:val="auto"/>
              </w:rPr>
            </w:pPr>
          </w:p>
        </w:tc>
        <w:tc>
          <w:tcPr>
            <w:tcW w:w="70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36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Up primarily due to an increase in employee-related costs due to higher</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headcount partially as a result of our recent acquisitions in the fourth</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5"/>
              </w:rPr>
              <w:t>quarter of fiscal year 2019 as well as an increase in cloud hosting costs.</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Up primarily due to an increase in employee-related costs due to higher</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partially as a result of our recent acquisitions in the fourth</w:t>
            </w: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quarter of fiscal year 2019.</w:t>
            </w:r>
          </w:p>
        </w:tc>
        <w:tc>
          <w:tcPr>
            <w:tcW w:w="0" w:type="dxa"/>
            <w:vAlign w:val="bottom"/>
          </w:tcPr>
          <w:p>
            <w:pPr>
              <w:spacing w:after="0"/>
              <w:rPr>
                <w:sz w:val="1"/>
                <w:szCs w:val="1"/>
                <w:color w:val="auto"/>
              </w:rPr>
            </w:pPr>
          </w:p>
        </w:tc>
      </w:tr>
      <w:tr>
        <w:trPr>
          <w:trHeight w:val="220"/>
        </w:trPr>
        <w:tc>
          <w:tcPr>
            <w:tcW w:w="310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5.6</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5"/>
              </w:rPr>
              <w:t>Up due to an increase in amortization expense from acquired developed</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4"/>
              </w:rPr>
              <w:t>technologies as a result of our recent acquisitions in the fourth quarter of</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fiscal year 2019.</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313.3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36.9</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Up due to an increase in employee-related costs driven by higher</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headcount partially as a result of our recent acquisitions in the fourth</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quarter of fiscal year 2019.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an increase in employee-related costs driven by higher</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partially as a result of our recent acquisitions in the fourth</w:t>
            </w: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quarter of fiscal year 2019.</w:t>
            </w:r>
          </w:p>
        </w:tc>
        <w:tc>
          <w:tcPr>
            <w:tcW w:w="0" w:type="dxa"/>
            <w:vAlign w:val="bottom"/>
          </w:tcPr>
          <w:p>
            <w:pPr>
              <w:spacing w:after="0"/>
              <w:rPr>
                <w:sz w:val="1"/>
                <w:szCs w:val="1"/>
                <w:color w:val="auto"/>
              </w:rPr>
            </w:pPr>
          </w:p>
        </w:tc>
      </w:tr>
      <w:tr>
        <w:trPr>
          <w:trHeight w:val="220"/>
        </w:trPr>
        <w:tc>
          <w:tcPr>
            <w:tcW w:w="31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26.2</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Up primarily due to an increase in employee-related costs as a result of</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higher headcount partially as a result of our recent acquisitions in the</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fourth quarter of fiscal year 2019.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Up due to an increase in amortization expense from acquired purchased</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intangibles as a result of our recent acquisitions in the fourth quarter of</w:t>
            </w: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2019.</w:t>
            </w:r>
          </w:p>
        </w:tc>
        <w:tc>
          <w:tcPr>
            <w:tcW w:w="0" w:type="dxa"/>
            <w:vAlign w:val="bottom"/>
          </w:tcPr>
          <w:p>
            <w:pPr>
              <w:spacing w:after="0"/>
              <w:rPr>
                <w:sz w:val="1"/>
                <w:szCs w:val="1"/>
                <w:color w:val="auto"/>
              </w:rPr>
            </w:pP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12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2"/>
              </w:rPr>
              <w:t>Decreased as we substantially completed the actions authorized under the</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Fiscal 2018 restructuring plan.</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79.6</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548.4</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60"/>
              <w:spacing w:after="0"/>
              <w:rPr>
                <w:sz w:val="20"/>
                <w:szCs w:val="20"/>
                <w:color w:val="auto"/>
              </w:rPr>
            </w:pPr>
            <w:r>
              <w:rPr>
                <w:rFonts w:ascii="Arial" w:cs="Arial" w:eastAsia="Arial" w:hAnsi="Arial"/>
                <w:sz w:val="16"/>
                <w:szCs w:val="16"/>
                <w:color w:val="auto"/>
              </w:rPr>
              <w:t>* Percentage is not meaningful.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gridSpan w:val="3"/>
          </w:tcPr>
          <w:p>
            <w:pPr>
              <w:jc w:val="right"/>
              <w:ind w:right="52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9" w:name="page40"/>
    <w:bookmarkEnd w:id="39"/>
    <w:p>
      <w:pPr>
        <w:ind w:right="12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second quarter of fiscal 2020, as compared to the second quarter of fiscal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Absolute dollar impact</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5"/>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5"/>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5"/>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5"/>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increase</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flat</w:t>
            </w:r>
          </w:p>
        </w:tc>
      </w:tr>
      <w:tr>
        <w:trPr>
          <w:trHeight w:val="33"/>
        </w:trPr>
        <w:tc>
          <w:tcPr>
            <w:tcW w:w="67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Gain on foreign currency</w:t>
            </w:r>
          </w:p>
        </w:tc>
        <w:tc>
          <w:tcPr>
            <w:tcW w:w="3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w:t>
            </w:r>
          </w:p>
        </w:tc>
      </w:tr>
      <w:tr>
        <w:trPr>
          <w:trHeight w:val="33"/>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strategic investments and dispositions,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00" w:type="dxa"/>
            <w:vAlign w:val="bottom"/>
          </w:tcPr>
          <w:p>
            <w:pPr>
              <w:spacing w:after="0"/>
              <w:rPr>
                <w:sz w:val="20"/>
                <w:szCs w:val="20"/>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The Interest and other expense, net, increased by $7.7 million during the three months ended April 30, 2019, as compared to the same period in the prior fiscal year, primarily driven by impairments on certain of our privately-held strategic investments, an increase in interest expense resulting from our term loan entered into on December 17, 2018, with aggregate principal balance outstanding of $375.0 million as of April 30, 2019, partially offset by a positive change in mark-to-market adjustments on marketable securities.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debt balances, average maturities and interest rates.</w:t>
      </w:r>
    </w:p>
    <w:p>
      <w:pPr>
        <w:spacing w:after="0" w:line="24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Autodesk had an income tax expense of $32.8 million, relative to pre-tax income of $8.6 million for the three months ended April 30, 2019, and an income tax expense of $18.6 million, relative to pre-tax losses of $63.8 million for the three months ended April 30, 2018. Income tax expense for the three months ended April 30,2019, increased primarily due to increased foreign income taxes as result of the increased foreign earnings and withholding taxes.</w:t>
      </w:r>
    </w:p>
    <w:p>
      <w:pPr>
        <w:spacing w:after="0" w:line="14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In evaluating the need for a valuation allowance, Autodesk considered cumulative losses as a significant source of negative evidence and maintained a valuation allowance against our deferred tax attributes in the U.S. and certain foreign jurisdictions as of April 30,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right="20" w:firstLine="432"/>
        <w:spacing w:after="0" w:line="259" w:lineRule="auto"/>
        <w:rPr>
          <w:sz w:val="20"/>
          <w:szCs w:val="20"/>
          <w:color w:val="auto"/>
        </w:rPr>
      </w:pPr>
      <w:r>
        <w:rPr>
          <w:rFonts w:ascii="Arial" w:cs="Arial" w:eastAsia="Arial" w:hAnsi="Arial"/>
          <w:sz w:val="18"/>
          <w:szCs w:val="18"/>
          <w:color w:val="auto"/>
        </w:rPr>
        <w:t>As we continually strive to optimize our overall business model and tax laws and regulations evolve, tax planning strategies may become feasible and prudent whereby management may determine that it is more likely than not that the foreign or U.S., federal or state deferred tax assets will be realized; therefore, we will continue to evaluate the evidence around our ability to utilize our net deferred tax assets each quarter, both in U.S. and foreign jurisdictions, based on all available evidence, both positive and negative.</w:t>
      </w:r>
    </w:p>
    <w:p>
      <w:pPr>
        <w:spacing w:after="0" w:line="187"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As of April 30, 2019, we had $211.4 million of gross unrecognized tax benefits, of which $194.6 million would reduce our valuation allowance, if recognized. The remaining $16.9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6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anticipate that the U.S. Department of Treasury will continue to interpret or issue guidance on how provisions of the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81"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months ended April 30, 2019 and 2018,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4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6"/>
        </w:trPr>
        <w:tc>
          <w:tcPr>
            <w:tcW w:w="8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7"/>
                <w:szCs w:val="17"/>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652.8</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493.1</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w w:val="89"/>
              </w:rPr>
              <w:t>666.9</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500.2</w:t>
            </w:r>
          </w:p>
        </w:tc>
      </w:tr>
      <w:tr>
        <w:trPr>
          <w:trHeight w:val="33"/>
        </w:trPr>
        <w:tc>
          <w:tcPr>
            <w:tcW w:w="8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33"/>
        </w:trPr>
        <w:tc>
          <w:tcPr>
            <w:tcW w:w="8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(55.3)</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w w:val="89"/>
              </w:rPr>
              <w:t>131.9</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29.0</w:t>
            </w:r>
          </w:p>
        </w:tc>
      </w:tr>
      <w:tr>
        <w:trPr>
          <w:trHeight w:val="33"/>
        </w:trPr>
        <w:tc>
          <w:tcPr>
            <w:tcW w:w="8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8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5"/>
              </w:rPr>
              <w:t>(24.2)</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(82.4)</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99.0</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14.4</w:t>
            </w:r>
          </w:p>
        </w:tc>
      </w:tr>
      <w:tr>
        <w:trPr>
          <w:trHeight w:val="33"/>
        </w:trPr>
        <w:tc>
          <w:tcPr>
            <w:tcW w:w="8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w:t>
            </w:r>
          </w:p>
        </w:tc>
        <w:tc>
          <w:tcPr>
            <w:tcW w:w="880" w:type="dxa"/>
            <w:vAlign w:val="bottom"/>
            <w:tcBorders>
              <w:bottom w:val="single" w:sz="8" w:color="CCEEFF"/>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5"/>
              </w:rPr>
              <w:t>(0.11)</w:t>
            </w:r>
          </w:p>
        </w:tc>
        <w:tc>
          <w:tcPr>
            <w:tcW w:w="5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(0.38)</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Non-GAAP diluted net income per share</w:t>
            </w:r>
          </w:p>
        </w:tc>
        <w:tc>
          <w:tcPr>
            <w:tcW w:w="880" w:type="dxa"/>
            <w:vAlign w:val="bottom"/>
          </w:tcPr>
          <w:p>
            <w:pPr>
              <w:jc w:val="right"/>
              <w:ind w:right="68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0.45</w:t>
            </w:r>
          </w:p>
        </w:tc>
        <w:tc>
          <w:tcPr>
            <w:tcW w:w="5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0.06</w:t>
            </w:r>
          </w:p>
        </w:tc>
      </w:tr>
      <w:tr>
        <w:trPr>
          <w:trHeight w:val="33"/>
        </w:trPr>
        <w:tc>
          <w:tcPr>
            <w:tcW w:w="8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weighted average shares used in per share calculation</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219.6</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218.6</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880" w:type="dxa"/>
            <w:vAlign w:val="bottom"/>
          </w:tcPr>
          <w:p>
            <w:pPr>
              <w:spacing w:after="0"/>
              <w:rPr>
                <w:sz w:val="20"/>
                <w:szCs w:val="20"/>
                <w:color w:val="auto"/>
              </w:rPr>
            </w:pPr>
          </w:p>
        </w:tc>
        <w:tc>
          <w:tcPr>
            <w:tcW w:w="580" w:type="dxa"/>
            <w:vAlign w:val="bottom"/>
          </w:tcPr>
          <w:p>
            <w:pPr>
              <w:jc w:val="right"/>
              <w:ind w:right="120"/>
              <w:spacing w:after="0"/>
              <w:rPr>
                <w:sz w:val="20"/>
                <w:szCs w:val="20"/>
                <w:color w:val="auto"/>
              </w:rPr>
            </w:pPr>
            <w:r>
              <w:rPr>
                <w:rFonts w:ascii="Arial" w:cs="Arial" w:eastAsia="Arial" w:hAnsi="Arial"/>
                <w:sz w:val="16"/>
                <w:szCs w:val="16"/>
                <w:color w:val="auto"/>
                <w:w w:val="89"/>
              </w:rPr>
              <w:t>222.0</w:t>
            </w:r>
          </w:p>
        </w:tc>
        <w:tc>
          <w:tcPr>
            <w:tcW w:w="540" w:type="dxa"/>
            <w:vAlign w:val="bottom"/>
          </w:tcPr>
          <w:p>
            <w:pPr>
              <w:spacing w:after="0"/>
              <w:rPr>
                <w:sz w:val="20"/>
                <w:szCs w:val="20"/>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221.6</w:t>
            </w:r>
          </w:p>
        </w:tc>
      </w:tr>
    </w:tbl>
    <w:p>
      <w:pPr>
        <w:spacing w:after="0" w:line="235"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ind w:right="60"/>
        <w:spacing w:after="0" w:line="302" w:lineRule="auto"/>
        <w:rPr>
          <w:sz w:val="20"/>
          <w:szCs w:val="20"/>
          <w:color w:val="auto"/>
        </w:rPr>
      </w:pPr>
      <w:r>
        <w:rPr>
          <w:rFonts w:ascii="Arial" w:cs="Arial" w:eastAsia="Arial" w:hAnsi="Arial"/>
          <w:sz w:val="16"/>
          <w:szCs w:val="16"/>
          <w:color w:val="auto"/>
        </w:rPr>
        <w:t>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to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54"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0"/>
          </w:cols>
          <w:pgMar w:left="240" w:top="584" w:right="3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Reconciliation of GAAP Financial Measures to 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 related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income from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exit costs,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loss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developed technologies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 related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exit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(gain) on strategic investments and dispositions,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provision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 effect of non-GAAP adjustments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net income</w:t>
      </w:r>
    </w:p>
    <w:p>
      <w:pPr>
        <w:spacing w:after="0" w:line="200" w:lineRule="exact"/>
        <w:rPr>
          <w:sz w:val="20"/>
          <w:szCs w:val="20"/>
          <w:color w:val="auto"/>
        </w:rPr>
      </w:pP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1886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190"/>
        </w:trPr>
        <w:tc>
          <w:tcPr>
            <w:tcW w:w="340" w:type="dxa"/>
            <w:vAlign w:val="bottom"/>
          </w:tcPr>
          <w:p>
            <w:pPr>
              <w:spacing w:after="0"/>
              <w:rPr>
                <w:sz w:val="16"/>
                <w:szCs w:val="16"/>
                <w:color w:val="auto"/>
              </w:rPr>
            </w:pPr>
          </w:p>
        </w:tc>
        <w:tc>
          <w:tcPr>
            <w:tcW w:w="16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249"/>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652.8</w:t>
            </w:r>
          </w:p>
        </w:tc>
        <w:tc>
          <w:tcPr>
            <w:tcW w:w="100" w:type="dxa"/>
            <w:vAlign w:val="bottom"/>
          </w:tcPr>
          <w:p>
            <w:pPr>
              <w:spacing w:after="0"/>
              <w:rPr>
                <w:sz w:val="21"/>
                <w:szCs w:val="21"/>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493.1</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3.5</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3.6</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666.9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500.2</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(55.3)</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54.4</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3.6</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3.8</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22.5</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29.0</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70"/>
        </w:trPr>
        <w:tc>
          <w:tcPr>
            <w:tcW w:w="340" w:type="dxa"/>
            <w:vAlign w:val="bottom"/>
          </w:tcPr>
          <w:p>
            <w:pPr>
              <w:spacing w:after="0"/>
              <w:rPr>
                <w:sz w:val="23"/>
                <w:szCs w:val="23"/>
                <w:color w:val="auto"/>
              </w:rPr>
            </w:pPr>
          </w:p>
        </w:tc>
        <w:tc>
          <w:tcPr>
            <w:tcW w:w="11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(82.4)</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54.4</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3.6</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3.8</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22.5</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(2.7)</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15.2</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14.4</w:t>
            </w:r>
          </w:p>
        </w:tc>
      </w:tr>
      <w:tr>
        <w:trPr>
          <w:trHeight w:val="3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20" w:space="720"/>
            <w:col w:w="2980"/>
          </w:cols>
          <w:pgMar w:left="240" w:top="580"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0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per share</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(0.38)</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 and dispositions, net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(0.01)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Non-GAAP diluted net income per share</w:t>
            </w:r>
          </w:p>
        </w:tc>
        <w:tc>
          <w:tcPr>
            <w:tcW w:w="880" w:type="dxa"/>
            <w:vAlign w:val="bottom"/>
            <w:tcBorders>
              <w:top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85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0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5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i w:val="1"/>
          <w:iCs w:val="1"/>
          <w:color w:val="auto"/>
        </w:rPr>
        <w:t xml:space="preserve">Acquisition related costs. </w:t>
      </w:r>
      <w:r>
        <w:rPr>
          <w:rFonts w:ascii="Arial" w:cs="Arial" w:eastAsia="Arial" w:hAnsi="Arial"/>
          <w:sz w:val="17"/>
          <w:szCs w:val="17"/>
          <w:color w:val="auto"/>
        </w:rPr>
        <w:t>We exclude certain acquisition related costs, including due diligence costs, professional fees in connection with an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financing costs, and certain integration 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 related costs, may not be indicative of such future costs. We believe excluding acquisition related costs facilitates the comparison of our financial results to the Company's historical operating results and to other companies in our industry.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6" w:right="239" w:bottom="1440" w:gutter="0" w:footer="0" w:header="0"/>
        </w:sectPr>
      </w:pPr>
    </w:p>
    <w:bookmarkStart w:id="44" w:name="page45"/>
    <w:bookmarkEnd w:id="44"/>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Loss (gain)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i w:val="1"/>
          <w:iCs w:val="1"/>
          <w:color w:val="auto"/>
        </w:rPr>
        <w:t xml:space="preserve">Discrete tax provision items. </w:t>
      </w:r>
      <w:r>
        <w:rPr>
          <w:rFonts w:ascii="Arial" w:cs="Arial" w:eastAsia="Arial" w:hAnsi="Arial"/>
          <w:sz w:val="16"/>
          <w:szCs w:val="16"/>
          <w:color w:val="auto"/>
        </w:rPr>
        <w:t>We exclude the GAAP tax provision, including discrete items, from the non-GAAP measure of net (loss) income, and</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3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At April 30, 2019, our principal sources of liquidity were cash, cash equivalents and marketable securities totaling $972.1 million and net accounts receivable of $268.1 million.</w:t>
      </w:r>
    </w:p>
    <w:p>
      <w:pPr>
        <w:spacing w:after="0" w:line="1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credit facility is December 2023. At April 30, 2019, Autodesk had no outstanding borrowings on this line of credit. As of June 4, 2019, we have no amounts outstanding under the credit facility. See Part I, Item 1, Note 12, "Borrowing Arrangements," in the Notes to Condensed Consolidated Financial Statements for further discussion on our covenant requirements. If we are unable to remain in compliance with the covenants, we will not be able to draw on our credit facility.</w:t>
      </w:r>
    </w:p>
    <w:p>
      <w:pPr>
        <w:spacing w:after="0" w:line="193"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On December 17, 2018, we also entered into a Term Loan Agreement which provided for a delayed draw term loan facility in the aggregate principal amount of $500.0 million. On December 19, 2018, we borrowed a $500.0 million term loan under the Term Loan Agreement in connection with the acquisition of PlanGrid, Inc. in December 2018. See Part I, Item 1, Note 12, "Borrowing Arrangements," in the Notes to Condensed Consolidated Financial Statements for further discussion on the Term Loan Agreement terms. At April 30, 2019, $375.0 million was outstanding under the Term Loan Agreement.</w:t>
      </w:r>
    </w:p>
    <w:p>
      <w:pPr>
        <w:spacing w:after="0" w:line="15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 addition to the Term Loan Agreement, as of April 30, 2019, we have $1.60 billion aggregate principal amount of Notes outstanding. See Part I, Item 1, Note 12, "Borrowing Arrangements," in the Notes to Condensed Consolidated Financial Statements for further discussion.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14" w:right="259" w:bottom="1440" w:gutter="0" w:footer="0" w:header="0"/>
        </w:sectPr>
      </w:pPr>
    </w:p>
    <w:bookmarkStart w:id="45" w:name="page46"/>
    <w:bookmarkEnd w:id="45"/>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 as well as our Term Loan Agreement.</w:t>
      </w:r>
    </w:p>
    <w:p>
      <w:pPr>
        <w:spacing w:after="0" w:line="18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April 30, 2019, approximately 57%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includes a mandatory one-time tax on accumulated earnings of foreign subsidiaries and generally eliminates U.S. taxes on foreign subsidiary distributions in future periods. As a result, earnings in foreign jurisdictions are generally available for distribution to the U.S.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47.6</w:t>
            </w:r>
          </w:p>
        </w:tc>
      </w:tr>
      <w:tr>
        <w:trPr>
          <w:trHeight w:val="33"/>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33"/>
        </w:trPr>
        <w:tc>
          <w:tcPr>
            <w:tcW w:w="8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Net cash provided by operating activities of $221.2 million for the three months ended April 30, 2019 includes $147.8 million of non-cash expenses, including stock-based compensation expense, depreciation, amortization and accretion expense, and an increase in changes in operating assets and liabilities of $97.6 million partially offset by our net loss of $24.2 million.</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primary working capital source of cash was a decrease in accounts receivable from $474.3 million as of January 31, 2019, to $268.1 million as of April 30, 2019. The primary working capital uses of cash was a decrease in accounts payable and accrued liabilities.</w:t>
      </w:r>
    </w:p>
    <w:p>
      <w:pPr>
        <w:spacing w:after="0" w:line="17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Net cash used in investing activities was $29.2 million for the three months ended April 30, 2019, primarily due to purchases of marketable securities, and capital expenditures.</w:t>
      </w:r>
    </w:p>
    <w:p>
      <w:pPr>
        <w:spacing w:after="0" w:line="1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At April 30, 2019, our short-term investment portfolio had an estimated fair value of $88.9 million and a cost basis of $81.7 million. The portfolio fair value consists of $19.9 million invested in commercial paper and $2.7 million in common stock.</w:t>
      </w:r>
    </w:p>
    <w:p>
      <w:pPr>
        <w:spacing w:after="0" w:line="170"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At April 30, 2019, $66.3 million of short-term trading securities were invested in a defined set of mutual funds as directed by the participants in our Deferred Compensation Plan (see Note 10, “Deferred Compensation,” in the Notes to the Condensed Consolidated Financial Statements for further discussion).</w:t>
      </w:r>
    </w:p>
    <w:p>
      <w:pPr>
        <w:spacing w:after="0" w:line="181" w:lineRule="exact"/>
        <w:rPr>
          <w:sz w:val="20"/>
          <w:szCs w:val="20"/>
          <w:color w:val="auto"/>
        </w:rPr>
      </w:pPr>
    </w:p>
    <w:p>
      <w:pPr>
        <w:ind w:right="560" w:firstLine="405"/>
        <w:spacing w:after="0" w:line="308" w:lineRule="auto"/>
        <w:rPr>
          <w:sz w:val="20"/>
          <w:szCs w:val="20"/>
          <w:color w:val="auto"/>
        </w:rPr>
      </w:pPr>
      <w:r>
        <w:rPr>
          <w:rFonts w:ascii="Arial" w:cs="Arial" w:eastAsia="Arial" w:hAnsi="Arial"/>
          <w:sz w:val="17"/>
          <w:szCs w:val="17"/>
          <w:color w:val="auto"/>
        </w:rPr>
        <w:t>Net cash used in financing activities was $192.4 million for the three months ended April 30, 2019, primary due to the repayment of debt and the repurchases of common stock. These cash outflows were offset in part by cash proceeds from the issuance of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three months ended April 30,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28</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March 1 - March 31</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28"/>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171.84</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0.6</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171.84</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jc w:val="both"/>
        <w:ind w:left="420" w:right="260" w:hanging="412"/>
        <w:spacing w:after="0" w:line="328"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amounts correspond to the plan approved by the Board of Directors in September 2016 that authorized the repurchase of 30.0 million shares. The plan does not have a fixed expiration date. See Note 15, “Stockholders' Deficit,” in the Notes to the unaudited Condensed Consolidated Financial Statements for further discussion.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April 30, 2019,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Annualized Recurring Revenue (ARR): </w:t>
      </w:r>
      <w:r>
        <w:rPr>
          <w:rFonts w:ascii="Arial" w:cs="Arial" w:eastAsia="Arial" w:hAnsi="Arial"/>
          <w:sz w:val="16"/>
          <w:szCs w:val="16"/>
          <w:color w:val="auto"/>
        </w:rPr>
        <w:t>Represents the annualized value of our average monthly recurring revenue for the preceding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Billings: </w:t>
      </w:r>
      <w:r>
        <w:rPr>
          <w:rFonts w:ascii="Arial" w:cs="Arial" w:eastAsia="Arial" w:hAnsi="Arial"/>
          <w:sz w:val="18"/>
          <w:szCs w:val="18"/>
          <w:color w:val="auto"/>
        </w:rPr>
        <w:t>Total revenue plus the net change in deferred revenue from the beginning to the end of the period.</w:t>
      </w:r>
    </w:p>
    <w:p>
      <w:pPr>
        <w:spacing w:after="0" w:line="225"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i w:val="1"/>
          <w:iCs w:val="1"/>
          <w:color w:val="auto"/>
        </w:rPr>
        <w:t xml:space="preserve">Cloud Service Offerings: </w:t>
      </w:r>
      <w:r>
        <w:rPr>
          <w:rFonts w:ascii="Arial" w:cs="Arial" w:eastAsia="Arial" w:hAnsi="Arial"/>
          <w:sz w:val="16"/>
          <w:szCs w:val="16"/>
          <w:color w:val="auto"/>
        </w:rPr>
        <w:t>Represents individual term-based offerings deployed through web browser technologies or in a hybrid software and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Cloud service offerings that are bundled with other product offerings are not captured as a separate cloud service offering.</w:t>
      </w:r>
    </w:p>
    <w:p>
      <w:pPr>
        <w:spacing w:after="0" w:line="12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Constant Currency (CC) Growth Rates: </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Core Business: </w:t>
      </w:r>
      <w:r>
        <w:rPr>
          <w:rFonts w:ascii="Arial" w:cs="Arial" w:eastAsia="Arial" w:hAnsi="Arial"/>
          <w:sz w:val="18"/>
          <w:szCs w:val="18"/>
          <w:color w:val="auto"/>
        </w:rPr>
        <w:t>Represents the combination of maintenance, product, and EBA.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ind w:right="160"/>
        <w:spacing w:after="0" w:line="277" w:lineRule="auto"/>
        <w:rPr>
          <w:sz w:val="20"/>
          <w:szCs w:val="20"/>
          <w:color w:val="auto"/>
        </w:rPr>
      </w:pPr>
      <w:r>
        <w:rPr>
          <w:rFonts w:ascii="Arial" w:cs="Arial" w:eastAsia="Arial" w:hAnsi="Arial"/>
          <w:sz w:val="18"/>
          <w:szCs w:val="18"/>
          <w:i w:val="1"/>
          <w:iCs w:val="1"/>
          <w:color w:val="auto"/>
        </w:rPr>
        <w:t xml:space="preserve">Enterprise Business Agreements (EBAs): </w:t>
      </w:r>
      <w:r>
        <w:rPr>
          <w:rFonts w:ascii="Arial" w:cs="Arial" w:eastAsia="Arial" w:hAnsi="Arial"/>
          <w:sz w:val="18"/>
          <w:szCs w:val="18"/>
          <w:color w:val="auto"/>
        </w:rPr>
        <w:t>Represents programs providing enterprise customers with token-based access or a fixed maximum number of seats</w:t>
      </w:r>
      <w:r>
        <w:rPr>
          <w:rFonts w:ascii="Arial" w:cs="Arial" w:eastAsia="Arial" w:hAnsi="Arial"/>
          <w:sz w:val="18"/>
          <w:szCs w:val="18"/>
          <w:i w:val="1"/>
          <w:iCs w:val="1"/>
          <w:color w:val="auto"/>
        </w:rPr>
        <w:t xml:space="preserve"> </w:t>
      </w:r>
      <w:r>
        <w:rPr>
          <w:rFonts w:ascii="Arial" w:cs="Arial" w:eastAsia="Arial" w:hAnsi="Arial"/>
          <w:sz w:val="18"/>
          <w:szCs w:val="18"/>
          <w:color w:val="auto"/>
        </w:rPr>
        <w:t>to a broad pool of Autodesk products over a defined contract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Cash flow from operating activities minus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Industry Collections: </w:t>
      </w:r>
      <w:r>
        <w:rPr>
          <w:rFonts w:ascii="Arial" w:cs="Arial" w:eastAsia="Arial" w:hAnsi="Arial"/>
          <w:sz w:val="17"/>
          <w:szCs w:val="17"/>
          <w:color w:val="auto"/>
        </w:rPr>
        <w:t>Autodesk Industry Collections are a combination of products and services that target a specific user objective and support a set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workflows for that objective. Our Industry Collections consist of: Autodesk Architecture, Engineering and Construction Collection, Autodesk Product Design</w:t>
      </w:r>
    </w:p>
    <w:p>
      <w:pPr>
        <w:spacing w:after="0" w:line="32" w:lineRule="exact"/>
        <w:rPr>
          <w:sz w:val="20"/>
          <w:szCs w:val="20"/>
          <w:color w:val="auto"/>
        </w:rPr>
      </w:pPr>
    </w:p>
    <w:p>
      <w:pPr>
        <w:ind w:right="100" w:firstLine="8"/>
        <w:spacing w:after="0" w:line="261"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Manufacturing Collection, and Autodesk Media and Entertainment Collection. We introduced Industry Collections effective August 1, 2016 to replace our suites.</w:t>
      </w:r>
    </w:p>
    <w:p>
      <w:pPr>
        <w:spacing w:after="0" w:line="18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Maintenance Plan: </w:t>
      </w:r>
      <w:r>
        <w:rPr>
          <w:rFonts w:ascii="Arial" w:cs="Arial" w:eastAsia="Arial" w:hAnsi="Arial"/>
          <w:sz w:val="16"/>
          <w:szCs w:val="16"/>
          <w:color w:val="auto"/>
        </w:rPr>
        <w:t>Our maintenance plans provide our customers with a cost effective and predictable budgetary option to obtain the productivity benefits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Net Revenue Retention Rate (NR3): </w:t>
      </w:r>
      <w:r>
        <w:rPr>
          <w:rFonts w:ascii="Arial" w:cs="Arial" w:eastAsia="Arial" w:hAnsi="Arial"/>
          <w:sz w:val="17"/>
          <w:szCs w:val="17"/>
          <w:color w:val="auto"/>
        </w:rPr>
        <w:t>Measures the year-over-year change in ARR for the population of customers that existed one year ago (“base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Net revenue retention rate is calculated by dividing the current period ARR related to base customers by the total ARR from one year ago. ARR is based on USD reported revenue, and fluctuations caused by changes in foreign currency exchange rates and hedge gains or losses have not been eliminated. ARR related to acquired companies is excluded from the calculation for at least one year from integration.</w:t>
      </w:r>
    </w:p>
    <w:p>
      <w:pPr>
        <w:spacing w:after="0" w:line="17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Other Revenue: </w:t>
      </w:r>
      <w:r>
        <w:rPr>
          <w:rFonts w:ascii="Arial" w:cs="Arial" w:eastAsia="Arial" w:hAnsi="Arial"/>
          <w:sz w:val="16"/>
          <w:szCs w:val="16"/>
          <w:color w:val="auto"/>
        </w:rPr>
        <w:t>Consists of revenue from consulting, training and other services, and is recognized over time as the services are performed.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also includes software license revenue from the sale of products that do not incorporate substantial cloud services and is recognized up front.</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Product Subscription: </w:t>
      </w:r>
      <w:r>
        <w:rPr>
          <w:rFonts w:ascii="Arial" w:cs="Arial" w:eastAsia="Arial" w:hAnsi="Arial"/>
          <w:sz w:val="18"/>
          <w:szCs w:val="18"/>
          <w:color w:val="auto"/>
        </w:rPr>
        <w:t>Provides customers the most flexible, cost-effective way to access and manage 3D design, engineering, and entertainment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tools. Our product subscriptions currently represent a hybrid of desktop and SaaS functionality, which provides a device-independent, collaborative design workflow for designers and their stakeholders.</w:t>
      </w:r>
    </w:p>
    <w:p>
      <w:pPr>
        <w:spacing w:after="0" w:line="181"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 xml:space="preserve">Recurring Revenue: </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 party products. Recurring revenue acquired with the acquisition of a business is captured when total subscriptions are captured in our systems and may cause variability in the comparison of this calculation.</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i w:val="1"/>
          <w:iCs w:val="1"/>
          <w:color w:val="auto"/>
        </w:rPr>
        <w:t xml:space="preserve">Subscription Plan: </w:t>
      </w:r>
      <w:r>
        <w:rPr>
          <w:rFonts w:ascii="Arial" w:cs="Arial" w:eastAsia="Arial" w:hAnsi="Arial"/>
          <w:sz w:val="17"/>
          <w:szCs w:val="17"/>
          <w:color w:val="auto"/>
        </w:rPr>
        <w:t>Comprises our term-based product subscriptions, cloud service offerings, and EBAs. Subscriptions represent a combined hybrid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Includes subscription fees from product subscriptions, cloud service offerings, and EBAs.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Total Deferred Revenue: </w:t>
      </w:r>
      <w:r>
        <w:rPr>
          <w:rFonts w:ascii="Arial" w:cs="Arial" w:eastAsia="Arial" w:hAnsi="Arial"/>
          <w:sz w:val="18"/>
          <w:szCs w:val="18"/>
          <w:color w:val="auto"/>
        </w:rPr>
        <w:t>Is the sum of total short term, long term, and unbilled deferred revenue.</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Unbilled Deferred Revenue: </w:t>
      </w:r>
      <w:r>
        <w:rPr>
          <w:rFonts w:ascii="Arial" w:cs="Arial" w:eastAsia="Arial" w:hAnsi="Arial"/>
          <w:sz w:val="16"/>
          <w:szCs w:val="16"/>
          <w:color w:val="auto"/>
        </w:rPr>
        <w:t>Unbilled deferred revenue represents contractually stated or committed orders under early renewal and multi-year billing plans</w:t>
      </w:r>
      <w:r>
        <w:rPr>
          <w:rFonts w:ascii="Arial" w:cs="Arial" w:eastAsia="Arial" w:hAnsi="Arial"/>
          <w:sz w:val="16"/>
          <w:szCs w:val="16"/>
          <w:i w:val="1"/>
          <w:iCs w:val="1"/>
          <w:color w:val="auto"/>
        </w:rPr>
        <w:t xml:space="preserve"> </w:t>
      </w:r>
      <w:r>
        <w:rPr>
          <w:rFonts w:ascii="Arial" w:cs="Arial" w:eastAsia="Arial" w:hAnsi="Arial"/>
          <w:sz w:val="16"/>
          <w:szCs w:val="16"/>
          <w:color w:val="auto"/>
        </w:rPr>
        <w:t>for 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2019, and January 31, 2019, we had open cash flow and balance sheet hedge contracts with future settlements within one to twelve months. Contracts were primarily denominated in euros, Japanese yen, British pounds, Canadian dollars, Australian dollars, Singapore dollars, Swiss francs, Swedish krona, and Czech krona. We do not enter into foreign exchange derivative instruments for trading or speculative purposes. The notional amount of our option and forward contracts was $1.27 billion and $1.38 billion at April 30, 2019, and January 31, 2019, respectively.</w:t>
      </w:r>
    </w:p>
    <w:p>
      <w:pPr>
        <w:spacing w:after="0" w:line="16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April 30, 2019, indicated that a hypothetical 10% appreciation of the U.S. dollar from its value at April 30, 2019, and January 31, 2019, would increase the fair value of our foreign currency contracts by $120.2 million and $123.4 million, respectively. A hypothetical 10% depreciation of the dollar from its value at April 30, 2019, and January 31, 2019, would decrease the fair value of our foreign currency contracts by $69.1 million and $98.3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Interest rate movements affect both the interest income we earn on our short-term investments and the market value of certain longer-term securities. At April 30, 2019, we had $458.3 million of cash equivalents and marketable securities, including $88.9 million classified as short-term marketable securities. If interest rates were to move up or down by 50 or 100 basis points over a twelve-month period, the market value change of our marketable securities would not have a material impact on our results of operations.</w:t>
      </w:r>
    </w:p>
    <w:p>
      <w:pPr>
        <w:spacing w:after="0" w:line="18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December 2018, we entered into a $500.0 million term loan facility, of which $375.0 million was outstanding as of April 30, 2019. The term loan bears interest, at Autodesk's option, at either (i) a floating rate per annum equal to the base rate plus a margin between 0.000% and 0.625%, depending on Autodesk's Public Debt Rating or (ii) a per annum rate equal to the 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A hypothetical increase or decrease of 50 or 100 basis points would not have a material impact on our results of operations. The term loan facility matures in December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8"/>
        <w:spacing w:after="0" w:line="252"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9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40" w:firstLine="39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Exchange Act) during the quarter ended April 30, 2019, that have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580" w:right="27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24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280" w:firstLine="392"/>
        <w:spacing w:after="0" w:line="302" w:lineRule="auto"/>
        <w:rPr>
          <w:sz w:val="20"/>
          <w:szCs w:val="20"/>
          <w:color w:val="auto"/>
        </w:rPr>
      </w:pPr>
      <w:r>
        <w:rPr>
          <w:rFonts w:ascii="Arial" w:cs="Arial" w:eastAsia="Arial" w:hAnsi="Arial"/>
          <w:sz w:val="16"/>
          <w:szCs w:val="16"/>
          <w:color w:val="auto"/>
        </w:rPr>
        <w:t>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4" w:lineRule="exact"/>
        <w:rPr>
          <w:sz w:val="20"/>
          <w:szCs w:val="20"/>
          <w:color w:val="auto"/>
        </w:rPr>
      </w:pPr>
    </w:p>
    <w:p>
      <w:pPr>
        <w:ind w:right="20" w:firstLine="392"/>
        <w:spacing w:after="0" w:line="286" w:lineRule="auto"/>
        <w:rPr>
          <w:sz w:val="20"/>
          <w:szCs w:val="20"/>
          <w:color w:val="auto"/>
        </w:rPr>
      </w:pPr>
      <w:r>
        <w:rPr>
          <w:rFonts w:ascii="Arial" w:cs="Arial" w:eastAsia="Arial" w:hAnsi="Arial"/>
          <w:sz w:val="17"/>
          <w:szCs w:val="17"/>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30 years ago, the software industry has undergone a transition from developing and selling perpetual licenses and on-premises products to cloud, mobile and social applications. Customers are also reconsidering the manner in which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It is uncertain whether these strategies will prove successful or whether we will be able to develop the necessary infrastructure and business models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1" w:name="page52"/>
    <w:bookmarkEnd w:id="51"/>
    <w:p>
      <w:pPr>
        <w:jc w:val="both"/>
        <w:ind w:right="80"/>
        <w:spacing w:after="0" w:line="257" w:lineRule="auto"/>
        <w:rPr>
          <w:sz w:val="20"/>
          <w:szCs w:val="20"/>
          <w:color w:val="auto"/>
        </w:rPr>
      </w:pPr>
      <w:r>
        <w:rPr>
          <w:rFonts w:ascii="Arial" w:cs="Arial" w:eastAsia="Arial" w:hAnsi="Arial"/>
          <w:sz w:val="18"/>
          <w:szCs w:val="18"/>
          <w:color w:val="auto"/>
        </w:rPr>
        <w:t>more quickly than our competitors. We are making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8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173"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business could suffer as a result of costs, charges and risks, including integration risks associated with strategic acquisitions and investments such as the recent acquisitions of Assemble Systems, PlanGrid and BuildingConnected.</w:t>
      </w:r>
    </w:p>
    <w:p>
      <w:pPr>
        <w:spacing w:after="0" w:line="170"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We regularly acquire or invest in businesses, software solutions and technologies that are complementary to our business through acquisitions, strategic alliances or equity or debt investments. For example, in fiscal 2019, we acquired Assemble Systems, PlanGrid and BuildingConnected. The risks associated with such acquisitions include, among others, the difficulty of assimilating solutions,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4" w:right="279" w:bottom="1440" w:gutter="0" w:footer="0" w:header="0"/>
        </w:sectPr>
      </w:pPr>
    </w:p>
    <w:bookmarkStart w:id="52" w:name="page53"/>
    <w:bookmarkEnd w:id="52"/>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are dependent on our international operations for a significant portion of our revenue. International net revenue represented 66% and 65% of our net revenue for the three months ended April 30, 2019 and 2018,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165"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fluctuating currency exchange rates, including devaluations, currency controls and inflation, and risks related to any hedging activities we undertake;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800" w:right="259" w:bottom="1440" w:gutter="0" w:footer="0" w:header="0"/>
        </w:sectPr>
      </w:pPr>
    </w:p>
    <w:bookmarkStart w:id="53" w:name="page54"/>
    <w:bookmarkEnd w:id="53"/>
    <w:p>
      <w:pPr>
        <w:ind w:left="420" w:right="2980" w:hanging="88"/>
        <w:spacing w:after="0" w:line="563" w:lineRule="auto"/>
        <w:tabs>
          <w:tab w:leader="none" w:pos="6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"Brexit" vote has exacerbated and may further exacerbate many of the risks and uncertainties described above. The withdrawal of the United Kingdom from the European Union could, among other potential outcomes, adversely affect the tax,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There remains significant risk that the United Kingdom will exit from the European Union without agreement between the European Union and United Kingdom on terms addressing customs and trade matters. Further, uncertainty around these and related issues could lead to adverse effects on the economy of the United Kingdom, European Union and the other economies in which we operate.</w:t>
      </w:r>
    </w:p>
    <w:p>
      <w:pPr>
        <w:spacing w:after="0" w:line="17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the current U.S. administration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7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w:t>
      </w:r>
    </w:p>
    <w:p>
      <w:pPr>
        <w:spacing w:after="0" w:line="118"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virtually impossible for us to entirely eliminate this risk.</w:t>
      </w:r>
    </w:p>
    <w:p>
      <w:pPr>
        <w:spacing w:after="0" w:line="149"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If any of the foregoing security incidents were to occur, our reputation may suffer, our competitive position may be diminished, customers may stop paying for our solutions and services, we could face regulatory inquiry, lawsuits and potential liability, and our financial performance could be negatively impacted.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strategy to digitize Autodesk involves increasing our use of cloud and web-based technologies and applications to leverage customer data to improve our offerings for the benefit of our customers. To accomplish this strategy, we must collect customer data, which may include personal data. Federal, state and foreign government privacy and data security laws apply to the treatment of personal data. Governments, regulators, the plaintiffs’ bar, privacy advocates and customers have increased their focus on how companies collect, process, use, store, share and transmit personal data.</w:t>
      </w:r>
    </w:p>
    <w:p>
      <w:pPr>
        <w:spacing w:after="0" w:line="13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General Data Protection Regulation ("GDPR") is applicable in all EU member states The GDPR introduced new data protection requirements in the EU and substantial fines for non-compliance. In addition, in June 2018, California enacted the California Consumer Privacy Act (the "CCPA"), which takes effect in January 2020. The CCPA will, among other things, give California residents expanded rights to access and delete their personal information, opt out of certain personal information sharing, and receive detailed information about how their personal information is used. The CCPA was amended in September 2018, and it is unclear whether further modifications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49" w:lineRule="exact"/>
        <w:rPr>
          <w:sz w:val="20"/>
          <w:szCs w:val="20"/>
          <w:color w:val="auto"/>
        </w:rPr>
      </w:pPr>
    </w:p>
    <w:p>
      <w:pPr>
        <w:ind w:right="40" w:firstLine="392"/>
        <w:spacing w:after="0" w:line="259" w:lineRule="auto"/>
        <w:rPr>
          <w:sz w:val="20"/>
          <w:szCs w:val="20"/>
          <w:color w:val="auto"/>
        </w:rPr>
      </w:pPr>
      <w:r>
        <w:rPr>
          <w:rFonts w:ascii="Arial" w:cs="Arial" w:eastAsia="Arial" w:hAnsi="Arial"/>
          <w:sz w:val="18"/>
          <w:szCs w:val="18"/>
          <w:color w:val="auto"/>
        </w:rPr>
        <w:t>The GDPR, CCPA and other state and global laws and regulations increased our responsibility and potential liability in relation to personal data, and we have and will continue to put in place additional processes and programs to demonstrate compliance. Any failure to comply with the GDPR or other data privacy laws could lead to government enforcement actions and significant penalties. Any perceived privacy right violation could result in reputational harm, third-party claims, lawsuits or investigations.</w:t>
      </w:r>
    </w:p>
    <w:p>
      <w:pPr>
        <w:spacing w:after="0" w:line="146" w:lineRule="exact"/>
        <w:rPr>
          <w:sz w:val="20"/>
          <w:szCs w:val="20"/>
          <w:color w:val="auto"/>
        </w:rPr>
      </w:pPr>
    </w:p>
    <w:p>
      <w:pPr>
        <w:ind w:right="160" w:firstLine="392"/>
        <w:spacing w:after="0" w:line="276" w:lineRule="auto"/>
        <w:rPr>
          <w:sz w:val="20"/>
          <w:szCs w:val="20"/>
          <w:color w:val="auto"/>
        </w:rPr>
      </w:pPr>
      <w:r>
        <w:rPr>
          <w:rFonts w:ascii="Arial" w:cs="Arial" w:eastAsia="Arial" w:hAnsi="Arial"/>
          <w:sz w:val="17"/>
          <w:szCs w:val="17"/>
          <w:color w:val="auto"/>
        </w:rPr>
        <w:t>Additionally, we store customer information and content and if our customers fail to comply with contractual obligations or applicable laws, it could result in litigation or reputational harm to us. The GDPR, CCPA other laws and self-regulatory codes may affect our ability to reach current and prospective customers, to understand how our offerings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offerings and services and result in more onerous contract obligations.</w:t>
      </w:r>
    </w:p>
    <w:p>
      <w:pPr>
        <w:spacing w:after="0" w:line="13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our reputation may suffer, our competitive position may be diminished, customers may buy fewer of our offerings and services, we could face lawsuits and potential liability, and our financial performance could be negatively impacted.</w:t>
      </w:r>
    </w:p>
    <w:p>
      <w:pPr>
        <w:spacing w:after="0" w:line="1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various services and materials that we use in the operation of our business and production of our solutions. The inability of such third parties to satisfy our requirements could disrupt our business operations or make it more difficult for us to implement our business strategy. If any of these situations were to occur, our reputation could be harmed, we could be subject to third-party liability, including under data protection and privacy laws in certain jurisdictions, and our financial performance could be negatively impacted.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584"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8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81" w:lineRule="exact"/>
        <w:rPr>
          <w:sz w:val="20"/>
          <w:szCs w:val="20"/>
          <w:color w:val="auto"/>
        </w:rPr>
      </w:pPr>
    </w:p>
    <w:p>
      <w:pPr>
        <w:jc w:val="both"/>
        <w:ind w:right="20" w:firstLine="392"/>
        <w:spacing w:after="0" w:line="302"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4" w:lineRule="exact"/>
        <w:rPr>
          <w:sz w:val="20"/>
          <w:szCs w:val="20"/>
          <w:color w:val="auto"/>
        </w:rPr>
      </w:pPr>
    </w:p>
    <w:p>
      <w:pPr>
        <w:ind w:right="28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jc w:val="both"/>
        <w:ind w:right="80" w:firstLine="392"/>
        <w:spacing w:after="0" w:line="279" w:lineRule="auto"/>
        <w:rPr>
          <w:sz w:val="20"/>
          <w:szCs w:val="20"/>
          <w:color w:val="auto"/>
        </w:rPr>
      </w:pPr>
      <w:r>
        <w:rPr>
          <w:rFonts w:ascii="Arial" w:cs="Arial" w:eastAsia="Arial" w:hAnsi="Arial"/>
          <w:sz w:val="17"/>
          <w:szCs w:val="17"/>
          <w:color w:val="auto"/>
        </w:rPr>
        <w:t>The software solutions that we offer are complex and, despite extensive testing and quality control, may contain errors, defects or vulnerabilities. Some errors, defects and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392"/>
        <w:spacing w:after="0" w:line="270" w:lineRule="auto"/>
        <w:rPr>
          <w:sz w:val="20"/>
          <w:szCs w:val="20"/>
          <w:color w:val="auto"/>
        </w:rPr>
      </w:pPr>
      <w:r>
        <w:rPr>
          <w:rFonts w:ascii="Arial" w:cs="Arial" w:eastAsia="Arial" w:hAnsi="Arial"/>
          <w:sz w:val="17"/>
          <w:szCs w:val="17"/>
          <w:color w:val="auto"/>
        </w:rPr>
        <w:t>The software industry has limited barriers to entry, and the availability of computing devices with continually expanding performance at progressively lower prices contributes to the ease of market entry. The software industry has undergone a transition from developing and selling perpetual licenses and on-premises products to cloud, mobile and social applications.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offerings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84" w:right="279" w:bottom="1440" w:gutter="0" w:footer="0" w:header="0"/>
        </w:sectPr>
      </w:pPr>
    </w:p>
    <w:bookmarkStart w:id="56" w:name="page57"/>
    <w:bookmarkEnd w:id="56"/>
    <w:p>
      <w:pPr>
        <w:ind w:right="40" w:firstLine="432"/>
        <w:spacing w:after="0" w:line="302" w:lineRule="auto"/>
        <w:rPr>
          <w:sz w:val="20"/>
          <w:szCs w:val="20"/>
          <w:color w:val="auto"/>
        </w:rPr>
      </w:pPr>
      <w:r>
        <w:rPr>
          <w:rFonts w:ascii="Arial" w:cs="Arial" w:eastAsia="Arial" w:hAnsi="Arial"/>
          <w:sz w:val="16"/>
          <w:szCs w:val="16"/>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countries in which we operate may be classified as highly inflationary economies, requiring special</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accounting and financial reporting treatment for such operations, or such countries’ currencies may be devalued, or both, which may adversely impact our business operations and financial results.</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subscriptions, our ability to generate revenue will be adversely affected.</w:t>
      </w:r>
    </w:p>
    <w:p>
      <w:pPr>
        <w:spacing w:after="0" w:line="181"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three months ended April 30, 2019 and 2018, approximately 70% and 71%,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67"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distributors Tech Data and Ingram Micro. Tech Data accounted for 35% and 34% of our total net revenue for the three months ended April 30, 2019 and 2018, respectively, and Ingram Micro accounted for 10% of our total net revenue for both the three months ended April 30, 2019 and 2018.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 However, if either distributor were to experience a significant disruption with its business, or if our relationship with either of them were to significantly deteriorate, it is possible that our ability to sell to resellers and end users would be, at least temporarily, negatively impacted. This could in turn negatively impact our financial results.</w:t>
      </w:r>
    </w:p>
    <w:p>
      <w:pPr>
        <w:spacing w:after="0" w:line="166"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Over time, we have modified and will continue to modify aspects of our relationship with our distributors and resellers, such as their incentive programs, pricing to them and our distribution model to motivate and reward them for aligning their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7" w:name="page58"/>
    <w:bookmarkEnd w:id="57"/>
    <w:p>
      <w:pPr>
        <w:spacing w:after="0" w:line="255" w:lineRule="auto"/>
        <w:rPr>
          <w:sz w:val="20"/>
          <w:szCs w:val="20"/>
          <w:color w:val="auto"/>
        </w:rPr>
      </w:pPr>
      <w:r>
        <w:rPr>
          <w:rFonts w:ascii="Arial" w:cs="Arial" w:eastAsia="Arial" w:hAnsi="Arial"/>
          <w:sz w:val="18"/>
          <w:szCs w:val="18"/>
          <w:color w:val="auto"/>
        </w:rPr>
        <w:t>businesses with our strategy and business objectives. Changes in these relationships and underlying programs could negatively impact their business and harm our business. Further, our distributors and resellers may lose confidence in our business, move to competitive products, or may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financial results fluctuate within each quarter and from quarter to quarter, making our future revenue and financial results difficult to predict.</w:t>
      </w:r>
    </w:p>
    <w:p>
      <w:pPr>
        <w:spacing w:after="0" w:line="23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produce sufficient revenue, ARR, billings, subscription, profitability and cash flow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Exchange Commission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584" w:right="299" w:bottom="1440" w:gutter="0" w:footer="0" w:header="0"/>
        </w:sectPr>
      </w:pPr>
    </w:p>
    <w:bookmarkStart w:id="58" w:name="page59"/>
    <w:bookmarkEnd w:id="58"/>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laws, regulations or tax accounting rules, such as increased use of fair value measures;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26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solutions, including our AutoCAD-based software products and collections, if these offerings are not successful, our revenue will be adversely affected.</w:t>
      </w:r>
    </w:p>
    <w:p>
      <w:pPr>
        <w:spacing w:after="0" w:line="1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2019 and 2018, combined revenue from our AutoCAD and AutoCAD LT products, not including collections having AutoCAD or AutoCAD LT as a component, represented 29% and 28% of our total net revenue,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25" w:lineRule="exact"/>
        <w:rPr>
          <w:sz w:val="20"/>
          <w:szCs w:val="20"/>
          <w:color w:val="auto"/>
        </w:rPr>
      </w:pPr>
    </w:p>
    <w:p>
      <w:pPr>
        <w:ind w:right="300" w:firstLine="392"/>
        <w:spacing w:after="0" w:line="277" w:lineRule="auto"/>
        <w:rPr>
          <w:sz w:val="20"/>
          <w:szCs w:val="20"/>
          <w:color w:val="auto"/>
        </w:rPr>
      </w:pPr>
      <w:r>
        <w:rPr>
          <w:rFonts w:ascii="Arial" w:cs="Arial" w:eastAsia="Arial" w:hAnsi="Arial"/>
          <w:sz w:val="18"/>
          <w:szCs w:val="18"/>
          <w:color w:val="auto"/>
        </w:rPr>
        <w:t>We have $1,963.3 million of debt, consisting of notes due at various times from June 2020 to June 2027 and a delayed draw term loan facility in the aggregate remaining principal amount of $375.0 million due in December 2020, each as described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800" w:right="299" w:bottom="1440" w:gutter="0" w:footer="0" w:header="0"/>
        </w:sectPr>
      </w:pPr>
    </w:p>
    <w:bookmarkStart w:id="59" w:name="page60"/>
    <w:bookmarkEnd w:id="59"/>
    <w:p>
      <w:pPr>
        <w:ind w:right="280"/>
        <w:spacing w:after="0" w:line="264" w:lineRule="auto"/>
        <w:rPr>
          <w:sz w:val="20"/>
          <w:szCs w:val="20"/>
          <w:color w:val="auto"/>
        </w:rPr>
      </w:pPr>
      <w:r>
        <w:rPr>
          <w:rFonts w:ascii="Arial" w:cs="Arial" w:eastAsia="Arial" w:hAnsi="Arial"/>
          <w:sz w:val="18"/>
          <w:szCs w:val="18"/>
          <w:color w:val="auto"/>
        </w:rPr>
        <w:t>in Part I, Item 1. We also entered into a credit agreement that provides for an unsecured revolving loan facility in the aggregate principal amount of $650.0 million, with an option to be increased up to $1.0 billion, as described in Part I, Item 1. Maintenance of our indebtedness, contractual restrictions, and additional issuances of indebtedness could:</w:t>
      </w:r>
    </w:p>
    <w:p>
      <w:pPr>
        <w:spacing w:after="0" w:line="18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cause us to dedicate a substantial portion of our cash flows from operations towards debt service obligations and principal repayments;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236" w:lineRule="exact"/>
        <w:rPr>
          <w:rFonts w:ascii="Arial" w:cs="Arial" w:eastAsia="Arial" w:hAnsi="Arial"/>
          <w:sz w:val="17"/>
          <w:szCs w:val="17"/>
          <w:color w:val="auto"/>
        </w:rPr>
      </w:pPr>
    </w:p>
    <w:p>
      <w:pPr>
        <w:ind w:left="660" w:right="14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18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We are required to comply with the covenants set forth in our debt instruments, such as an interest coverage ratio in effect January 31, 2019, and a leverage ratio in effect July 31, 2019. If we breach any of the covenants and do not obtain a waiver from the note holders or lenders, then, subject to applicable cure periods, we would not be able to incur additional indebtedness under the credit agreement described in Part I, Item 1, and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or have obtained and used information that we regard as proprietary. Policing unauthorized use of our software is time-consuming and costly. We are unable to measure the extent to which piracy of our software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more software patents are granted worldwide, the number of offerings and competitors in our industries grows. As the functionality of products in different industries overlaps, we expect that software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delays or require us to enter into royalty or licensing agreements. In addition, such royalty or license agreements, if required, may not be available on acceptable terms, if at all, which would likely harm our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0" w:name="page61"/>
    <w:bookmarkEnd w:id="60"/>
    <w:p>
      <w:pPr>
        <w:ind w:right="32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Net revenue, ARR, billings, earnings, cash flow, net revenue retention rate, or subscriptions shortfalls or the volatility of the market generally may cause the market price of our stock to decline.</w:t>
      </w:r>
    </w:p>
    <w:p>
      <w:pPr>
        <w:spacing w:after="0" w:line="170"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right="3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ARR, billings, earnings and cash flow or key performance metrics, such as Net revenue retention rate or subscriptions;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announcement of new offerings or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5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For example, the U.S. government enacted significant tax law changes in December 2017, the Tax Act, which impacted our tax obligations and effective tax rate beginning in our fiscal 2018 tax year. Increasingly, governmental tax authorities are scrutinizing corporate tax strategies. Many countries in the European Union, as well as other countries and organizations such as the Organization for Economic Cooperation and Development, are actively considering changes to existing tax laws that, if enacted, could increase our tax obligations in many countries where we do business. If the U.S. or foreign tax authorities change applicable tax laws or successfully challenge the manner in which our profits are currently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recognized, our overall taxes could increase, and our business, financial condition or results of operations may be adversely impacted.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in the interpretation and application of the Tax Act could materially affect our tax obligations and effective tax rate.</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Tax Act was enacted on December 22, 2017, and provided broad and significant changes to the U.S. tax code and how the U.S. imposes income tax on multinational corporations. Due to the complexity and varying interpretations of the Tax Act, the U.S. Department of Treasury has issued and will continue to issue regulations and interpretative guidance that could significantly impact how we will apply the law and the ultimate impact to our results of operations from the Tax Act.</w:t>
      </w:r>
    </w:p>
    <w:p>
      <w:pPr>
        <w:spacing w:after="0" w:line="187" w:lineRule="exact"/>
        <w:rPr>
          <w:sz w:val="20"/>
          <w:szCs w:val="20"/>
          <w:color w:val="auto"/>
        </w:rPr>
      </w:pPr>
    </w:p>
    <w:p>
      <w:pPr>
        <w:jc w:val="both"/>
        <w:ind w:right="400" w:firstLine="405"/>
        <w:spacing w:after="0" w:line="259" w:lineRule="auto"/>
        <w:rPr>
          <w:sz w:val="20"/>
          <w:szCs w:val="20"/>
          <w:color w:val="auto"/>
        </w:rPr>
      </w:pPr>
      <w:r>
        <w:rPr>
          <w:rFonts w:ascii="Arial" w:cs="Arial" w:eastAsia="Arial" w:hAnsi="Arial"/>
          <w:sz w:val="18"/>
          <w:szCs w:val="18"/>
          <w:color w:val="auto"/>
        </w:rPr>
        <w:t>The Tax Act requires complex computations to be performed that were not previously provided for in the U.S. tax law. These computations require significant judgments to be made regarding the interpretation of the provisions within the Tax Act and treasury regulations issued thereunder, along with preparation and analysis of information not previously required. As additional regulatory guidance is issued, we may make amendments to prior year tax returns.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6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condensed consolidated financial statements, which, if not accurate, may significantly impact our financial results.</w:t>
      </w:r>
    </w:p>
    <w:p>
      <w:pPr>
        <w:spacing w:after="0" w:line="1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make assumptions, judgments and estimates for a number of items, including revenue recognition for our hybrid desktop software and cloud service subscriptions,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3" w:name="page64"/>
    <w:bookmarkEnd w:id="63"/>
    <w:p>
      <w:pPr>
        <w:ind w:right="280"/>
        <w:spacing w:after="0" w:line="277"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solutions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ind w:right="16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firstLine="392"/>
        <w:spacing w:after="0" w:line="288"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and in fiscal 2018, we determined that it was more likely than not that Autodesk would not realize our U.S. and Singapore deferred tax assets and established a valuation allowance against the deferred tax assets in each respective jurisdiction. We continued to have a full valuation allowance against our U.S. and Singapore deferred tax assets in fiscal 2019.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2019.</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584" w:right="319" w:bottom="1440" w:gutter="0" w:footer="0" w:header="0"/>
        </w:sectPr>
      </w:pPr>
    </w:p>
    <w:bookmarkStart w:id="65" w:name="page66"/>
    <w:bookmarkEnd w:id="65"/>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840" w:type="dxa"/>
            <w:vAlign w:val="bottom"/>
          </w:tcPr>
          <w:p>
            <w:pPr>
              <w:spacing w:after="0"/>
              <w:rPr>
                <w:sz w:val="17"/>
                <w:szCs w:val="17"/>
                <w:color w:val="auto"/>
              </w:rPr>
            </w:pPr>
          </w:p>
        </w:tc>
        <w:tc>
          <w:tcPr>
            <w:tcW w:w="8240" w:type="dxa"/>
            <w:vAlign w:val="bottom"/>
            <w:gridSpan w:val="6"/>
          </w:tcPr>
          <w:p>
            <w:pPr>
              <w:ind w:left="2820"/>
              <w:spacing w:after="0"/>
              <w:rPr>
                <w:sz w:val="20"/>
                <w:szCs w:val="20"/>
                <w:color w:val="auto"/>
              </w:rPr>
            </w:pPr>
            <w:r>
              <w:rPr>
                <w:rFonts w:ascii="Arial" w:cs="Arial" w:eastAsia="Arial" w:hAnsi="Arial"/>
                <w:sz w:val="16"/>
                <w:szCs w:val="16"/>
                <w:color w:val="auto"/>
              </w:rPr>
              <w:t>Description</w:t>
            </w:r>
          </w:p>
        </w:tc>
      </w:tr>
      <w:tr>
        <w:trPr>
          <w:trHeight w:val="574"/>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56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Registrant's 2012 Outside Directors' Stock Plan Form of Restricted Stock Unit Agreement (filed herewith)</w:t>
              </w:r>
            </w:hyperlink>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72"/>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560" w:type="dxa"/>
            <w:vAlign w:val="bottom"/>
          </w:tcPr>
          <w:p>
            <w:pPr>
              <w:spacing w:after="0"/>
              <w:rPr>
                <w:sz w:val="24"/>
                <w:szCs w:val="24"/>
                <w:color w:val="auto"/>
              </w:rPr>
            </w:pPr>
          </w:p>
        </w:tc>
        <w:tc>
          <w:tcPr>
            <w:tcW w:w="10080" w:type="dxa"/>
            <w:vAlign w:val="bottom"/>
            <w:tcBorders>
              <w:bottom w:val="single" w:sz="8" w:color="0000FF"/>
            </w:tcBorders>
            <w:gridSpan w:val="7"/>
          </w:tcPr>
          <w:p>
            <w:pPr>
              <w:spacing w:after="0"/>
              <w:rPr>
                <w:rFonts w:ascii="Arial" w:cs="Arial" w:eastAsia="Arial" w:hAnsi="Arial"/>
                <w:sz w:val="16"/>
                <w:szCs w:val="16"/>
                <w:color w:val="0000FF"/>
                <w:w w:val="91"/>
              </w:rPr>
            </w:pPr>
            <w:hyperlink r:id="rId63">
              <w:r>
                <w:rPr>
                  <w:rFonts w:ascii="Arial" w:cs="Arial" w:eastAsia="Arial" w:hAnsi="Arial"/>
                  <w:sz w:val="16"/>
                  <w:szCs w:val="16"/>
                  <w:color w:val="0000FF"/>
                  <w:w w:val="91"/>
                </w:rPr>
                <w:t>Participants, target awards and payout formulas for fiscal year 2020 under the Registrant's Executive Incentive Plan (incorporated by reference to Item 5.02</w:t>
              </w:r>
            </w:hyperlink>
          </w:p>
        </w:tc>
      </w:tr>
      <w:tr>
        <w:trPr>
          <w:trHeight w:val="183"/>
        </w:trPr>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74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63">
              <w:r>
                <w:rPr>
                  <w:rFonts w:ascii="Arial" w:cs="Arial" w:eastAsia="Arial" w:hAnsi="Arial"/>
                  <w:sz w:val="16"/>
                  <w:szCs w:val="16"/>
                  <w:color w:val="0000FF"/>
                  <w:w w:val="92"/>
                </w:rPr>
                <w:t>of the Registrant's Current Report on Form 8-K filed on March 25, 2019)</w:t>
              </w:r>
            </w:hyperlink>
          </w:p>
        </w:tc>
        <w:tc>
          <w:tcPr>
            <w:tcW w:w="5340" w:type="dxa"/>
            <w:vAlign w:val="bottom"/>
            <w:gridSpan w:val="5"/>
          </w:tcPr>
          <w:p>
            <w:pPr>
              <w:spacing w:after="0"/>
              <w:rPr>
                <w:sz w:val="15"/>
                <w:szCs w:val="15"/>
                <w:color w:val="auto"/>
              </w:rPr>
            </w:pPr>
          </w:p>
        </w:tc>
      </w:tr>
      <w:tr>
        <w:trPr>
          <w:trHeight w:val="358"/>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56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Certification of Chief Executive Officer pursuant to Rule 13a-14(a) of the Securities Exchange Act of 1934</w:t>
              </w:r>
            </w:hyperlink>
          </w:p>
        </w:tc>
      </w:tr>
      <w:tr>
        <w:trPr>
          <w:trHeight w:val="426"/>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560" w:type="dxa"/>
            <w:vAlign w:val="bottom"/>
          </w:tcPr>
          <w:p>
            <w:pPr>
              <w:spacing w:after="0"/>
              <w:rPr>
                <w:sz w:val="24"/>
                <w:szCs w:val="24"/>
                <w:color w:val="auto"/>
              </w:rPr>
            </w:pPr>
          </w:p>
        </w:tc>
        <w:tc>
          <w:tcPr>
            <w:tcW w:w="6940" w:type="dxa"/>
            <w:vAlign w:val="bottom"/>
            <w:tcBorders>
              <w:top w:val="single" w:sz="8" w:color="0000FF"/>
            </w:tcBorders>
            <w:gridSpan w:val="5"/>
          </w:tcPr>
          <w:p>
            <w:pPr>
              <w:spacing w:after="0"/>
              <w:rPr>
                <w:rFonts w:ascii="Arial" w:cs="Arial" w:eastAsia="Arial" w:hAnsi="Arial"/>
                <w:sz w:val="16"/>
                <w:szCs w:val="16"/>
                <w:color w:val="0000FF"/>
                <w:w w:val="93"/>
              </w:rPr>
            </w:pPr>
            <w:hyperlink w:anchor="page74">
              <w:r>
                <w:rPr>
                  <w:rFonts w:ascii="Arial" w:cs="Arial" w:eastAsia="Arial" w:hAnsi="Arial"/>
                  <w:sz w:val="16"/>
                  <w:szCs w:val="16"/>
                  <w:color w:val="0000FF"/>
                  <w:w w:val="93"/>
                </w:rPr>
                <w:t>Certification of Chief Financial Officer pursuant to Rule 13a-14(a) of the Securities Exchange Act of 1934</w:t>
              </w:r>
            </w:hyperlink>
          </w:p>
        </w:tc>
        <w:tc>
          <w:tcPr>
            <w:tcW w:w="3140" w:type="dxa"/>
            <w:vAlign w:val="bottom"/>
            <w:gridSpan w:val="2"/>
          </w:tcPr>
          <w:p>
            <w:pPr>
              <w:spacing w:after="0"/>
              <w:rPr>
                <w:sz w:val="24"/>
                <w:szCs w:val="24"/>
                <w:color w:val="auto"/>
              </w:rPr>
            </w:pPr>
          </w:p>
        </w:tc>
      </w:tr>
      <w:tr>
        <w:trPr>
          <w:trHeight w:val="20"/>
        </w:trPr>
        <w:tc>
          <w:tcPr>
            <w:tcW w:w="126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60" w:type="dxa"/>
            <w:vAlign w:val="bottom"/>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Arial" w:cs="Arial" w:eastAsia="Arial" w:hAnsi="Arial"/>
                <w:sz w:val="16"/>
                <w:szCs w:val="16"/>
                <w:color w:val="auto"/>
              </w:rPr>
              <w:t>32.1 †</w:t>
            </w:r>
          </w:p>
        </w:tc>
        <w:tc>
          <w:tcPr>
            <w:tcW w:w="9500" w:type="dxa"/>
            <w:vAlign w:val="bottom"/>
            <w:tcBorders>
              <w:bottom w:val="single" w:sz="8" w:color="0000FF"/>
            </w:tcBorders>
            <w:gridSpan w:val="6"/>
          </w:tcPr>
          <w:p>
            <w:pPr>
              <w:spacing w:after="0"/>
              <w:rPr>
                <w:rFonts w:ascii="Arial" w:cs="Arial" w:eastAsia="Arial" w:hAnsi="Arial"/>
                <w:sz w:val="16"/>
                <w:szCs w:val="16"/>
                <w:color w:val="0000FF"/>
                <w:w w:val="92"/>
              </w:rPr>
            </w:pPr>
            <w:hyperlink w:anchor="page75">
              <w:r>
                <w:rPr>
                  <w:rFonts w:ascii="Arial" w:cs="Arial" w:eastAsia="Arial" w:hAnsi="Arial"/>
                  <w:sz w:val="16"/>
                  <w:szCs w:val="16"/>
                  <w:color w:val="0000FF"/>
                  <w:w w:val="92"/>
                </w:rPr>
                <w:t>Certification of Chief Executive Officer and Chief Financial Officer pursuant to 18 U.S.C. Section 1350, as adopted pursuant to Section 906 of the</w:t>
              </w:r>
            </w:hyperlink>
          </w:p>
        </w:tc>
        <w:tc>
          <w:tcPr>
            <w:tcW w:w="58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80" w:type="dxa"/>
            <w:vAlign w:val="bottom"/>
            <w:gridSpan w:val="7"/>
          </w:tcPr>
          <w:p>
            <w:pPr>
              <w:spacing w:after="0" w:line="183" w:lineRule="exact"/>
              <w:rPr>
                <w:rFonts w:ascii="Arial" w:cs="Arial" w:eastAsia="Arial" w:hAnsi="Arial"/>
                <w:sz w:val="16"/>
                <w:szCs w:val="16"/>
                <w:color w:val="0000FF"/>
              </w:rPr>
            </w:pPr>
            <w:hyperlink w:anchor="page75">
              <w:r>
                <w:rPr>
                  <w:rFonts w:ascii="Arial" w:cs="Arial" w:eastAsia="Arial" w:hAnsi="Arial"/>
                  <w:sz w:val="16"/>
                  <w:szCs w:val="16"/>
                  <w:color w:val="0000FF"/>
                </w:rPr>
                <w:t>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240" w:type="dxa"/>
            <w:vAlign w:val="bottom"/>
            <w:gridSpan w:val="6"/>
          </w:tcPr>
          <w:p>
            <w:pPr>
              <w:spacing w:after="0" w:line="20" w:lineRule="exact"/>
              <w:rPr>
                <w:sz w:val="1"/>
                <w:szCs w:val="1"/>
                <w:color w:val="auto"/>
              </w:rPr>
            </w:pPr>
          </w:p>
        </w:tc>
      </w:tr>
      <w:tr>
        <w:trPr>
          <w:trHeight w:val="389"/>
        </w:trPr>
        <w:tc>
          <w:tcPr>
            <w:tcW w:w="126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080" w:type="dxa"/>
            <w:vAlign w:val="bottom"/>
            <w:gridSpan w:val="7"/>
          </w:tcPr>
          <w:p>
            <w:pPr>
              <w:spacing w:after="0"/>
              <w:rPr>
                <w:sz w:val="20"/>
                <w:szCs w:val="20"/>
                <w:color w:val="auto"/>
              </w:rPr>
            </w:pPr>
            <w:r>
              <w:rPr>
                <w:rFonts w:ascii="Arial" w:cs="Arial" w:eastAsia="Arial" w:hAnsi="Arial"/>
                <w:sz w:val="16"/>
                <w:szCs w:val="16"/>
                <w:color w:val="auto"/>
                <w:w w:val="95"/>
              </w:rPr>
              <w:t>XBRL Instance Document - the instance document does not appear in the Interactive Data File because its XBRL tags are embedded within the Inline</w:t>
            </w:r>
          </w:p>
        </w:tc>
      </w:tr>
      <w:tr>
        <w:trPr>
          <w:trHeight w:val="206"/>
        </w:trPr>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6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080" w:type="dxa"/>
            <w:vAlign w:val="bottom"/>
            <w:gridSpan w:val="7"/>
          </w:tcPr>
          <w:p>
            <w:pPr>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08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080" w:type="dxa"/>
            <w:vAlign w:val="bottom"/>
            <w:gridSpan w:val="7"/>
          </w:tcPr>
          <w:p>
            <w:pPr>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08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26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08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ind w:left="720" w:hanging="685"/>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right="100" w:hanging="685"/>
        <w:spacing w:after="0" w:line="335" w:lineRule="auto"/>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66</w:t>
      </w:r>
    </w:p>
    <w:p>
      <w:pPr>
        <w:sectPr>
          <w:pgSz w:w="11900" w:h="16838" w:orient="portrait"/>
          <w:cols w:equalWidth="0" w:num="1">
            <w:col w:w="11380"/>
          </w:cols>
          <w:pgMar w:left="240" w:top="580" w:right="279" w:bottom="1440" w:gutter="0" w:footer="0" w:header="0"/>
        </w:sectPr>
      </w:pPr>
    </w:p>
    <w:bookmarkStart w:id="66" w:name="page67"/>
    <w:bookmarkEnd w:id="66"/>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4,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R. Scott Herren</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720"/>
          </w:cols>
          <w:pgMar w:left="240" w:top="580" w:right="9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AUTODESK,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OUTSIDE DIRECTOR STOCK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AND CONDITIONS OF RESTRICTED STOCK UNITS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(Settled in Shares)</w:t>
      </w:r>
    </w:p>
    <w:p>
      <w:pPr>
        <w:spacing w:after="0" w:line="200" w:lineRule="exact"/>
        <w:rPr>
          <w:sz w:val="20"/>
          <w:szCs w:val="20"/>
          <w:color w:val="auto"/>
        </w:rPr>
      </w:pPr>
    </w:p>
    <w:p>
      <w:pPr>
        <w:spacing w:after="0" w:line="251" w:lineRule="exact"/>
        <w:rPr>
          <w:sz w:val="20"/>
          <w:szCs w:val="20"/>
          <w:color w:val="auto"/>
        </w:rPr>
      </w:pPr>
    </w:p>
    <w:p>
      <w:pPr>
        <w:ind w:right="20" w:firstLine="656"/>
        <w:spacing w:after="0" w:line="305" w:lineRule="auto"/>
        <w:tabs>
          <w:tab w:leader="none" w:pos="176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(the “Participant”) named in the Notice of Grant of Restricted Stock Units (the “Notice of Grant”) under the 2012 Outside Director Stock Plan (as may be amended from time to time, the “Plan”) the number of Restricted Stock Units indicated on the Notice of Grant, subject to all of the terms and conditions in this agreement (together with the Notice of Grant, the “Agreement”), the director deferral election form (the “Director Deferral Election Form”), as applicable, and the Plan, which is incorporated herein by reference. When shares of the Company’s Common Stock (“Shares”) are issued to Participant in settlement of the Restricted Stock Units, par value shall be deemed paid by Participant for each Restricted Stock Unit by past services rendered by Participant. Unless otherwise defined herein, capitalized terms used herein shall have the meanings ascribed to them in the Plan.</w:t>
      </w:r>
    </w:p>
    <w:p>
      <w:pPr>
        <w:spacing w:after="0" w:line="373" w:lineRule="exact"/>
        <w:rPr>
          <w:rFonts w:ascii="Arial" w:cs="Arial" w:eastAsia="Arial" w:hAnsi="Arial"/>
          <w:sz w:val="18"/>
          <w:szCs w:val="18"/>
          <w:color w:val="auto"/>
        </w:rPr>
      </w:pPr>
    </w:p>
    <w:p>
      <w:pPr>
        <w:ind w:right="60" w:firstLine="656"/>
        <w:spacing w:after="0" w:line="263" w:lineRule="auto"/>
        <w:tabs>
          <w:tab w:leader="none" w:pos="977"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Company’s Obligation to Settle</w:t>
      </w:r>
      <w:r>
        <w:rPr>
          <w:rFonts w:ascii="Arial" w:cs="Arial" w:eastAsia="Arial" w:hAnsi="Arial"/>
          <w:sz w:val="19"/>
          <w:szCs w:val="19"/>
          <w:color w:val="auto"/>
        </w:rPr>
        <w:t>. Unless and until the Restricted Stock Units shall have vested in the manner set forth in paragraphs 3 or 4 of this Agreement or Section 13 of the Plan, Participant shall have no right to settlement of any such Restricted Stock Units. Prior to actual settlement of any vested Restricted Stock Units, such Restricted Stock Units shall represent an unsecured obligation of the Company. Settlement of any vested Restricted Stock Units will be made in whole Shares only.</w:t>
      </w:r>
    </w:p>
    <w:p>
      <w:pPr>
        <w:spacing w:after="0" w:line="392" w:lineRule="exact"/>
        <w:rPr>
          <w:rFonts w:ascii="Arial" w:cs="Arial" w:eastAsia="Arial" w:hAnsi="Arial"/>
          <w:sz w:val="19"/>
          <w:szCs w:val="19"/>
          <w:color w:val="auto"/>
        </w:rPr>
      </w:pPr>
    </w:p>
    <w:p>
      <w:pPr>
        <w:ind w:right="120" w:firstLine="656"/>
        <w:spacing w:after="0" w:line="244" w:lineRule="auto"/>
        <w:tabs>
          <w:tab w:leader="none" w:pos="97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paragraph 4 of this Agreement and Section 13 of the Plan, and subject to paragraph 5 of this Agreement, the Restricted Stock Units awarded by this Agreement shall vest in accordance with the vesting provisions set forth in the Notice of Grant and in accord with Section 10(a) of the Plan. Restricted Stock Units scheduled to vest on a certain date or upon the occurrence of a certain condition shall vest in accordance with the provisions of this Agreement subject to the Participant’s continued service with the Company as an Outside Director.</w:t>
      </w:r>
    </w:p>
    <w:p>
      <w:pPr>
        <w:spacing w:after="0" w:line="200" w:lineRule="exact"/>
        <w:rPr>
          <w:rFonts w:ascii="Arial" w:cs="Arial" w:eastAsia="Arial" w:hAnsi="Arial"/>
          <w:sz w:val="20"/>
          <w:szCs w:val="20"/>
          <w:color w:val="auto"/>
        </w:rPr>
      </w:pPr>
    </w:p>
    <w:p>
      <w:pPr>
        <w:spacing w:after="0" w:line="211" w:lineRule="exact"/>
        <w:rPr>
          <w:rFonts w:ascii="Arial" w:cs="Arial" w:eastAsia="Arial" w:hAnsi="Arial"/>
          <w:sz w:val="20"/>
          <w:szCs w:val="20"/>
          <w:color w:val="auto"/>
        </w:rPr>
      </w:pPr>
    </w:p>
    <w:p>
      <w:pPr>
        <w:jc w:val="both"/>
        <w:ind w:right="220" w:firstLine="656"/>
        <w:spacing w:after="0" w:line="282" w:lineRule="auto"/>
        <w:tabs>
          <w:tab w:leader="none" w:pos="97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Administrator Discretion</w:t>
      </w:r>
      <w:r>
        <w:rPr>
          <w:rFonts w:ascii="Arial" w:cs="Arial" w:eastAsia="Arial" w:hAnsi="Arial"/>
          <w:sz w:val="18"/>
          <w:szCs w:val="18"/>
          <w:color w:val="auto"/>
        </w:rPr>
        <w:t>. Except to the extent doing so would result in the imposition of additional taxes under Section 409A of the Code, the Administrator, in its discretion, may accelerate the vesting of the balance, or some lesser portion of the balance, of the unvested Restricted Stock Units at any time, subject to the terms of the Plan. If so accelerated, the balance, or such lesser portion of the balance as applicable, of the Restricted Stock Units shall be considered as having vested as of the date specified by the Administrator.</w:t>
      </w:r>
    </w:p>
    <w:p>
      <w:pPr>
        <w:spacing w:after="0" w:line="377" w:lineRule="exact"/>
        <w:rPr>
          <w:rFonts w:ascii="Arial" w:cs="Arial" w:eastAsia="Arial" w:hAnsi="Arial"/>
          <w:sz w:val="18"/>
          <w:szCs w:val="18"/>
          <w:color w:val="auto"/>
        </w:rPr>
      </w:pPr>
    </w:p>
    <w:p>
      <w:pPr>
        <w:ind w:right="140" w:firstLine="656"/>
        <w:spacing w:after="0" w:line="246" w:lineRule="auto"/>
        <w:tabs>
          <w:tab w:leader="none" w:pos="97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Forfeiture upon Termination of Service as an Outside Director</w:t>
      </w:r>
      <w:r>
        <w:rPr>
          <w:rFonts w:ascii="Arial" w:cs="Arial" w:eastAsia="Arial" w:hAnsi="Arial"/>
          <w:sz w:val="20"/>
          <w:szCs w:val="20"/>
          <w:color w:val="auto"/>
        </w:rPr>
        <w:t>. Subject to Section 7, the balance of the Restricted Stock Units that have not vested as of the time of Participant’s termination as an Outside Director for any or no reason shall be forfeited and automatically transferred to and reacquired by the Company at no cost to the Company and Participant’s right to acquire any Shares hereunder shall immediately terminate.</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firstLine="656"/>
        <w:spacing w:after="0" w:line="250" w:lineRule="auto"/>
        <w:tabs>
          <w:tab w:leader="none" w:pos="97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Distribution after Vesting</w:t>
      </w:r>
      <w:r>
        <w:rPr>
          <w:rFonts w:ascii="Arial" w:cs="Arial" w:eastAsia="Arial" w:hAnsi="Arial"/>
          <w:sz w:val="20"/>
          <w:szCs w:val="20"/>
          <w:color w:val="auto"/>
        </w:rPr>
        <w:t>. Unless the Participant has elected otherwise by timely executing a valid deferral election in a form acceptable to the Company with respect to Restricted Stock Units granted hereunder, any Restricted Stock Units that vest in accordance with the terms of this Agreement and the Plan will be distributed to Participant (or in the event of Participant’s death, to his or her estate) in whole Shares as soon as administratively practicable after vesting, subject to the other provisions of this Agreement, but, subject to Applicable Law, in no event later than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445" w:right="239" w:bottom="1440" w:gutter="0" w:footer="0" w:header="0"/>
        </w:sectPr>
      </w:pPr>
    </w:p>
    <w:bookmarkStart w:id="68" w:name="page69"/>
    <w:bookmarkEnd w:id="68"/>
    <w:p>
      <w:pPr>
        <w:spacing w:after="0" w:line="250" w:lineRule="auto"/>
        <w:rPr>
          <w:sz w:val="20"/>
          <w:szCs w:val="20"/>
          <w:color w:val="auto"/>
        </w:rPr>
      </w:pPr>
      <w:r>
        <w:rPr>
          <w:rFonts w:ascii="Arial" w:cs="Arial" w:eastAsia="Arial" w:hAnsi="Arial"/>
          <w:sz w:val="20"/>
          <w:szCs w:val="20"/>
          <w:color w:val="auto"/>
        </w:rPr>
        <w:t>the end of (i) the Company’s fiscal year in which the Restricted Stock Units vest or (ii) the calendar year in which the Restricted Stock Units vest, whichever is later. Any Restricted Stock Units that vest in accordance with paragraph 4 will be settled at the time(s) provided in paragraph 4, subject to the other provisions of this Agreement.</w:t>
      </w:r>
    </w:p>
    <w:p>
      <w:pPr>
        <w:spacing w:after="0" w:line="200" w:lineRule="exact"/>
        <w:rPr>
          <w:sz w:val="20"/>
          <w:szCs w:val="20"/>
          <w:color w:val="auto"/>
        </w:rPr>
      </w:pPr>
    </w:p>
    <w:p>
      <w:pPr>
        <w:spacing w:after="0" w:line="202"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Disability or Death of Participant</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right="720" w:firstLine="1305"/>
        <w:spacing w:after="0" w:line="287" w:lineRule="auto"/>
        <w:tabs>
          <w:tab w:leader="none" w:pos="1696" w:val="left"/>
        </w:tabs>
        <w:numPr>
          <w:ilvl w:val="1"/>
          <w:numId w:val="37"/>
        </w:numPr>
        <w:rPr>
          <w:rFonts w:ascii="Arial" w:cs="Arial" w:eastAsia="Arial" w:hAnsi="Arial"/>
          <w:sz w:val="19"/>
          <w:szCs w:val="19"/>
          <w:color w:val="auto"/>
        </w:rPr>
      </w:pPr>
      <w:r>
        <w:rPr>
          <w:rFonts w:ascii="Arial" w:cs="Arial" w:eastAsia="Arial" w:hAnsi="Arial"/>
          <w:sz w:val="19"/>
          <w:szCs w:val="19"/>
          <w:color w:val="auto"/>
        </w:rPr>
        <w:t>If Participant ceases to be an Outside Director by reason of his or her Disability during the term of this Award, all unvested Restricted Stock Units shall vest in full as of the date of such cessation of service due to such Disability.</w:t>
      </w:r>
    </w:p>
    <w:p>
      <w:pPr>
        <w:spacing w:after="0" w:line="368" w:lineRule="exact"/>
        <w:rPr>
          <w:rFonts w:ascii="Arial" w:cs="Arial" w:eastAsia="Arial" w:hAnsi="Arial"/>
          <w:sz w:val="19"/>
          <w:szCs w:val="19"/>
          <w:color w:val="auto"/>
        </w:rPr>
      </w:pPr>
    </w:p>
    <w:p>
      <w:pPr>
        <w:ind w:right="40" w:firstLine="1305"/>
        <w:spacing w:after="0" w:line="316" w:lineRule="auto"/>
        <w:tabs>
          <w:tab w:leader="none" w:pos="1707"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event of the death of Participant during the term of this Award and while an Outside Director, all unvested Restricted Stock Units shall vest in full as of the date of death. Upon such death, any distribution or delivery to be made to Participant under this Agreement shall be made to Participant’s designated beneficiary, provided such beneficiary has been designated prior to Participant’s death in a form acceptable to the Administrator or, if no such beneficiary has been designated or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356" w:lineRule="exact"/>
        <w:rPr>
          <w:rFonts w:ascii="Arial" w:cs="Arial" w:eastAsia="Arial" w:hAnsi="Arial"/>
          <w:sz w:val="16"/>
          <w:szCs w:val="16"/>
          <w:color w:val="auto"/>
        </w:rPr>
      </w:pPr>
    </w:p>
    <w:p>
      <w:pPr>
        <w:ind w:right="40" w:firstLine="656"/>
        <w:spacing w:after="0" w:line="243" w:lineRule="auto"/>
        <w:tabs>
          <w:tab w:leader="none" w:pos="97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Subject to Applicable Law, neither Participant nor any person claiming under or through Participant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Participant. After such issuance, recordation and delivery, Participant shall have all the rights of a stockholder of the Company with respect to voting such Shares and receipt of dividends and distributions on such Shares, subject to Applicable Law.</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right="120" w:firstLine="656"/>
        <w:spacing w:after="0" w:line="250" w:lineRule="auto"/>
        <w:tabs>
          <w:tab w:leader="none" w:pos="977"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xml:space="preserve">. Any notice to be given to the Company under the terms of this Agreement will be addressed to the Company at Autodesk, Inc., c/o Stock Administrator, </w:t>
      </w:r>
      <w:r>
        <w:rPr>
          <w:rFonts w:ascii="Arial" w:cs="Arial" w:eastAsia="Arial" w:hAnsi="Arial"/>
          <w:sz w:val="20"/>
          <w:szCs w:val="20"/>
          <w:b w:val="1"/>
          <w:bCs w:val="1"/>
          <w:color w:val="auto"/>
        </w:rPr>
        <w:t>111 McInnis Parkway, San Rafael, CA 94903</w:t>
      </w:r>
      <w:r>
        <w:rPr>
          <w:rFonts w:ascii="Arial" w:cs="Arial" w:eastAsia="Arial" w:hAnsi="Arial"/>
          <w:sz w:val="20"/>
          <w:szCs w:val="20"/>
          <w:color w:val="auto"/>
        </w:rPr>
        <w:t>, or at such other address as the Company may hereafter designate in writing.</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firstLine="656"/>
        <w:spacing w:after="0" w:line="278" w:lineRule="auto"/>
        <w:tabs>
          <w:tab w:leader="none" w:pos="107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paragraph 7, this Award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shall become null and void.</w:t>
      </w:r>
    </w:p>
    <w:p>
      <w:pPr>
        <w:spacing w:after="0" w:line="381" w:lineRule="exact"/>
        <w:rPr>
          <w:rFonts w:ascii="Arial" w:cs="Arial" w:eastAsia="Arial" w:hAnsi="Arial"/>
          <w:sz w:val="18"/>
          <w:szCs w:val="18"/>
          <w:color w:val="auto"/>
        </w:rPr>
      </w:pPr>
    </w:p>
    <w:p>
      <w:pPr>
        <w:ind w:right="60" w:firstLine="656"/>
        <w:spacing w:after="0" w:line="287" w:lineRule="auto"/>
        <w:tabs>
          <w:tab w:leader="none" w:pos="106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Binding Agreement</w:t>
      </w:r>
      <w:r>
        <w:rPr>
          <w:rFonts w:ascii="Arial" w:cs="Arial" w:eastAsia="Arial" w:hAnsi="Arial"/>
          <w:sz w:val="19"/>
          <w:szCs w:val="19"/>
          <w:color w:val="auto"/>
        </w:rPr>
        <w:t>. Subject to the limitation on the transferability of this grant contained herein, this Agreement shall be binding upon and inure to the benefit of the heirs, legatees, legal representatives, successors and assigns of the parties hereto.</w:t>
      </w:r>
    </w:p>
    <w:p>
      <w:pPr>
        <w:spacing w:after="0" w:line="368" w:lineRule="exact"/>
        <w:rPr>
          <w:rFonts w:ascii="Arial" w:cs="Arial" w:eastAsia="Arial" w:hAnsi="Arial"/>
          <w:sz w:val="19"/>
          <w:szCs w:val="19"/>
          <w:color w:val="auto"/>
        </w:rPr>
      </w:pPr>
    </w:p>
    <w:p>
      <w:pPr>
        <w:ind w:firstLine="656"/>
        <w:spacing w:after="0" w:line="263" w:lineRule="auto"/>
        <w:tabs>
          <w:tab w:leader="none" w:pos="107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The Company shall not be required to issue any certificate or certificates for Shares (in book entry form or otherwise) hereunder prior to fulfillment of all the following conditions: (a) the admission of such Shares to listing on all stock exchanges on which such class of stock is then listed; (b) the completion of any registration or other qualification of such Shares under any Applicable Law or under the rulings or regulations of the Securities and Exchange Commission or any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582" w:right="259" w:bottom="1440" w:gutter="0" w:footer="0" w:header="0"/>
        </w:sectPr>
      </w:pPr>
    </w:p>
    <w:bookmarkStart w:id="69" w:name="page70"/>
    <w:bookmarkEnd w:id="69"/>
    <w:p>
      <w:pPr>
        <w:ind w:right="100"/>
        <w:spacing w:after="0" w:line="263" w:lineRule="auto"/>
        <w:rPr>
          <w:sz w:val="20"/>
          <w:szCs w:val="20"/>
          <w:color w:val="auto"/>
        </w:rPr>
      </w:pPr>
      <w:r>
        <w:rPr>
          <w:rFonts w:ascii="Arial" w:cs="Arial" w:eastAsia="Arial" w:hAnsi="Arial"/>
          <w:sz w:val="19"/>
          <w:szCs w:val="19"/>
          <w:color w:val="auto"/>
        </w:rPr>
        <w:t>other governmental regulatory body, which the Administrator shall, in its absolute discretion, deem necessary or advisable; (c) the obtaining of any approval or other clearance from any governmental agency, which the Administrator shall, in its absolute discretion, determine to be necessary or advisable; and (d) the lapse of such reasonable period of time following the date of vesting of the Restricted Stock Units as the Administrator may establish from time to time for reasons of administrative convenience.</w:t>
      </w:r>
    </w:p>
    <w:p>
      <w:pPr>
        <w:spacing w:after="0" w:line="17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The Company shall make all reasonable efforts to meet the requirements of any such state or federal law or securities exchange and to obtain any such consent or approval of any such governmental authority. Participant’s sale of Shares may be subject to any market blackout period that may be imposed by the Company and must comply with the Company’s insider trading policies and any other applicable securities laws.</w:t>
      </w:r>
    </w:p>
    <w:p>
      <w:pPr>
        <w:spacing w:after="0" w:line="360" w:lineRule="exact"/>
        <w:rPr>
          <w:sz w:val="20"/>
          <w:szCs w:val="20"/>
          <w:color w:val="auto"/>
        </w:rPr>
      </w:pPr>
    </w:p>
    <w:p>
      <w:pPr>
        <w:ind w:right="280" w:firstLine="656"/>
        <w:spacing w:after="0" w:line="260" w:lineRule="auto"/>
        <w:tabs>
          <w:tab w:leader="none" w:pos="107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Agreement is subject to all terms and provisions of the Plan. In the event of a conflict between one or more provisions of this Agreement and one or more provisions of the Plan, the provisions of the Plan shall govern.</w:t>
      </w:r>
    </w:p>
    <w:p>
      <w:pPr>
        <w:spacing w:after="0" w:line="393" w:lineRule="exact"/>
        <w:rPr>
          <w:rFonts w:ascii="Arial" w:cs="Arial" w:eastAsia="Arial" w:hAnsi="Arial"/>
          <w:sz w:val="20"/>
          <w:szCs w:val="20"/>
          <w:color w:val="auto"/>
        </w:rPr>
      </w:pPr>
    </w:p>
    <w:p>
      <w:pPr>
        <w:ind w:right="60" w:firstLine="656"/>
        <w:spacing w:after="0" w:line="276" w:lineRule="auto"/>
        <w:tabs>
          <w:tab w:leader="none" w:pos="107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Administrator Authority</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shall be final and binding upon Participant, the 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spacing w:after="0" w:line="381" w:lineRule="exact"/>
        <w:rPr>
          <w:rFonts w:ascii="Arial" w:cs="Arial" w:eastAsia="Arial" w:hAnsi="Arial"/>
          <w:sz w:val="18"/>
          <w:szCs w:val="18"/>
          <w:color w:val="auto"/>
        </w:rPr>
      </w:pPr>
    </w:p>
    <w:p>
      <w:pPr>
        <w:ind w:right="40" w:firstLine="656"/>
        <w:spacing w:after="0" w:line="244" w:lineRule="auto"/>
        <w:tabs>
          <w:tab w:leader="none" w:pos="107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200" w:lineRule="exact"/>
        <w:rPr>
          <w:rFonts w:ascii="Arial" w:cs="Arial" w:eastAsia="Arial" w:hAnsi="Arial"/>
          <w:sz w:val="20"/>
          <w:szCs w:val="20"/>
          <w:color w:val="auto"/>
        </w:rPr>
      </w:pPr>
    </w:p>
    <w:p>
      <w:pPr>
        <w:spacing w:after="0" w:line="211" w:lineRule="exact"/>
        <w:rPr>
          <w:rFonts w:ascii="Arial" w:cs="Arial" w:eastAsia="Arial" w:hAnsi="Arial"/>
          <w:sz w:val="20"/>
          <w:szCs w:val="20"/>
          <w:color w:val="auto"/>
        </w:rPr>
      </w:pPr>
    </w:p>
    <w:p>
      <w:pPr>
        <w:ind w:right="280" w:firstLine="656"/>
        <w:spacing w:after="0" w:line="260" w:lineRule="auto"/>
        <w:tabs>
          <w:tab w:leader="none" w:pos="107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Agreement.</w:t>
      </w:r>
    </w:p>
    <w:p>
      <w:pPr>
        <w:spacing w:after="0" w:line="393" w:lineRule="exact"/>
        <w:rPr>
          <w:rFonts w:ascii="Arial" w:cs="Arial" w:eastAsia="Arial" w:hAnsi="Arial"/>
          <w:sz w:val="20"/>
          <w:szCs w:val="20"/>
          <w:color w:val="auto"/>
        </w:rPr>
      </w:pPr>
    </w:p>
    <w:p>
      <w:pPr>
        <w:jc w:val="both"/>
        <w:ind w:right="300" w:firstLine="656"/>
        <w:spacing w:after="0" w:line="250" w:lineRule="auto"/>
        <w:tabs>
          <w:tab w:leader="none" w:pos="107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ind w:right="160" w:firstLine="656"/>
        <w:spacing w:after="0" w:line="276" w:lineRule="auto"/>
        <w:tabs>
          <w:tab w:leader="none" w:pos="10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intent of the parties is that the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the Participant shall not be considered to have terminated service with the Company and its affiliates for purposes of this Agreement until the Participant would be considered to have incurred a “separation from service” within the meaning of Section 409A of the Code. Any payments described in this Agreement that are due within the “short-term deferral period” as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82" w:right="239" w:bottom="1440" w:gutter="0" w:footer="0" w:header="0"/>
        </w:sectPr>
      </w:pPr>
    </w:p>
    <w:bookmarkStart w:id="70" w:name="page71"/>
    <w:bookmarkEnd w:id="70"/>
    <w:p>
      <w:pPr>
        <w:ind w:right="40"/>
        <w:spacing w:after="0" w:line="244" w:lineRule="auto"/>
        <w:rPr>
          <w:sz w:val="20"/>
          <w:szCs w:val="20"/>
          <w:color w:val="auto"/>
        </w:rPr>
      </w:pPr>
      <w:r>
        <w:rPr>
          <w:rFonts w:ascii="Arial" w:cs="Arial" w:eastAsia="Arial" w:hAnsi="Arial"/>
          <w:sz w:val="20"/>
          <w:szCs w:val="20"/>
          <w:color w:val="auto"/>
        </w:rPr>
        <w:t>defined in Section 409A of the Code shall not be treated as deferred compensation unless applicable law requires otherwise. Notwithstanding anything to the contrary in this Agreement, to the extent that any payment (including Share delivery) is to be made upon a separation from service and such payment would result in the imposition of any individual penalty tax and late interest charges imposed under Section 409A of the Code, such payment shall instead be made on the first business day after the date that is six (6) months following such separation from service (or upon the Participant’s death, if earlier).</w:t>
      </w:r>
    </w:p>
    <w:p>
      <w:pPr>
        <w:spacing w:after="0" w:line="200" w:lineRule="exact"/>
        <w:rPr>
          <w:sz w:val="20"/>
          <w:szCs w:val="20"/>
          <w:color w:val="auto"/>
        </w:rPr>
      </w:pPr>
    </w:p>
    <w:p>
      <w:pPr>
        <w:spacing w:after="0" w:line="211" w:lineRule="exact"/>
        <w:rPr>
          <w:sz w:val="20"/>
          <w:szCs w:val="20"/>
          <w:color w:val="auto"/>
        </w:rPr>
      </w:pPr>
    </w:p>
    <w:p>
      <w:pPr>
        <w:ind w:firstLine="656"/>
        <w:spacing w:after="0" w:line="242" w:lineRule="auto"/>
        <w:tabs>
          <w:tab w:leader="none" w:pos="107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Modifications to the Agreement</w:t>
      </w:r>
      <w:r>
        <w:rPr>
          <w:rFonts w:ascii="Arial" w:cs="Arial" w:eastAsia="Arial" w:hAnsi="Arial"/>
          <w:sz w:val="20"/>
          <w:szCs w:val="20"/>
          <w:color w:val="auto"/>
        </w:rPr>
        <w:t>. This Agreement, the Plan, the Notice of Grant and, if any, the Director Deferral Election Form, constitute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409A of the Code or to otherwise avoid imposition of any additional tax or income recognition under Section 409A of the Code prior to the actual issuance of Shares pursuant to this Award of Restricted Stock Units.</w:t>
      </w:r>
    </w:p>
    <w:p>
      <w:pPr>
        <w:spacing w:after="0" w:line="200" w:lineRule="exact"/>
        <w:rPr>
          <w:rFonts w:ascii="Arial" w:cs="Arial" w:eastAsia="Arial" w:hAnsi="Arial"/>
          <w:sz w:val="20"/>
          <w:szCs w:val="20"/>
          <w:color w:val="auto"/>
        </w:rPr>
      </w:pPr>
    </w:p>
    <w:p>
      <w:pPr>
        <w:spacing w:after="0" w:line="213" w:lineRule="exact"/>
        <w:rPr>
          <w:rFonts w:ascii="Arial" w:cs="Arial" w:eastAsia="Arial" w:hAnsi="Arial"/>
          <w:sz w:val="20"/>
          <w:szCs w:val="20"/>
          <w:color w:val="auto"/>
        </w:rPr>
      </w:pPr>
    </w:p>
    <w:p>
      <w:pPr>
        <w:ind w:right="220" w:firstLine="656"/>
        <w:spacing w:after="0" w:line="342" w:lineRule="auto"/>
        <w:tabs>
          <w:tab w:leader="none" w:pos="107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334" w:lineRule="exact"/>
        <w:rPr>
          <w:rFonts w:ascii="Arial" w:cs="Arial" w:eastAsia="Arial" w:hAnsi="Arial"/>
          <w:sz w:val="16"/>
          <w:szCs w:val="16"/>
          <w:color w:val="auto"/>
        </w:rPr>
      </w:pPr>
    </w:p>
    <w:p>
      <w:pPr>
        <w:ind w:right="20" w:firstLine="656"/>
        <w:spacing w:after="0" w:line="244" w:lineRule="auto"/>
        <w:tabs>
          <w:tab w:leader="none" w:pos="1076"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Agreement shall be governed by the laws of the State of California, without giving effect to the conflict of law principles thereof. For purposes of litigating any dispute that arises under this Award of Restricted Stock Units or this Agreement, the parties hereby submit to and consent to the jurisdiction of the State of California, and agree that such litigation shall be conducted in the courts of </w:t>
      </w:r>
      <w:r>
        <w:rPr>
          <w:rFonts w:ascii="Arial" w:cs="Arial" w:eastAsia="Arial" w:hAnsi="Arial"/>
          <w:sz w:val="20"/>
          <w:szCs w:val="20"/>
          <w:b w:val="1"/>
          <w:bCs w:val="1"/>
          <w:color w:val="auto"/>
        </w:rPr>
        <w:t>Marin County, California</w:t>
      </w:r>
      <w:r>
        <w:rPr>
          <w:rFonts w:ascii="Arial" w:cs="Arial" w:eastAsia="Arial" w:hAnsi="Arial"/>
          <w:sz w:val="20"/>
          <w:szCs w:val="20"/>
          <w:color w:val="auto"/>
        </w:rPr>
        <w:t>, or the federal courts for the United States for the Northern District of California, and no other courts, where this Award of Restricted Stock Units is made and/or to be performed.</w:t>
      </w:r>
    </w:p>
    <w:p>
      <w:pPr>
        <w:spacing w:after="0" w:line="200" w:lineRule="exact"/>
        <w:rPr>
          <w:rFonts w:ascii="Arial" w:cs="Arial" w:eastAsia="Arial" w:hAnsi="Arial"/>
          <w:sz w:val="20"/>
          <w:szCs w:val="20"/>
          <w:color w:val="auto"/>
        </w:rPr>
      </w:pPr>
    </w:p>
    <w:p>
      <w:pPr>
        <w:spacing w:after="0" w:line="211" w:lineRule="exact"/>
        <w:rPr>
          <w:rFonts w:ascii="Arial" w:cs="Arial" w:eastAsia="Arial" w:hAnsi="Arial"/>
          <w:sz w:val="20"/>
          <w:szCs w:val="20"/>
          <w:color w:val="auto"/>
        </w:rPr>
      </w:pPr>
    </w:p>
    <w:p>
      <w:pPr>
        <w:ind w:left="1080" w:hanging="424"/>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Acknowledgements</w:t>
      </w:r>
      <w:r>
        <w:rPr>
          <w:rFonts w:ascii="Arial" w:cs="Arial" w:eastAsia="Arial" w:hAnsi="Arial"/>
          <w:sz w:val="20"/>
          <w:szCs w:val="20"/>
          <w:color w:val="auto"/>
        </w:rPr>
        <w:t>. In accepting this Restricted Stock Unit Award, Participant acknowledges that:</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right="80" w:firstLine="1305"/>
        <w:spacing w:after="0" w:line="278" w:lineRule="auto"/>
        <w:tabs>
          <w:tab w:leader="none" w:pos="169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notice period mandated under Applicable Laws shall not be treated as continuous service for the purpose of determining the vesting of the Restricted Stock Unit Award; and Participant’s right to receive Shares in settlement of the Restricted Stock Unit Award after termination of service, if any, will be measured by the date of termination of Participant’s service and will not be extended by any notice period mandated under Applicable Laws. Subject to the foregoing and the provisions of the Plan, the Company, in its sole discretion, shall determine whether Participant’s service has terminated and the effective date of such termination.</w:t>
      </w:r>
    </w:p>
    <w:p>
      <w:pPr>
        <w:spacing w:after="0" w:line="381" w:lineRule="exact"/>
        <w:rPr>
          <w:rFonts w:ascii="Arial" w:cs="Arial" w:eastAsia="Arial" w:hAnsi="Arial"/>
          <w:sz w:val="18"/>
          <w:szCs w:val="18"/>
          <w:color w:val="auto"/>
        </w:rPr>
      </w:pPr>
    </w:p>
    <w:p>
      <w:pPr>
        <w:ind w:right="580" w:firstLine="1305"/>
        <w:spacing w:after="0" w:line="287" w:lineRule="auto"/>
        <w:tabs>
          <w:tab w:leader="none" w:pos="1707"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368" w:lineRule="exact"/>
        <w:rPr>
          <w:rFonts w:ascii="Arial" w:cs="Arial" w:eastAsia="Arial" w:hAnsi="Arial"/>
          <w:sz w:val="19"/>
          <w:szCs w:val="19"/>
          <w:color w:val="auto"/>
        </w:rPr>
      </w:pPr>
    </w:p>
    <w:p>
      <w:pPr>
        <w:ind w:right="20" w:firstLine="1305"/>
        <w:spacing w:after="0" w:line="250" w:lineRule="auto"/>
        <w:tabs>
          <w:tab w:leader="none" w:pos="1696"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grant of this Restricted Stock Unit Award is a one-time benefit which does not create any contractual or other right to receive future grants of Restricted Stock Units, or benefits in lieu of Restricted Stock Units. All decisions with respect to future Restricted Stock Unit grants, if any, will be at the sole discretion of the Company.</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60"/>
          </w:cols>
          <w:pgMar w:left="240" w:top="582" w:right="299" w:bottom="1440" w:gutter="0" w:footer="0" w:header="0"/>
        </w:sectPr>
      </w:pPr>
    </w:p>
    <w:bookmarkStart w:id="71" w:name="page72"/>
    <w:bookmarkEnd w:id="71"/>
    <w:p>
      <w:pPr>
        <w:ind w:left="1640" w:hanging="415"/>
        <w:spacing w:after="0"/>
        <w:tabs>
          <w:tab w:leader="none" w:pos="1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Participant’s participation in the Plan shall not create a right to continued service with the Company (or any Subsidiary).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395"/>
        <w:spacing w:after="0"/>
        <w:tabs>
          <w:tab w:leader="none" w:pos="16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00" w:lineRule="exact"/>
        <w:rPr>
          <w:rFonts w:ascii="Arial" w:cs="Arial" w:eastAsia="Arial" w:hAnsi="Arial"/>
          <w:sz w:val="20"/>
          <w:szCs w:val="20"/>
          <w:color w:val="auto"/>
        </w:rPr>
      </w:pPr>
    </w:p>
    <w:p>
      <w:pPr>
        <w:spacing w:after="0" w:line="231" w:lineRule="exact"/>
        <w:rPr>
          <w:rFonts w:ascii="Arial" w:cs="Arial" w:eastAsia="Arial" w:hAnsi="Arial"/>
          <w:sz w:val="20"/>
          <w:szCs w:val="20"/>
          <w:color w:val="auto"/>
        </w:rPr>
      </w:pPr>
    </w:p>
    <w:p>
      <w:pPr>
        <w:ind w:left="-80" w:firstLine="1305"/>
        <w:spacing w:after="0" w:line="260" w:lineRule="auto"/>
        <w:tabs>
          <w:tab w:leader="none" w:pos="1594"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If Participant obtains Shares upon settlement of the Restricted Stock Unit Award, the value of those Shares may increase or decrease.</w:t>
      </w:r>
    </w:p>
    <w:p>
      <w:pPr>
        <w:spacing w:after="0" w:line="393" w:lineRule="exact"/>
        <w:rPr>
          <w:rFonts w:ascii="Arial" w:cs="Arial" w:eastAsia="Arial" w:hAnsi="Arial"/>
          <w:sz w:val="20"/>
          <w:szCs w:val="20"/>
          <w:color w:val="auto"/>
        </w:rPr>
      </w:pPr>
    </w:p>
    <w:p>
      <w:pPr>
        <w:ind w:left="-80" w:right="380" w:firstLine="1305"/>
        <w:spacing w:after="0" w:line="260" w:lineRule="auto"/>
        <w:tabs>
          <w:tab w:leader="none" w:pos="1627"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This Restricted Stock Unit Award has been granted to Participant in Participant’s status as an Outside Director of the Company or its Subsidiaries.</w:t>
      </w:r>
    </w:p>
    <w:p>
      <w:pPr>
        <w:spacing w:after="0" w:line="393" w:lineRule="exact"/>
        <w:rPr>
          <w:rFonts w:ascii="Arial" w:cs="Arial" w:eastAsia="Arial" w:hAnsi="Arial"/>
          <w:sz w:val="20"/>
          <w:szCs w:val="20"/>
          <w:color w:val="auto"/>
        </w:rPr>
      </w:pPr>
    </w:p>
    <w:p>
      <w:pPr>
        <w:ind w:left="1640" w:hanging="415"/>
        <w:spacing w:after="0"/>
        <w:tabs>
          <w:tab w:leader="none" w:pos="16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claims resulting from this Restricted Stock Unit Award shall be enforceable, if at all, against the Company.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60"/>
          </w:cols>
          <w:pgMar w:left="320" w:top="582" w:right="3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2019</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2019</w:t>
      </w:r>
    </w:p>
    <w:p>
      <w:pPr>
        <w:spacing w:after="0" w:line="252"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ectPr>
          <w:pgSz w:w="11900" w:h="16838" w:orient="portrait"/>
          <w:cols w:equalWidth="0" w:num="1">
            <w:col w:w="11420"/>
          </w:cols>
          <w:pgMar w:left="240" w:top="66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April 30, 2019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4, 2019</w:t>
      </w:r>
    </w:p>
    <w:p>
      <w:pPr>
        <w:spacing w:after="0" w:line="252"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(Principal Executive Officer)</w:t>
      </w:r>
    </w:p>
    <w:p>
      <w:pPr>
        <w:spacing w:after="0" w:line="34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April 30, 2019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4, 2019</w:t>
      </w:r>
    </w:p>
    <w:p>
      <w:pPr>
        <w:spacing w:after="0" w:line="25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(Principal Financial Officer and Principal Accounting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6"/>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amp;"/>
      <w:numFmt w:val="bullet"/>
      <w:start w:val="1"/>
    </w:lvl>
  </w:abstractNum>
  <w:abstractNum w:abstractNumId="24">
    <w:nsid w:val="3006C83E"/>
    <w:multiLevelType w:val="hybridMultilevel"/>
    <w:lvl w:ilvl="0">
      <w:lvlJc w:val="left"/>
      <w:lvlText w:val="(%1)"/>
      <w:numFmt w:val="lowerRoman"/>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7"/>
    </w:lvl>
    <w:lvl w:ilvl="1">
      <w:lvlJc w:val="left"/>
      <w:lvlText w:val="(%2)"/>
      <w:numFmt w:val="lowerLetter"/>
      <w:start w:val="1"/>
    </w:lvl>
  </w:abstractNum>
  <w:abstractNum w:abstractNumId="37">
    <w:nsid w:val="2D517796"/>
    <w:multiLevelType w:val="hybridMultilevel"/>
    <w:lvl w:ilvl="0">
      <w:lvlJc w:val="left"/>
      <w:lvlText w:val="%1."/>
      <w:numFmt w:val="decimal"/>
      <w:start w:val="13"/>
    </w:lvl>
  </w:abstractNum>
  <w:abstractNum w:abstractNumId="38">
    <w:nsid w:val="580BD78F"/>
    <w:multiLevelType w:val="hybridMultilevel"/>
    <w:lvl w:ilvl="0">
      <w:lvlJc w:val="left"/>
      <w:lvlText w:val="%1."/>
      <w:numFmt w:val="decimal"/>
      <w:start w:val="19"/>
    </w:lvl>
    <w:lvl w:ilvl="1">
      <w:lvlJc w:val="left"/>
      <w:lvlText w:val="(%2)"/>
      <w:numFmt w:val="lowerLetter"/>
      <w:start w:val="1"/>
    </w:lvl>
  </w:abstractNum>
  <w:abstractNum w:abstractNumId="39">
    <w:nsid w:val="153EA438"/>
    <w:multiLevelType w:val="hybridMultilevel"/>
    <w:lvl w:ilvl="0">
      <w:lvlJc w:val="left"/>
      <w:lvlText w:val="(%1)"/>
      <w:numFmt w:val="lowerLetter"/>
      <w:start w:val="4"/>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3" Type="http://schemas.openxmlformats.org/officeDocument/2006/relationships/hyperlink" Target="http://www.sec.gov/Archives/edgar/data/769397/000076939719000017/form8-kx2019xmarchx21item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2019-12-28T11:27:54Z</dcterms:created>
  <dcterms:modified xsi:type="dcterms:W3CDTF">2019-12-28T11:27:54Z</dcterms:modified>
</cp:coreProperties>
</file>