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64"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48"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fiscal year ended January 31, 2011</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1934</w:t>
      </w:r>
    </w:p>
    <w:p>
      <w:pPr>
        <w:sectPr>
          <w:pgSz w:w="11900" w:h="16838" w:orient="portrait"/>
          <w:cols w:equalWidth="0" w:num="1">
            <w:col w:w="11420"/>
          </w:cols>
          <w:pgMar w:left="240" w:top="230" w:right="239" w:bottom="1440" w:gutter="0" w:footer="0" w:header="0"/>
        </w:sectPr>
      </w:pPr>
    </w:p>
    <w:p>
      <w:pPr>
        <w:spacing w:after="0" w:line="4"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70" w:lineRule="exact"/>
        <w:rPr>
          <w:sz w:val="24"/>
          <w:szCs w:val="24"/>
          <w:color w:val="auto"/>
        </w:rPr>
      </w:pPr>
    </w:p>
    <w:p>
      <w:pPr>
        <w:sectPr>
          <w:pgSz w:w="11900" w:h="16838" w:orient="portrait"/>
          <w:cols w:equalWidth="0" w:num="2">
            <w:col w:w="2820" w:space="620"/>
            <w:col w:w="798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0-14338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115570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194" w:lineRule="exact"/>
        <w:rPr>
          <w:sz w:val="24"/>
          <w:szCs w:val="24"/>
          <w:color w:val="auto"/>
        </w:rPr>
      </w:pPr>
    </w:p>
    <w:tbl>
      <w:tblPr>
        <w:tblLayout w:type="fixed"/>
        <w:tblInd w:w="1700" w:type="dxa"/>
        <w:tblCellMar>
          <w:top w:w="0" w:type="dxa"/>
          <w:left w:w="0" w:type="dxa"/>
          <w:bottom w:w="0" w:type="dxa"/>
          <w:right w:w="0" w:type="dxa"/>
        </w:tblCellMar>
      </w:tblPr>
      <w:tr>
        <w:trPr>
          <w:trHeight w:val="393"/>
        </w:trPr>
        <w:tc>
          <w:tcPr>
            <w:tcW w:w="2380" w:type="dxa"/>
            <w:vAlign w:val="bottom"/>
          </w:tcPr>
          <w:p>
            <w:pPr>
              <w:spacing w:after="0"/>
              <w:rPr>
                <w:sz w:val="24"/>
                <w:szCs w:val="24"/>
                <w:color w:val="auto"/>
              </w:rPr>
            </w:pPr>
          </w:p>
        </w:tc>
        <w:tc>
          <w:tcPr>
            <w:tcW w:w="5180" w:type="dxa"/>
            <w:vAlign w:val="bottom"/>
          </w:tcPr>
          <w:p>
            <w:pPr>
              <w:jc w:val="center"/>
              <w:ind w:right="1833"/>
              <w:spacing w:after="0"/>
              <w:rPr>
                <w:sz w:val="20"/>
                <w:szCs w:val="20"/>
                <w:color w:val="auto"/>
              </w:rPr>
            </w:pPr>
            <w:r>
              <w:rPr>
                <w:rFonts w:ascii="Arial" w:cs="Arial" w:eastAsia="Arial" w:hAnsi="Arial"/>
                <w:sz w:val="32"/>
                <w:szCs w:val="32"/>
                <w:b w:val="1"/>
                <w:bCs w:val="1"/>
                <w:color w:val="auto"/>
              </w:rPr>
              <w:t>AUTODESK, INC.</w:t>
            </w:r>
          </w:p>
        </w:tc>
      </w:tr>
      <w:tr>
        <w:trPr>
          <w:trHeight w:val="174"/>
        </w:trPr>
        <w:tc>
          <w:tcPr>
            <w:tcW w:w="2380" w:type="dxa"/>
            <w:vAlign w:val="bottom"/>
          </w:tcPr>
          <w:p>
            <w:pPr>
              <w:spacing w:after="0"/>
              <w:rPr>
                <w:sz w:val="15"/>
                <w:szCs w:val="15"/>
                <w:color w:val="auto"/>
              </w:rPr>
            </w:pPr>
          </w:p>
        </w:tc>
        <w:tc>
          <w:tcPr>
            <w:tcW w:w="5180" w:type="dxa"/>
            <w:vAlign w:val="bottom"/>
          </w:tcPr>
          <w:p>
            <w:pPr>
              <w:jc w:val="center"/>
              <w:ind w:right="183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18"/>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8"/>
              </w:rPr>
              <w:t>Delaware</w:t>
            </w:r>
          </w:p>
        </w:tc>
        <w:tc>
          <w:tcPr>
            <w:tcW w:w="5180" w:type="dxa"/>
            <w:vAlign w:val="bottom"/>
          </w:tcPr>
          <w:p>
            <w:pPr>
              <w:jc w:val="right"/>
              <w:ind w:right="13"/>
              <w:spacing w:after="0"/>
              <w:rPr>
                <w:sz w:val="20"/>
                <w:szCs w:val="20"/>
                <w:color w:val="auto"/>
              </w:rPr>
            </w:pPr>
            <w:r>
              <w:rPr>
                <w:rFonts w:ascii="Arial" w:cs="Arial" w:eastAsia="Arial" w:hAnsi="Arial"/>
                <w:sz w:val="18"/>
                <w:szCs w:val="18"/>
                <w:b w:val="1"/>
                <w:bCs w:val="1"/>
                <w:color w:val="auto"/>
              </w:rPr>
              <w:t>94-2819853</w:t>
            </w:r>
          </w:p>
        </w:tc>
      </w:tr>
      <w:tr>
        <w:trPr>
          <w:trHeight w:val="149"/>
        </w:trPr>
        <w:tc>
          <w:tcPr>
            <w:tcW w:w="23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5180" w:type="dxa"/>
            <w:vAlign w:val="bottom"/>
          </w:tcPr>
          <w:p>
            <w:pPr>
              <w:jc w:val="center"/>
              <w:ind w:left="4053"/>
              <w:spacing w:after="0" w:line="149" w:lineRule="exact"/>
              <w:rPr>
                <w:sz w:val="20"/>
                <w:szCs w:val="20"/>
                <w:color w:val="auto"/>
              </w:rPr>
            </w:pPr>
            <w:r>
              <w:rPr>
                <w:rFonts w:ascii="Arial" w:cs="Arial" w:eastAsia="Arial" w:hAnsi="Arial"/>
                <w:sz w:val="14"/>
                <w:szCs w:val="14"/>
                <w:b w:val="1"/>
                <w:bCs w:val="1"/>
                <w:color w:val="auto"/>
                <w:w w:val="90"/>
              </w:rPr>
              <w:t>(I.R.S. employer</w:t>
            </w:r>
          </w:p>
        </w:tc>
      </w:tr>
      <w:tr>
        <w:trPr>
          <w:trHeight w:val="174"/>
        </w:trPr>
        <w:tc>
          <w:tcPr>
            <w:tcW w:w="2380" w:type="dxa"/>
            <w:vAlign w:val="bottom"/>
          </w:tcPr>
          <w:p>
            <w:pPr>
              <w:jc w:val="center"/>
              <w:ind w:right="82"/>
              <w:spacing w:after="0"/>
              <w:rPr>
                <w:sz w:val="20"/>
                <w:szCs w:val="20"/>
                <w:color w:val="auto"/>
              </w:rPr>
            </w:pPr>
            <w:r>
              <w:rPr>
                <w:rFonts w:ascii="Arial" w:cs="Arial" w:eastAsia="Arial" w:hAnsi="Arial"/>
                <w:sz w:val="14"/>
                <w:szCs w:val="14"/>
                <w:b w:val="1"/>
                <w:bCs w:val="1"/>
                <w:color w:val="auto"/>
                <w:w w:val="87"/>
              </w:rPr>
              <w:t>of incorporation or organization)</w:t>
            </w:r>
          </w:p>
        </w:tc>
        <w:tc>
          <w:tcPr>
            <w:tcW w:w="5180" w:type="dxa"/>
            <w:vAlign w:val="bottom"/>
          </w:tcPr>
          <w:p>
            <w:pPr>
              <w:jc w:val="center"/>
              <w:ind w:left="4053"/>
              <w:spacing w:after="0"/>
              <w:rPr>
                <w:sz w:val="20"/>
                <w:szCs w:val="20"/>
                <w:color w:val="auto"/>
              </w:rPr>
            </w:pPr>
            <w:r>
              <w:rPr>
                <w:rFonts w:ascii="Arial" w:cs="Arial" w:eastAsia="Arial" w:hAnsi="Arial"/>
                <w:sz w:val="14"/>
                <w:szCs w:val="14"/>
                <w:b w:val="1"/>
                <w:bCs w:val="1"/>
                <w:color w:val="auto"/>
                <w:w w:val="87"/>
              </w:rPr>
              <w:t>Identification No.)</w:t>
            </w:r>
          </w:p>
        </w:tc>
      </w:tr>
      <w:tr>
        <w:trPr>
          <w:trHeight w:val="378"/>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9"/>
              </w:rPr>
              <w:t>111 McInnis Parkway,</w:t>
            </w:r>
          </w:p>
        </w:tc>
        <w:tc>
          <w:tcPr>
            <w:tcW w:w="5180" w:type="dxa"/>
            <w:vAlign w:val="bottom"/>
          </w:tcPr>
          <w:p>
            <w:pPr>
              <w:spacing w:after="0"/>
              <w:rPr>
                <w:sz w:val="24"/>
                <w:szCs w:val="24"/>
                <w:color w:val="auto"/>
              </w:rPr>
            </w:pPr>
          </w:p>
        </w:tc>
      </w:tr>
      <w:tr>
        <w:trPr>
          <w:trHeight w:val="231"/>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9"/>
              </w:rPr>
              <w:t>San Rafael, California</w:t>
            </w:r>
          </w:p>
        </w:tc>
        <w:tc>
          <w:tcPr>
            <w:tcW w:w="5180" w:type="dxa"/>
            <w:vAlign w:val="bottom"/>
          </w:tcPr>
          <w:p>
            <w:pPr>
              <w:jc w:val="right"/>
              <w:ind w:right="213"/>
              <w:spacing w:after="0"/>
              <w:rPr>
                <w:sz w:val="20"/>
                <w:szCs w:val="20"/>
                <w:color w:val="auto"/>
              </w:rPr>
            </w:pPr>
            <w:r>
              <w:rPr>
                <w:rFonts w:ascii="Arial" w:cs="Arial" w:eastAsia="Arial" w:hAnsi="Arial"/>
                <w:sz w:val="18"/>
                <w:szCs w:val="18"/>
                <w:b w:val="1"/>
                <w:bCs w:val="1"/>
                <w:color w:val="auto"/>
              </w:rPr>
              <w:t>94903</w:t>
            </w:r>
          </w:p>
        </w:tc>
      </w:tr>
      <w:tr>
        <w:trPr>
          <w:trHeight w:val="174"/>
        </w:trPr>
        <w:tc>
          <w:tcPr>
            <w:tcW w:w="2380" w:type="dxa"/>
            <w:vAlign w:val="bottom"/>
          </w:tcPr>
          <w:p>
            <w:pPr>
              <w:jc w:val="center"/>
              <w:ind w:right="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180" w:type="dxa"/>
            <w:vAlign w:val="bottom"/>
          </w:tcPr>
          <w:p>
            <w:pPr>
              <w:jc w:val="center"/>
              <w:ind w:left="4053"/>
              <w:spacing w:after="0"/>
              <w:rPr>
                <w:sz w:val="20"/>
                <w:szCs w:val="20"/>
                <w:color w:val="auto"/>
              </w:rPr>
            </w:pPr>
            <w:r>
              <w:rPr>
                <w:rFonts w:ascii="Arial" w:cs="Arial" w:eastAsia="Arial" w:hAnsi="Arial"/>
                <w:sz w:val="14"/>
                <w:szCs w:val="14"/>
                <w:b w:val="1"/>
                <w:bCs w:val="1"/>
                <w:color w:val="auto"/>
                <w:w w:val="92"/>
              </w:rPr>
              <w:t>(Zip Code)</w:t>
            </w: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(415) 507-5000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6" w:lineRule="exact"/>
        <w:rPr>
          <w:sz w:val="24"/>
          <w:szCs w:val="24"/>
          <w:color w:val="auto"/>
        </w:rPr>
      </w:pPr>
    </w:p>
    <w:tbl>
      <w:tblPr>
        <w:tblLayout w:type="fixed"/>
        <w:tblInd w:w="160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80" w:type="dxa"/>
            <w:vAlign w:val="bottom"/>
            <w:gridSpan w:val="3"/>
          </w:tcPr>
          <w:p>
            <w:pPr>
              <w:jc w:val="center"/>
              <w:ind w:left="1632"/>
              <w:spacing w:after="0"/>
              <w:rPr>
                <w:sz w:val="20"/>
                <w:szCs w:val="20"/>
                <w:color w:val="auto"/>
              </w:rPr>
            </w:pPr>
            <w:r>
              <w:rPr>
                <w:rFonts w:ascii="Arial" w:cs="Arial" w:eastAsia="Arial" w:hAnsi="Arial"/>
                <w:sz w:val="18"/>
                <w:szCs w:val="18"/>
                <w:b w:val="1"/>
                <w:bCs w:val="1"/>
                <w:color w:val="auto"/>
                <w:w w:val="85"/>
              </w:rPr>
              <w:t>Name of each exchange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on which</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30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Arial" w:cs="Arial" w:eastAsia="Arial" w:hAnsi="Arial"/>
                <w:sz w:val="16"/>
                <w:szCs w:val="16"/>
                <w:b w:val="1"/>
                <w:bCs w:val="1"/>
                <w:color w:val="auto"/>
                <w:w w:val="77"/>
              </w:rPr>
              <w:t>Common</w:t>
            </w:r>
          </w:p>
        </w:tc>
        <w:tc>
          <w:tcPr>
            <w:tcW w:w="13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80" w:type="dxa"/>
            <w:vAlign w:val="bottom"/>
            <w:gridSpan w:val="3"/>
            <w:vMerge w:val="restart"/>
          </w:tcPr>
          <w:p>
            <w:pPr>
              <w:jc w:val="center"/>
              <w:ind w:left="1632"/>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line="20" w:lineRule="exact"/>
              <w:rPr>
                <w:sz w:val="1"/>
                <w:szCs w:val="1"/>
                <w:color w:val="auto"/>
              </w:rPr>
            </w:pPr>
          </w:p>
        </w:tc>
      </w:tr>
      <w:tr>
        <w:trPr>
          <w:trHeight w:val="189"/>
        </w:trPr>
        <w:tc>
          <w:tcPr>
            <w:tcW w:w="560" w:type="dxa"/>
            <w:vAlign w:val="bottom"/>
            <w:vMerge w:val="continue"/>
          </w:tcPr>
          <w:p>
            <w:pPr>
              <w:spacing w:after="0"/>
              <w:rPr>
                <w:sz w:val="16"/>
                <w:szCs w:val="16"/>
                <w:color w:val="auto"/>
              </w:rPr>
            </w:pPr>
          </w:p>
        </w:tc>
        <w:tc>
          <w:tcPr>
            <w:tcW w:w="3580" w:type="dxa"/>
            <w:vAlign w:val="bottom"/>
            <w:gridSpan w:val="2"/>
          </w:tcPr>
          <w:p>
            <w:pPr>
              <w:ind w:left="180"/>
              <w:spacing w:after="0" w:line="189" w:lineRule="exact"/>
              <w:rPr>
                <w:sz w:val="20"/>
                <w:szCs w:val="20"/>
                <w:color w:val="auto"/>
              </w:rPr>
            </w:pPr>
            <w:r>
              <w:rPr>
                <w:rFonts w:ascii="Arial" w:cs="Arial" w:eastAsia="Arial" w:hAnsi="Arial"/>
                <w:sz w:val="18"/>
                <w:szCs w:val="18"/>
                <w:b w:val="1"/>
                <w:bCs w:val="1"/>
                <w:color w:val="auto"/>
              </w:rPr>
              <w:t>Stock, $0.01 Par Value</w:t>
            </w:r>
          </w:p>
        </w:tc>
        <w:tc>
          <w:tcPr>
            <w:tcW w:w="42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80" w:type="dxa"/>
            <w:vAlign w:val="bottom"/>
            <w:gridSpan w:val="3"/>
          </w:tcPr>
          <w:p>
            <w:pPr>
              <w:jc w:val="center"/>
              <w:ind w:left="1632"/>
              <w:spacing w:after="0"/>
              <w:rPr>
                <w:sz w:val="20"/>
                <w:szCs w:val="20"/>
                <w:color w:val="auto"/>
              </w:rPr>
            </w:pPr>
            <w:r>
              <w:rPr>
                <w:rFonts w:ascii="Arial" w:cs="Arial" w:eastAsia="Arial" w:hAnsi="Arial"/>
                <w:sz w:val="18"/>
                <w:szCs w:val="18"/>
                <w:b w:val="1"/>
                <w:bCs w:val="1"/>
                <w:color w:val="auto"/>
                <w:w w:val="92"/>
              </w:rPr>
              <w:t>(NASDAQ Global Select Market)</w:t>
            </w:r>
          </w:p>
        </w:tc>
        <w:tc>
          <w:tcPr>
            <w:tcW w:w="0" w:type="dxa"/>
            <w:vAlign w:val="bottom"/>
          </w:tcPr>
          <w:p>
            <w:pPr>
              <w:spacing w:after="0"/>
              <w:rPr>
                <w:sz w:val="1"/>
                <w:szCs w:val="1"/>
                <w:color w:val="auto"/>
              </w:rPr>
            </w:pPr>
          </w:p>
        </w:tc>
      </w:tr>
    </w:tbl>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5" w:lineRule="exact"/>
        <w:rPr>
          <w:sz w:val="24"/>
          <w:szCs w:val="24"/>
          <w:color w:val="auto"/>
        </w:rPr>
      </w:pPr>
    </w:p>
    <w:p>
      <w:pPr>
        <w:ind w:left="360"/>
        <w:spacing w:after="0" w:line="207" w:lineRule="exact"/>
        <w:tabs>
          <w:tab w:leader="none" w:pos="8740" w:val="left"/>
          <w:tab w:leader="none" w:pos="942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660" w:firstLine="342"/>
        <w:spacing w:after="0" w:line="22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firstLine="342"/>
        <w:spacing w:after="0" w:line="28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w:t>
      </w:r>
    </w:p>
    <w:p>
      <w:pPr>
        <w:spacing w:after="0" w:line="207" w:lineRule="exact"/>
        <w:tabs>
          <w:tab w:leader="none" w:pos="520" w:val="left"/>
          <w:tab w:leader="none" w:pos="1200" w:val="left"/>
        </w:tabs>
        <w:rPr>
          <w:sz w:val="20"/>
          <w:szCs w:val="20"/>
          <w:color w:val="auto"/>
        </w:rPr>
      </w:pPr>
      <w:r>
        <w:rPr>
          <w:rFonts w:ascii="Arial" w:cs="Arial" w:eastAsia="Arial" w:hAnsi="Arial"/>
          <w:sz w:val="18"/>
          <w:szCs w:val="18"/>
          <w:color w:val="auto"/>
        </w:rPr>
        <w:t>days.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3" w:lineRule="exact"/>
        <w:rPr>
          <w:sz w:val="24"/>
          <w:szCs w:val="24"/>
          <w:color w:val="auto"/>
        </w:rPr>
      </w:pPr>
    </w:p>
    <w:p>
      <w:pPr>
        <w:jc w:val="both"/>
        <w:ind w:right="1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right="60" w:firstLine="342"/>
        <w:spacing w:after="0" w:line="28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ind w:left="20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3" w:lineRule="exact"/>
        <w:rPr>
          <w:sz w:val="24"/>
          <w:szCs w:val="24"/>
          <w:color w:val="auto"/>
        </w:rPr>
      </w:pPr>
    </w:p>
    <w:p>
      <w:pPr>
        <w:sectPr>
          <w:pgSz w:w="11900" w:h="16838" w:orient="portrait"/>
          <w:cols w:equalWidth="0" w:num="4">
            <w:col w:w="3960" w:space="720"/>
            <w:col w:w="2260" w:space="720"/>
            <w:col w:w="2760" w:space="720"/>
            <w:col w:w="280"/>
          </w:cols>
          <w:pgMar w:left="240" w:top="230" w:right="239" w:bottom="1440" w:gutter="0" w:footer="0" w:header="0"/>
          <w:type w:val="continuous"/>
        </w:sectPr>
      </w:pPr>
    </w:p>
    <w:p>
      <w:pPr>
        <w:spacing w:after="0" w:line="14"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by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4">
            <w:col w:w="8360" w:space="160"/>
            <w:col w:w="260" w:space="80"/>
            <w:col w:w="160" w:space="180"/>
            <w:col w:w="2220"/>
          </w:cols>
          <w:pgMar w:left="240" w:top="230" w:right="239" w:bottom="1440" w:gutter="0" w:footer="0" w:header="0"/>
          <w:type w:val="continuous"/>
        </w:sectPr>
      </w:pPr>
    </w:p>
    <w:p>
      <w:pPr>
        <w:ind w:right="40" w:firstLine="342"/>
        <w:spacing w:after="0" w:line="292" w:lineRule="auto"/>
        <w:rPr>
          <w:sz w:val="20"/>
          <w:szCs w:val="20"/>
          <w:color w:val="auto"/>
        </w:rPr>
      </w:pPr>
      <w:r>
        <w:rPr>
          <w:rFonts w:ascii="Arial" w:cs="Arial" w:eastAsia="Arial" w:hAnsi="Arial"/>
          <w:sz w:val="16"/>
          <w:szCs w:val="16"/>
          <w:color w:val="auto"/>
        </w:rPr>
        <w:t>As of July 31, 2010, the last business day of the registrant’s most recently completed second fiscal quarter, there were approximately 226.6 million shares of the registrant’s common stock outstanding that were held by non-affiliates, and the aggregate market value of such shares held by non-affiliates of the registrant (based on the closing sale price of such shares on the NASDAQ Global Select Market on July 31, 2010) was approximately $6.7 billion. Shares of the registrant’s common stock held by each executive officer and director have been excluded in that such persons may be deemed to be affiliates. This determination of affiliate status is not necessarily a conclusive determination for other purposes.</w:t>
      </w:r>
    </w:p>
    <w:p>
      <w:pPr>
        <w:spacing w:after="0" w:line="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As of March 11, 2011, registrant had outstanding approximately 227.9 million shares of common stock.</w:t>
      </w:r>
    </w:p>
    <w:p>
      <w:pPr>
        <w:spacing w:after="0" w:line="30"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56" w:lineRule="exact"/>
        <w:rPr>
          <w:sz w:val="24"/>
          <w:szCs w:val="24"/>
          <w:color w:val="auto"/>
        </w:rPr>
      </w:pPr>
    </w:p>
    <w:p>
      <w:pPr>
        <w:ind w:right="300" w:firstLine="342"/>
        <w:spacing w:after="0" w:line="332" w:lineRule="auto"/>
        <w:rPr>
          <w:sz w:val="20"/>
          <w:szCs w:val="20"/>
          <w:color w:val="auto"/>
        </w:rPr>
      </w:pPr>
      <w:r>
        <w:rPr>
          <w:rFonts w:ascii="Arial" w:cs="Arial" w:eastAsia="Arial" w:hAnsi="Arial"/>
          <w:sz w:val="16"/>
          <w:szCs w:val="16"/>
          <w:color w:val="auto"/>
        </w:rPr>
        <w:t>Portions of the Proxy Statement for registrant’s Annual Meeting of Stockholders (the “Proxy Statement”), are incorporated by reference in Part III of this Form 10-K to the extent stated herein. The Proxy Statement will be filed within 120 days of the registrant’s fiscal year ended January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20" w:type="dxa"/>
            <w:vAlign w:val="bottom"/>
            <w:gridSpan w:val="8"/>
          </w:tcPr>
          <w:p>
            <w:pPr>
              <w:jc w:val="center"/>
              <w:ind w:right="4060"/>
              <w:spacing w:after="0"/>
              <w:rPr>
                <w:sz w:val="20"/>
                <w:szCs w:val="20"/>
                <w:color w:val="auto"/>
              </w:rPr>
            </w:pPr>
            <w:r>
              <w:rPr>
                <w:rFonts w:ascii="Arial" w:cs="Arial" w:eastAsia="Arial" w:hAnsi="Arial"/>
                <w:sz w:val="18"/>
                <w:szCs w:val="18"/>
                <w:b w:val="1"/>
                <w:bCs w:val="1"/>
                <w:color w:val="auto"/>
                <w:w w:val="97"/>
              </w:rPr>
              <w:t>AUTODESK, INC. FORM 10-K</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20" w:type="dxa"/>
            <w:vAlign w:val="bottom"/>
            <w:gridSpan w:val="8"/>
          </w:tcPr>
          <w:p>
            <w:pPr>
              <w:jc w:val="center"/>
              <w:ind w:right="4040"/>
              <w:spacing w:after="0"/>
              <w:rPr>
                <w:sz w:val="20"/>
                <w:szCs w:val="20"/>
                <w:color w:val="auto"/>
              </w:rPr>
            </w:pPr>
            <w:r>
              <w:rPr>
                <w:rFonts w:ascii="Arial" w:cs="Arial" w:eastAsia="Arial" w:hAnsi="Arial"/>
                <w:sz w:val="18"/>
                <w:szCs w:val="18"/>
                <w:b w:val="1"/>
                <w:bCs w:val="1"/>
                <w:color w:val="auto"/>
                <w:w w:val="96"/>
              </w:rPr>
              <w:t>TABLE OF CONTENTS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8"/>
        </w:trPr>
        <w:tc>
          <w:tcPr>
            <w:tcW w:w="12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76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14">
              <w:r>
                <w:rPr>
                  <w:rFonts w:ascii="Arial" w:cs="Arial" w:eastAsia="Arial" w:hAnsi="Arial"/>
                  <w:sz w:val="18"/>
                  <w:szCs w:val="18"/>
                  <w:color w:val="0000EE"/>
                  <w:w w:val="85"/>
                </w:rPr>
                <w:t>Risk Factors</w:t>
              </w:r>
            </w:hyperlink>
          </w:p>
        </w:tc>
        <w:tc>
          <w:tcPr>
            <w:tcW w:w="8880" w:type="dxa"/>
            <w:vAlign w:val="bottom"/>
            <w:gridSpan w:val="17"/>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Unresolved Staff Comments</w:t>
              </w:r>
            </w:hyperlink>
          </w:p>
        </w:tc>
        <w:tc>
          <w:tcPr>
            <w:tcW w:w="7760" w:type="dxa"/>
            <w:vAlign w:val="bottom"/>
            <w:gridSpan w:val="11"/>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76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Legal Proceedings</w:t>
              </w:r>
            </w:hyperlink>
          </w:p>
        </w:tc>
        <w:tc>
          <w:tcPr>
            <w:tcW w:w="8460" w:type="dxa"/>
            <w:vAlign w:val="bottom"/>
            <w:gridSpan w:val="15"/>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976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Removed and Reserved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43"/>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Market for Registrant’s Common Equity, Related Stockholder Matters and Issuer Purchases of Equity Securities</w:t>
              </w:r>
            </w:hyperlink>
          </w:p>
        </w:tc>
        <w:tc>
          <w:tcPr>
            <w:tcW w:w="18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976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Management’s Discussion and Analysis of Financial Condition and Results of Operations</w:t>
              </w:r>
            </w:hyperlink>
          </w:p>
        </w:tc>
        <w:tc>
          <w:tcPr>
            <w:tcW w:w="3460" w:type="dxa"/>
            <w:vAlign w:val="bottom"/>
            <w:gridSpan w:val="4"/>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7A.</w:t>
            </w:r>
          </w:p>
        </w:tc>
        <w:tc>
          <w:tcPr>
            <w:tcW w:w="976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5520" w:type="dxa"/>
            <w:vAlign w:val="bottom"/>
            <w:gridSpan w:val="6"/>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9760" w:type="dxa"/>
            <w:vAlign w:val="bottom"/>
            <w:gridSpan w:val="21"/>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9A.</w:t>
            </w:r>
          </w:p>
        </w:tc>
        <w:tc>
          <w:tcPr>
            <w:tcW w:w="6340" w:type="dxa"/>
            <w:vAlign w:val="bottom"/>
            <w:tcBorders>
              <w:top w:val="single" w:sz="8" w:color="0000EE"/>
            </w:tcBorders>
            <w:gridSpan w:val="18"/>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Controls and Procedures</w:t>
              </w:r>
            </w:hyperlink>
          </w:p>
        </w:tc>
        <w:tc>
          <w:tcPr>
            <w:tcW w:w="3420" w:type="dxa"/>
            <w:vAlign w:val="bottom"/>
            <w:gridSpan w:val="3"/>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8"/>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8040" w:type="dxa"/>
            <w:vAlign w:val="bottom"/>
            <w:gridSpan w:val="13"/>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43"/>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98">
              <w:r>
                <w:rPr>
                  <w:rFonts w:ascii="Arial" w:cs="Arial" w:eastAsia="Arial" w:hAnsi="Arial"/>
                  <w:sz w:val="18"/>
                  <w:szCs w:val="18"/>
                  <w:color w:val="0000EE"/>
                  <w:w w:val="88"/>
                </w:rPr>
                <w:t>Directors, Executive Officers and Corporate Governance</w:t>
              </w:r>
            </w:hyperlink>
          </w:p>
        </w:tc>
        <w:tc>
          <w:tcPr>
            <w:tcW w:w="5760" w:type="dxa"/>
            <w:vAlign w:val="bottom"/>
            <w:gridSpan w:val="7"/>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99">
              <w:r>
                <w:rPr>
                  <w:rFonts w:ascii="Arial" w:cs="Arial" w:eastAsia="Arial" w:hAnsi="Arial"/>
                  <w:sz w:val="18"/>
                  <w:szCs w:val="18"/>
                  <w:color w:val="0000EE"/>
                  <w:w w:val="87"/>
                </w:rPr>
                <w:t>Executive Compensation</w:t>
              </w:r>
            </w:hyperlink>
          </w:p>
        </w:tc>
        <w:tc>
          <w:tcPr>
            <w:tcW w:w="8000" w:type="dxa"/>
            <w:vAlign w:val="bottom"/>
            <w:gridSpan w:val="12"/>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00">
              <w:r>
                <w:rPr>
                  <w:rFonts w:ascii="Arial" w:cs="Arial" w:eastAsia="Arial" w:hAnsi="Arial"/>
                  <w:sz w:val="18"/>
                  <w:szCs w:val="18"/>
                  <w:color w:val="0000EE"/>
                  <w:w w:val="88"/>
                </w:rPr>
                <w:t>Security Ownership of Certain Beneficial Owners and Management and Related Stockholder Matters</w:t>
              </w:r>
            </w:hyperlink>
          </w:p>
        </w:tc>
        <w:tc>
          <w:tcPr>
            <w:tcW w:w="2640" w:type="dxa"/>
            <w:vAlign w:val="bottom"/>
            <w:gridSpan w:val="2"/>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100">
              <w:r>
                <w:rPr>
                  <w:rFonts w:ascii="Arial" w:cs="Arial" w:eastAsia="Arial" w:hAnsi="Arial"/>
                  <w:sz w:val="18"/>
                  <w:szCs w:val="18"/>
                  <w:color w:val="0000EE"/>
                  <w:w w:val="87"/>
                </w:rPr>
                <w:t>Certain Relationships and Related Transactions, and Director Independence</w:t>
              </w:r>
            </w:hyperlink>
          </w:p>
        </w:tc>
        <w:tc>
          <w:tcPr>
            <w:tcW w:w="4440" w:type="dxa"/>
            <w:vAlign w:val="bottom"/>
            <w:gridSpan w:val="5"/>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14.</w:t>
            </w:r>
          </w:p>
        </w:tc>
        <w:tc>
          <w:tcPr>
            <w:tcW w:w="9760" w:type="dxa"/>
            <w:vAlign w:val="bottom"/>
            <w:gridSpan w:val="21"/>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Principal Accounting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343"/>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18"/>
                <w:szCs w:val="18"/>
                <w:color w:val="auto"/>
              </w:rPr>
              <w:t>Item 15.</w:t>
            </w:r>
          </w:p>
        </w:tc>
        <w:tc>
          <w:tcPr>
            <w:tcW w:w="30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01">
              <w:r>
                <w:rPr>
                  <w:rFonts w:ascii="Arial" w:cs="Arial" w:eastAsia="Arial" w:hAnsi="Arial"/>
                  <w:sz w:val="18"/>
                  <w:szCs w:val="18"/>
                  <w:color w:val="0000EE"/>
                  <w:w w:val="87"/>
                </w:rPr>
                <w:t>Exhibits and Financial Statement Schedules</w:t>
              </w:r>
            </w:hyperlink>
          </w:p>
        </w:tc>
        <w:tc>
          <w:tcPr>
            <w:tcW w:w="6680" w:type="dxa"/>
            <w:vAlign w:val="bottom"/>
            <w:gridSpan w:val="9"/>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2"/>
                <w:szCs w:val="22"/>
                <w:color w:val="auto"/>
              </w:rPr>
            </w:pPr>
          </w:p>
        </w:tc>
        <w:tc>
          <w:tcPr>
            <w:tcW w:w="9760" w:type="dxa"/>
            <w:vAlign w:val="bottom"/>
            <w:gridSpan w:val="21"/>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Signatures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4"/>
                <w:szCs w:val="14"/>
                <w:b w:val="1"/>
                <w:bCs w:val="1"/>
                <w:color w:val="auto"/>
              </w:rPr>
              <w:t>2</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The discussion in this Annual Report on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anticipated future financial results; our belief that the strength of our channel network, technological leadership, brand recognition, breadth of product line and large installed base are benefitting us as global economies recover; expected trends in certain financial metrics; our ability to successfully expand adoption of our products, and our ability to successfully increase sales of product suites as part of our overall sales strategy; our belief that emerging economies continue to present long-term growth opportunities for us; the impact of our restructuring activities; the sufficiency of our cash to meet our working capital and operating resource expenditure requirements over the next 12 months and our ability to generate sufficient future taxable income in appropriate tax jurisdictions to realize our net deferred tax assets. In addition, forward-looking statements also consist of statements involving expectations regarding product acceptance, activity related to our stock repurchase program,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Item 1A, “Risk Factors,” and in our other reports filed with the U.S. Securities Exchange Commission. We assume no obligation to update forward-looking statements to reflect events that occur or circumstances that exist after the date on which they were made.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10-K appears at the end of this Item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a world leading design software and services company, offering customers productive business solutions through powerful technology products and services. We serve customers in the architecture, engineering and construction; manufacturing; and digital media and entertainment industries. Our sophisticated software products enable our customers to experience their ideas before they are real by allowing them to create and document their designs and to visualize, simulate and analyze real-world performance early in the design process by creating digital prototypes. These capabilities allow our customers to optimize and improve their designs, help save time and money, improve quality and foster innovation. Our software products are sold globally, both directly to customers and through a network of resellers and distributors.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organized into four reportable operating segments:</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Platform Solutions and Emerging Business (“PSEB”), which accounted for 37% of our net revenue in fiscal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Architecture, Engineering and Construction (“AEC”), which accounted for 29% of our net revenue in fiscal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Manufacturing (“MFG”), which accounted for 24% of our net revenue in fiscal 2011;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Media and Entertainment (“M&amp;E”), which accounted for 10% of our net revenue in fiscal 2011.</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 summary of our net revenue and results of operations for our business segments is found in Note 13, “Segments,” in the Notes to our Consolidated Financial Statements.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PSEB, AEC and MFG segments derive revenue from the sale of licenses for software products and services to customers who design, build, manage or own building, manufacturing and infrastructure projects. The principal software products of these segments include the following:</w:t>
      </w:r>
    </w:p>
    <w:p>
      <w:pPr>
        <w:spacing w:after="0" w:line="4" w:lineRule="exact"/>
        <w:rPr>
          <w:sz w:val="20"/>
          <w:szCs w:val="20"/>
          <w:color w:val="auto"/>
        </w:rPr>
      </w:pPr>
    </w:p>
    <w:p>
      <w:pPr>
        <w:ind w:left="900" w:right="1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design software, including AutoCAD and AutoCAD LT (horizontal design products), which accounted for 33% of our net revenue in fiscal 2011,</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discipline-specific design software, including AutoCAD-based products (vertical design products), which accounted for 15% of our net revenue in fiscal 2011,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model-based design software, including Autodesk Inventor products, Autodesk Revit products, AutoCAD Civil 3D, and Autodesk Moldflow which accounted for 30% of our net revenue in fiscal 2011.</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to software products, the PSEB, AEC and MFG segments offer a range of services including consulting, support and training, largely dedicated to enhancing our ability to sell licenses to our software products.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M&amp;E segment derives revenue from the sale of licenses of software products to creative professionals, post-production facilities, and broadcasters for a variety of applications, including feature films, television programs, commercials, music and corporate videos, interactive game production, web design and interactive web streaming. In addition, our animation products produced by our M&amp;E segment are often used by customers of products from our other segments for the visualization of their designs.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were incorporated in California in April 1982 and were reincorporated in Delaware in May 1994. Our principal executive office is located at 111 McInnis Parkway, San Rafael, California 94903 and the telephone number at that address is (415) 507-5000. 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 site at www.autodesk.com as soon as reasonably practicable after we electronically file such material with, or furnish it to,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product offerings from Autodesk’s different segments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PSEB</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PSEB segment includes our horizontal design product, AutoCAD. Our AutoCAD product is a platform product that underpins our vertical design product offerings for all the industries we serve. For example, our AEC and MFG segments offer tailored versions of AutoCAD software for the industries they serve. Our AutoCAD product also provides a platform for our developer partners to build custom solutions for a range of diverse design-oriented markets. PSEB’s revenue primarily includes revenue from sales of licenses of our horizontal design products, AutoCAD and AutoCAD LT. The segment’s principal product offerings included the following during fiscal 2011:</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20" w:hanging="84"/>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AutoCAD</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AutoCAD software, which is our largest revenue-generating product, is a customizable and extensible computer-aided design (CAD) application for professional design, drafting, detailing, and visualization. AutoCAD software provides digital tools that can be used independently and in conjunction with other specific applications in fields ranging from construction to manufacturing, civil engineering and process plant design.</w:t>
      </w:r>
    </w:p>
    <w:p>
      <w:pPr>
        <w:spacing w:after="0" w:line="188" w:lineRule="exact"/>
        <w:rPr>
          <w:sz w:val="20"/>
          <w:szCs w:val="20"/>
          <w:color w:val="auto"/>
        </w:rPr>
      </w:pPr>
    </w:p>
    <w:p>
      <w:pPr>
        <w:ind w:left="320" w:hanging="8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AutoCAD LT</w:t>
      </w:r>
    </w:p>
    <w:p>
      <w:pPr>
        <w:spacing w:after="0" w:line="9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AutoCAD LT software is purpose built for professional drafting and detailing. AutoCAD LT includes document sharing capability without the need for software customization or certain advanced functionality found in our AutoCAD product. Users can share all design data with team members who use our AutoCAD product or other Autodesk products built on AutoCAD. AutoCAD LT software is our second largest revenue-generating product.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AEC</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Autodesk’s 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collaboration and data management solutions. BIM, an integrated process for building and infrastructure design, analysis, documentation and construction, uses consistent, coordinated information to improve communication and collaboration across the extended project team. AEC provides a comprehensive portfolio of BIM solutions that help customers deliver projects faster and more economically, while analyzing environmental impact. The segment’s principal product offerings included the following during fiscal 2011:</w:t>
      </w:r>
    </w:p>
    <w:p>
      <w:pPr>
        <w:spacing w:after="0" w:line="199" w:lineRule="exact"/>
        <w:rPr>
          <w:sz w:val="20"/>
          <w:szCs w:val="20"/>
          <w:color w:val="auto"/>
        </w:rPr>
      </w:pPr>
    </w:p>
    <w:p>
      <w:pPr>
        <w:ind w:left="320" w:hanging="84"/>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Autodesk Revit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Purpose-built for BIM, the Autodesk Revit products collect information about a building project and allow this information to be coordinated across all other representations of the project, so that every drawing sheet, 2D and 3D view and schedule is based on internally consistent and complete information from the same underlying building database. The Autodesk Revit products, including AutoCAD Revit Architecture Suite, AutoCAD Revit MEP Suite and AutoCAD Revit Structure Suite, provide an intuitive sophisticated model-based design and documentation system for architects; mechanical, electrical and plumbing (MEP) engineers; structural engineers; design-build teams; and other design and building industry professionals.</w:t>
      </w:r>
    </w:p>
    <w:p>
      <w:pPr>
        <w:spacing w:after="0" w:line="197" w:lineRule="exact"/>
        <w:rPr>
          <w:sz w:val="20"/>
          <w:szCs w:val="20"/>
          <w:color w:val="auto"/>
        </w:rPr>
      </w:pPr>
    </w:p>
    <w:p>
      <w:pPr>
        <w:ind w:left="320" w:hanging="8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AutoCAD Civil 3D</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AutoCAD Civil 3D products provide a surveying, design, analysis, and documentation solution for civil engineering, including land development, transportation, and environmental projects. Using a model-centric approach that automatically updates documentation as design changes are made, AutoCAD Civil 3D products enable civil engineers, designers, drafters, and surveyors to significantly boost productivity and deliver higher-quality designs and construction documentation faster. With AutoCAD Civil 3D products, the entire project team works from the same consistent, up-to-date model so they stay coordinated throughout all project phases.</w:t>
      </w:r>
    </w:p>
    <w:p>
      <w:pPr>
        <w:spacing w:after="0" w:line="224" w:lineRule="exact"/>
        <w:rPr>
          <w:sz w:val="20"/>
          <w:szCs w:val="20"/>
          <w:color w:val="auto"/>
        </w:rPr>
      </w:pPr>
    </w:p>
    <w:p>
      <w:pPr>
        <w:ind w:left="320" w:hanging="84"/>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AutoCAD Architecture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Designed for architects and built on the AutoCAD platform, AutoCAD Architecture software includes powerful Architecture industry-specific tools to gain efficiency and improve coordination.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20" w:hanging="8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AutoCAD Map 3D</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AutoCAD Map 3D software provides direct access to data needed for infrastructure planning, design and management activities. AutoCAD Map 3D software helps professionals working on transportation, land development, water, and power projects to more easily create, manage and analyze design geographic information system (“GIS”) and asset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MFG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MFG segment provides manufacturers in automotive and transportation, industrial machinery, consumer products and building products with comprehensive digital prototyping solutions that brings together design data from all phases of the product development process to develop a single digital model created in Autodesk Inventor software. Our solutions for digital prototyping are scalable, attainable, cost-effective and allow for real-world simulation, enabling a broad group of manufacturers to realize benefits with minimal disruption to existing workflows. MFG’s principal product offerings included the following during fiscal 2011:</w:t>
      </w:r>
    </w:p>
    <w:p>
      <w:pPr>
        <w:spacing w:after="0" w:line="224" w:lineRule="exact"/>
        <w:rPr>
          <w:sz w:val="20"/>
          <w:szCs w:val="20"/>
          <w:color w:val="auto"/>
        </w:rPr>
      </w:pPr>
    </w:p>
    <w:p>
      <w:pPr>
        <w:ind w:left="320" w:hanging="8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Autodesk Inventor</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Autodesk Inventor software allows manufacturers to go beyond 3D design to digital prototyping by giving engineers a comprehensive and flexible set of tools for 3D mechanical design, simulation, analysis, tooling, visualization and documentation. With Inventor software, engineers can integrate AutoCAD drawings and model-based design data into a single digital model, creating a virtual representation of a final product that enables them to validate the form, fit, and function of the product before it is ever built. Digital prototyping with Inventor software enables manufacturers to design, visualize, and simulate products digitally, helping them to build better products, reduce development costs, and get to market faster.</w:t>
      </w:r>
    </w:p>
    <w:p>
      <w:pPr>
        <w:spacing w:after="0" w:line="197" w:lineRule="exact"/>
        <w:rPr>
          <w:sz w:val="20"/>
          <w:szCs w:val="20"/>
          <w:color w:val="auto"/>
        </w:rPr>
      </w:pPr>
    </w:p>
    <w:p>
      <w:pPr>
        <w:ind w:left="320" w:hanging="8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AutoCAD Mechanical</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AutoCAD Mechanical software is purpose-built to accelerate the mechanical design process. AutoCAD Mechanical software offers users significant productivity gains and helps save hours of design time by including all the functionality of AutoCAD software, plus comprehensive libraries of standards-based parts and tools for automating common design tasks.</w:t>
      </w:r>
    </w:p>
    <w:p>
      <w:pPr>
        <w:spacing w:after="0" w:line="221" w:lineRule="exact"/>
        <w:rPr>
          <w:sz w:val="20"/>
          <w:szCs w:val="20"/>
          <w:color w:val="auto"/>
        </w:rPr>
      </w:pPr>
    </w:p>
    <w:p>
      <w:pPr>
        <w:ind w:left="320" w:hanging="8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Autodesk Moldflow</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Autodesk Moldflow family of injection molding simulation software provides tools that help manufacturers optimize the design of plastic parts and injection molds, and study the injection molding process.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M&amp;E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M&amp;E segment is comprised of two product groups: Animation and Creative Finishing. Animation products are sold as software only and provide tools for digital sculpting, modeling, animation, effects, rendering, and compositing for design visualization, visual effects and games production. Creative Finishing products are primarily sold as turnkey solutions for editing, finishing and visual effects design, and color grading. Principal product offerings in our M&amp;E segment’s Animation and Creative Finishing product groups included the following during fiscal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Animation</w:t>
      </w:r>
    </w:p>
    <w:p>
      <w:pPr>
        <w:spacing w:after="0" w:line="90" w:lineRule="exact"/>
        <w:rPr>
          <w:sz w:val="20"/>
          <w:szCs w:val="20"/>
          <w:color w:val="auto"/>
        </w:rPr>
      </w:pPr>
    </w:p>
    <w:p>
      <w:pPr>
        <w:ind w:left="320" w:hanging="8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Autodesk 3ds Max</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Autodesk 3ds Max software provides 3D modeling, animation and rendering solutions that enable game developers, design visualization professionals and visual effects artists to digitally create realistic images, animations and complex scenes and to digitally communicate abstract or complex mechanical, architectural, engineering and construction concepts.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20" w:hanging="8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Autodesk Maya</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Autodesk Maya software provides 3D modeling, animation, effects, rendering and compositing solutions that enable film and video artists, game developers and design visualization professionals to digitally create engaging, lifelike images, realistic animations and simulations, and extraordinary visual effects.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Creative Finishing</w:t>
      </w:r>
    </w:p>
    <w:p>
      <w:pPr>
        <w:spacing w:after="0" w:line="90" w:lineRule="exact"/>
        <w:rPr>
          <w:sz w:val="20"/>
          <w:szCs w:val="20"/>
          <w:color w:val="auto"/>
        </w:rPr>
      </w:pPr>
    </w:p>
    <w:p>
      <w:pPr>
        <w:ind w:left="320" w:hanging="84"/>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Autodesk Flame, Autodesk Smoke, Autodesk Lustre and Autodesk Flare</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Autodesk Flame software is an interactive real-time design, finishing, grading and visual effects solution for supervised post-production. Autodesk Smoke software is a non-linear and non-compressed online editing, effects and finishing software application and is used in commercials, music videos, corporate video, film as well as broadcast design projects. Autodesk Lustre software is a high-performance color grading solution used by artists for creative look development and final color and lighting effects for both film and television. Autodesk Flare software is a software solution that offers the compositing capabilities of Flame contributing to faster project completion.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INTRODUCTION</w:t>
      </w:r>
    </w:p>
    <w:p>
      <w:pPr>
        <w:spacing w:after="0" w:line="96"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The technology industry is characterized by rapid technological change in computer hardware, operating systems and software. In addition, our customers’ requirements and preferences rapidly evolve, as do their expectations of the performance of our software. To keep pace with these changes, we maintain a vigorous program of new product development to address demands in the marketplace for our products. We dedicate considerable technical and financial resources to research and development to further enhance our existing products and to create new products and technologies. Research and development expenditures were $496.2 million or 25% of fiscal 2011 net revenue, $457.5 million or 27% of fiscal 2010 net revenue and $576.1 million or 25% of fiscal 2009 net revenue. Our software is primarily developed internally; however, we also use independent firms and contractors to perform some of our product development activities. Additionally, we acquire products or technology developed by others by purchasing or licensing products and technology from third parties. We continually review these investments in an effort to ensure that we are generating sufficient revenue or gaining a competitive advantage to justify their costs.</w:t>
      </w:r>
    </w:p>
    <w:p>
      <w:pPr>
        <w:spacing w:after="0" w:line="10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majority of our research and product development is performed in the United States, China, Singapore and Canada. However, we employ experienced software developers in many of our other locations. Translation and localization of our products are performed in a number of local markets, principally Singapore and Switzerland. We generally localize and translate our products into German, French, Italian, Spanish, Russian, Japanese, Korean and simplified and traditional Chinese.</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plan to continue to manage significant product development operations internationally over the next several years. We believe that our ability to conduct research and development at various locations throughout the world allows us to optimize product development, lower costs, and integrate local market knowledge into our development activities. We continually assess the significant costs and challenges, including intellectual property protection, against the benefits of our international development activities.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our business strategy has historically depended in part on our relationships with a network of over 3,500 third-party developers who develop and sell their own products that further enhance the range of integrated solutions available to our customers.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regarding risks from our product development and introduction efforts, see Item 1A, “Risk Factors.”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license or sell our products and services globally, primarily through indirect channels consisting of distributors and resellers. To a lesser extent we also transact directly with customers who are primarily large corporations. Our indirect channel model includes both a two-tiered distribution structure, where distributors sell to resellers, and a one-tiered structure, where Autodesk sells directly to resellers. We have a network of approximately 2,000 resellers and distributors worldwide. For fiscal 2011, approximately 85% of our revenue was derived from indirect channel sales through distributors and resellers, and we expect that the majority of our revenue will continue to be derived from indirect channel sales in the future. We employ a variety of incentive programs and promotions to align our reseller channel with our business strategies. Sales through Tech Data Corporation and its affiliates accounted for 16%, 14% and 14% of our net revenue for fiscal years 2011, 2010 and 2009, respectively. We believe our business is not substantially dependent on Tech Data. Our actual customers through Tech Data are the resellers and end users who purchase our software licenses and services. Should any of the agreements between us and Tech Data be terminated for any reason, we believe that arrangements could be made so that the resellers and end users who currently purchase our products through Tech Data would be able to continue to do so under substantially the same terms from one of our many other distributors without substantial disruption to us. No other distributor or reseller accounted for 10% or more of our revenue.</w:t>
      </w:r>
    </w:p>
    <w:p>
      <w:pPr>
        <w:spacing w:after="0" w:line="127" w:lineRule="exact"/>
        <w:rPr>
          <w:sz w:val="20"/>
          <w:szCs w:val="20"/>
          <w:color w:val="auto"/>
        </w:rPr>
      </w:pPr>
    </w:p>
    <w:p>
      <w:pPr>
        <w:ind w:right="260" w:firstLine="456"/>
        <w:spacing w:after="0" w:line="289" w:lineRule="auto"/>
        <w:rPr>
          <w:sz w:val="20"/>
          <w:szCs w:val="20"/>
          <w:color w:val="auto"/>
        </w:rPr>
      </w:pPr>
      <w:r>
        <w:rPr>
          <w:rFonts w:ascii="Arial" w:cs="Arial" w:eastAsia="Arial" w:hAnsi="Arial"/>
          <w:sz w:val="16"/>
          <w:szCs w:val="16"/>
          <w:color w:val="auto"/>
        </w:rPr>
        <w:t>Our customer-related operations are divided into three geographic regions, the Americas; Europe, Middle East and Africa (“EMEA”); and Asia Pacific (“APAC”). Each geographic region is supported by global marketing and sales organizations. These organizations develop and manage overall marketing and sales programs and work closely with a network of domestic and international sales offices. Fiscal 2011 net revenue in the Americas, EMEA and APAC was $701.5 million, $782.8 million and $467.5 million, respectively. We intend to continue to make our products available in foreign languages. We believe that international sales will continue to comprise the majority of our total net revenue. Adverse economic conditions in the countries that contribute a significant portion of our net revenue may have an adverse effect on our business in those countries and our overall financial performance. A summary of our financial information by geographic location is found in Note 13, “Segments,” in the Notes to Consolidated Financial Statements. Our international operations and sales subject us to a variety of risks; see Item 1A, “Risk Factors,” for further discussion.</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work directly with reseller and distributor sales organizations, computer manufacturers, other software developers and peripherals manufacturers in cooperative advertising, promotions and trade-show presentations. We employ mass-marketing techniques such as Web casts, seminars, telemarketing, direct mailings, advertising in business and trade journals and social media. We have a worldwide user group organization and we have created online user communities dedicated to the exchange of information related to the use of our products.</w:t>
      </w:r>
    </w:p>
    <w:p>
      <w:pPr>
        <w:spacing w:after="0" w:line="14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addition to sales of new software licenses, we generate revenue through our maintenance program and upgrade pricing options. These choices are available for a majority of our products and offer our customers two alternative means of migrating to the most recent version of our products.</w:t>
      </w:r>
    </w:p>
    <w:p>
      <w:pPr>
        <w:spacing w:after="0" w:line="85"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Under the maintenance program, known by our user community as the Autodesk Subscription Program, customers who own a perpetual use license for the most recent version of the underlying product are able to purchase maintenance that provides them with unspecified upgrades when-and-if-available and are able to download e-Learning courses and receive online support over a one year or multi-year maintenance service period. Revenue from our maintenance program is reported separately on our Consolidated Statements of Operations and is referred to throughout this document as maintenance revenue.</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Upgrade pricing offers customers who are not on our maintenance program an opportunity to purchase upgrades to the most current version of the same product at current available prices, but only to the extent that they are still on an Autodesk-supported version of our product. An existing customer, whether or not on maintenance, also has the option to upgrade, for a premium fee, to a different, vertical or model-based design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product, which generally has a higher price; we refer to this as a crossgrade. The cost of a crossgrade is less than the cost of purchasing a new license. During most of fiscal 2011, customers could upgrade or crossgrade from the three previous software releases at a percentage of a full license. Revenue from upgrades and crossgrades are reported on our Consolidated Statements of Operations in “License and other.”</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ability to effectively distribute our products depends in part upon the financial and business condition of our distributor and reseller networks. The loss of, or a significant reduction in, business with any one of our major distributors or large resellers could harm our business; see Item 1A, “Risk Factors,” for further discussion.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RESELLER SUPPORT</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provide technical support and training to customers through a leveraged support model, augmented by direct programs designed to address certain specific needs. Our customers rely primarily on the resellers and distributors from which they purchased licenses to our products for technical support; however, we do provide certain direct support for some of our customers. We support our resellers and distributors through technical product training, sales training classes, the Internet and telephone. We also provide online support directly to our customers through our maintenance program. There are also a number of user group forums in which customers are able to share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PROGRAMS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offer education programs and specially priced software licensing options tailored for educational institutions, students, and faculty to train the next generation of users. We also offer classroom support, including standardized curricula developed by educators, instructor development, and a rich assortment of online learning resources. Users are trained on our products at educational institutions, reducing the cost of training for our customers.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DEVELOPER PROGRAMS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marketing, sales, technical support and programming tools to developers who develop add-on applications for our products. Over 3,500 developers in the Autodesk Developer Network create interoperable products that further enhance the range of integrated solutions available to our customers.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typically ship products shortly after receipt of an order, which is common in the software industry. Our aggregate backlog is primarily comprised of deferred revenue. Deferred revenue consists primarily of deferred maintenance revenue from our maintenance program. To a lesser extent, deferred revenue consists of deferred license and other revenue derived from collaborative project management services, consulting services and deferred license sales. Backlog also includes current software license product orders which have not yet shipped. The category of current software license product orders which we have not yet shipped consists of orders from customers with approved credit status for currently available software products and may include both orders with current ship dates and orders with ship dates beyond the current fiscal period.</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Aggregate backlog was $615.4 million at January 31, 2011, of which $587.9 million was deferred revenue and $27.5 million related to current software license product orders which had not yet shipped at the end of the fiscal year. Aggregate backlog was $542.5 million at January 31, 2010, of which $516.5 million was deferred revenue and $26.0 million related to current software license product orders which had not yet shipped at the end of the fiscal year. Deferred revenue increased over the prior year primarily due to an increase in new and renewal maintenance contracts during fiscal 2011.</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markets for our products are highly competitive and subject to rapid change.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 to more effectively reach new customers and better serve existing customers.</w:t>
      </w:r>
    </w:p>
    <w:p>
      <w:pPr>
        <w:spacing w:after="0" w:line="107"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Our competitors range from large, global, publicly traded companies to small, geographically focused firms to solutions produced in-house by their users. Our primary global competitors in these segments include Adobe Systems Incorporated, ANSYS, Inc., Bentley Systems, Incorporated, Dassault Systèmes S.A. and its subsidiary Dassault Systèmes SolidWorks Corp., Environmental Systems Research Institute, Inc. (ESRI), Google Inc., Intergraph Corporation, a wholly owned subsidiary of Hexagon AB, Nemetschek AG, Parametric Technology Corporation, and Siemens Product Lifecycle Software, Inc.</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M&amp;E segment also competes with a wide range of different companies from large, global, publicly-traded companies to small private entities. Large organizations that produce products that compete in some or all of our markets include Adobe Systems Incorporated, Apple Inc., Avid Technology, Inc., SONY Corporation and Thomson. The media and entertainment market is highly fragmented with complex interdependencies between many of the larger businesses. As a result, some of our competitors also own subsidiaries that are our customers or our partners in developing or bringing to market some of our solutions. In addition to traditional competitors in developed economies, we encounter new competitors in emerging economies.</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power with continually expanding performance at progressively lower prices contributes to the ease of market entry. The design software market is characterized by vigorous competition in each of the vertical markets in which we compete, both from existing competitors and by entry of competitors with innovative technologies. Competition is increasingly enhanced by consolidation of companies with complementary products and technologies and the possibility that competitors in one vertical segment may enter other vertical segments that we serve. In addition, some of our competitors in certain markets have greater financial, technical, sales and marketing and other resources than we do. Because of these and other factors, competitive conditions in these industries are likely to continue to intensify in the future. Increased competition could result in price reductions, reduced net revenue and profit margins and loss of market share, any of which could harm our business. See Item 1A, “Risk Factors,” for further discussion of risks regarding competition.</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believe that our future results depend largely upon our abilities to better serve customers by offering new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 which such right arises. We believe that our intellectual property rights are valuable and important to our business, including each of our segments.</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Nonetheless, our intellectual property rights may not be successfully asserted in the future or may be invalidated, circumvented or challenged. In addition, the laws of various foreign countries where our products are distributed do not protect our intellectual property rights to the same extent as U.S. laws. Enforcement of intellectual property rights against alleged infringers can sometimes lead to costly litigation and counterclaims. Our inability to protect our proprietary information could harm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spacing w:after="0" w:line="14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We retain ownership of software we develop. All software is licensed to users and primarily provided in object code pursuant to either shrink-wrap, embedded or on-line licenses, or signed license agreements. These agreements contain restrictions on duplication, disclosure and transfer.</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believe that because of the limitations of laws protecting our intellectual property and the rapid, ongoing technological changes in both the computer hardware and software industries, we must rely principally upon software engineering and marketing skills to maintain and enhance our competitive market position.</w:t>
      </w:r>
    </w:p>
    <w:p>
      <w:pPr>
        <w:spacing w:after="0" w:line="14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While we have recovered some revenue resulting from the unauthorized use of our software products, we are unable to measure the full extent to which piracy of our software products exists. We believe, however, that software piracy is and can be expected to be a persistent problem that negatively impacts our revenue and financial results.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1A, “Risk Factors,” for further discussion of risks related to protecting our intellectual property.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SUPPLIERS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Production of our PSEB, AEC, MFG and certain M&amp;E software products involves duplication of the software media and, for certain products, the printing of user manuals. The purchase of media and the transfer of the software programs onto media for distribution to customers are performed by us and by licensed subcontractors. Media for our products such as DVDs and USB flash drives are available from multiple sources. We offer our maintenance customers an electronic software download option for selected product updates. Customers who choose electronic fulfillment receive the latest version of the software from our vendor’s secure servers. For certain of our products, user manuals are made available by request only as we work toward reducing our cost of shipping and production as well as the use of natural resources. User manuals and packaging materials are produced to our specifications by outside sources. Production is either performed in leased facilities operated by us or by independent third-party contractors. To date, we have not experienced any material difficulties or delays in the production of our software and documentation.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January 31, 2011, we employed approximately 6,800 people. None of our employees in the United States are represented by a labor union; however, in certain foreign countries, our employees are represented by work councils. We have never experienced any work stoppages and believe our employee relations are good. Reliance upon employees in other countries entails various risks that possible government instability or regulation unfavorable to foreign-owned businesses could negatively impact our business in the future.</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Over the past three years, we acquired new technology or supplemented our technology by purchasing businesses focused in specific markets or industries. For the three years ended January 31, 2011, 2010 and 2009, we acquired a number of companies, including the following companies that have a significant impact on our business: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Arial" w:cs="Arial" w:eastAsia="Arial" w:hAnsi="Arial"/>
                <w:sz w:val="14"/>
                <w:szCs w:val="14"/>
                <w:b w:val="1"/>
                <w:bCs w:val="1"/>
                <w:color w:val="auto"/>
                <w:w w:val="85"/>
              </w:rPr>
              <w:t>Date of closing</w:t>
            </w:r>
          </w:p>
        </w:tc>
        <w:tc>
          <w:tcPr>
            <w:tcW w:w="138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56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Details</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356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3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2009</w:t>
            </w:r>
          </w:p>
        </w:tc>
        <w:tc>
          <w:tcPr>
            <w:tcW w:w="25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PlanPlatform Ltd.</w:t>
            </w:r>
          </w:p>
        </w:tc>
        <w:tc>
          <w:tcPr>
            <w:tcW w:w="7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9"/>
              </w:rPr>
              <w:t>The PlanPlatform acquisition accelerates our software as a service technology platform and provided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(“PlanPlatform”)</w:t>
            </w:r>
          </w:p>
        </w:tc>
        <w:tc>
          <w:tcPr>
            <w:tcW w:w="7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8"/>
              </w:rPr>
              <w:t>a design team with knowledge of web-based design applications. PlanPlatform has been incorporated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into, and the related goodwill was assigned to the PSEB segment.</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January 2009</w:t>
            </w:r>
          </w:p>
        </w:tc>
        <w:tc>
          <w:tcPr>
            <w:tcW w:w="2560" w:type="dxa"/>
            <w:vAlign w:val="bottom"/>
            <w:gridSpan w:val="3"/>
          </w:tcPr>
          <w:p>
            <w:pPr>
              <w:ind w:left="800"/>
              <w:spacing w:after="0"/>
              <w:rPr>
                <w:sz w:val="20"/>
                <w:szCs w:val="20"/>
                <w:color w:val="auto"/>
              </w:rPr>
            </w:pPr>
            <w:r>
              <w:rPr>
                <w:rFonts w:ascii="Arial" w:cs="Arial" w:eastAsia="Arial" w:hAnsi="Arial"/>
                <w:sz w:val="18"/>
                <w:szCs w:val="18"/>
                <w:color w:val="auto"/>
              </w:rPr>
              <w:t>ALGOR, Inc.</w:t>
            </w: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0"/>
              </w:rPr>
              <w:t>The ALGOR acquisition enhanced our digital prototyping solutions with new simulation and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60" w:type="dxa"/>
            <w:vAlign w:val="bottom"/>
            <w:gridSpan w:val="3"/>
          </w:tcPr>
          <w:p>
            <w:pPr>
              <w:ind w:left="800"/>
              <w:spacing w:after="0"/>
              <w:rPr>
                <w:sz w:val="20"/>
                <w:szCs w:val="20"/>
                <w:color w:val="auto"/>
              </w:rPr>
            </w:pPr>
            <w:r>
              <w:rPr>
                <w:rFonts w:ascii="Arial" w:cs="Arial" w:eastAsia="Arial" w:hAnsi="Arial"/>
                <w:sz w:val="18"/>
                <w:szCs w:val="18"/>
                <w:color w:val="auto"/>
              </w:rPr>
              <w:t>(“ALGOR”)</w:t>
            </w: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3"/>
              </w:rPr>
              <w:t>capabilities such as thermal and fluid flow analysis. ALGOR has been incorporated into, and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rPr>
              <w:t>related goodwill was assigned to the MFG segment.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2008</w:t>
            </w:r>
          </w:p>
        </w:tc>
        <w:tc>
          <w:tcPr>
            <w:tcW w:w="25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Softimage</w:t>
            </w:r>
          </w:p>
        </w:tc>
        <w:tc>
          <w:tcPr>
            <w:tcW w:w="7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9"/>
              </w:rPr>
              <w:t>The Softimage acquisition provided technology for the film, television and games markets. Softimage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has been incorporated into, and the related goodwill was assigned to the M&amp;E segment.</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June 2008</w:t>
            </w:r>
          </w:p>
        </w:tc>
        <w:tc>
          <w:tcPr>
            <w:tcW w:w="2560" w:type="dxa"/>
            <w:vAlign w:val="bottom"/>
            <w:gridSpan w:val="3"/>
          </w:tcPr>
          <w:p>
            <w:pPr>
              <w:ind w:left="800"/>
              <w:spacing w:after="0"/>
              <w:rPr>
                <w:sz w:val="20"/>
                <w:szCs w:val="20"/>
                <w:color w:val="auto"/>
              </w:rPr>
            </w:pPr>
            <w:r>
              <w:rPr>
                <w:rFonts w:ascii="Arial" w:cs="Arial" w:eastAsia="Arial" w:hAnsi="Arial"/>
                <w:sz w:val="18"/>
                <w:szCs w:val="18"/>
                <w:color w:val="auto"/>
              </w:rPr>
              <w:t>Moldflow Corporation</w:t>
            </w: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4"/>
              </w:rPr>
              <w:t>Moldflow software solutions are used for the design and engineering of injection-molded plastic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60" w:type="dxa"/>
            <w:vAlign w:val="bottom"/>
            <w:gridSpan w:val="3"/>
          </w:tcPr>
          <w:p>
            <w:pPr>
              <w:ind w:left="800"/>
              <w:spacing w:after="0"/>
              <w:rPr>
                <w:sz w:val="20"/>
                <w:szCs w:val="20"/>
                <w:color w:val="auto"/>
              </w:rPr>
            </w:pPr>
            <w:r>
              <w:rPr>
                <w:rFonts w:ascii="Arial" w:cs="Arial" w:eastAsia="Arial" w:hAnsi="Arial"/>
                <w:sz w:val="18"/>
                <w:szCs w:val="18"/>
                <w:color w:val="auto"/>
              </w:rPr>
              <w:t>(“Moldflow”)</w:t>
            </w: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6"/>
              </w:rPr>
              <w:t>parts. The acquisition of Moldflow added simulation and optimization capabilities to our digital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4"/>
              </w:rPr>
              <w:t>prototyping solution portfolio. Moldflow has been incorporated into, and the related goodwill was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rPr>
              <w:t>assigned to the MFG segment.</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90"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Horizontal design products—</w:t>
      </w:r>
      <w:r>
        <w:rPr>
          <w:rFonts w:ascii="Arial" w:cs="Arial" w:eastAsia="Arial" w:hAnsi="Arial"/>
          <w:sz w:val="18"/>
          <w:szCs w:val="18"/>
          <w:color w:val="auto"/>
        </w:rPr>
        <w:t>Autodesk’s AutoCAD and AutoCAD LT products, which serve as the platform upon which our vertical design products 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Our horizontal design products are primarily developed by the PSEB segment. These products include our core design applications and can be used across a number of industries and disciplines. In the past we have referred to these products as 2D horizontal products. We have modified that reference to more accurately reflect these products’ functionality and general design nature.</w:t>
      </w:r>
    </w:p>
    <w:p>
      <w:pPr>
        <w:spacing w:after="0" w:line="136"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Vertical design products—</w:t>
      </w:r>
      <w:r>
        <w:rPr>
          <w:rFonts w:ascii="Arial" w:cs="Arial" w:eastAsia="Arial" w:hAnsi="Arial"/>
          <w:sz w:val="18"/>
          <w:szCs w:val="18"/>
          <w:color w:val="auto"/>
        </w:rPr>
        <w:t>Autodesk’s vertical design software, including AutoCAD Architecture, AutoCAD Mechanical and AutoCAD Map 3D, are</w:t>
      </w:r>
      <w:r>
        <w:rPr>
          <w:rFonts w:ascii="Arial" w:cs="Arial" w:eastAsia="Arial" w:hAnsi="Arial"/>
          <w:sz w:val="18"/>
          <w:szCs w:val="18"/>
          <w:b w:val="1"/>
          <w:bCs w:val="1"/>
          <w:color w:val="auto"/>
        </w:rPr>
        <w:t xml:space="preserve"> </w:t>
      </w:r>
      <w:r>
        <w:rPr>
          <w:rFonts w:ascii="Arial" w:cs="Arial" w:eastAsia="Arial" w:hAnsi="Arial"/>
          <w:sz w:val="18"/>
          <w:szCs w:val="18"/>
          <w:color w:val="auto"/>
        </w:rPr>
        <w:t>built upon Autodesk’s AutoCAD product and are enhanced with industry or discipline-specific functionality. In the past we have referred to these products as 2D vertical products. We have modified that reference to more accurately reflect these products’ functionality.</w:t>
      </w:r>
    </w:p>
    <w:p>
      <w:pPr>
        <w:spacing w:after="0" w:line="132" w:lineRule="exact"/>
        <w:rPr>
          <w:sz w:val="20"/>
          <w:szCs w:val="20"/>
          <w:color w:val="auto"/>
        </w:rPr>
      </w:pPr>
    </w:p>
    <w:p>
      <w:pPr>
        <w:ind w:right="320" w:firstLine="456"/>
        <w:spacing w:after="0" w:line="258" w:lineRule="auto"/>
        <w:rPr>
          <w:sz w:val="20"/>
          <w:szCs w:val="20"/>
          <w:color w:val="auto"/>
        </w:rPr>
      </w:pPr>
      <w:r>
        <w:rPr>
          <w:rFonts w:ascii="Arial" w:cs="Arial" w:eastAsia="Arial" w:hAnsi="Arial"/>
          <w:sz w:val="18"/>
          <w:szCs w:val="18"/>
          <w:b w:val="1"/>
          <w:bCs w:val="1"/>
          <w:color w:val="auto"/>
        </w:rPr>
        <w:t>Model-based design products—</w:t>
      </w:r>
      <w:r>
        <w:rPr>
          <w:rFonts w:ascii="Arial" w:cs="Arial" w:eastAsia="Arial" w:hAnsi="Arial"/>
          <w:sz w:val="18"/>
          <w:szCs w:val="18"/>
          <w:color w:val="auto"/>
        </w:rPr>
        <w:t>Autodesk’s model-based design products, Autodesk Revit products, Autodesk Inventor products, AutoCAD Civil 3D,</w:t>
      </w:r>
      <w:r>
        <w:rPr>
          <w:rFonts w:ascii="Arial" w:cs="Arial" w:eastAsia="Arial" w:hAnsi="Arial"/>
          <w:sz w:val="18"/>
          <w:szCs w:val="18"/>
          <w:b w:val="1"/>
          <w:bCs w:val="1"/>
          <w:color w:val="auto"/>
        </w:rPr>
        <w:t xml:space="preserve"> </w:t>
      </w:r>
      <w:r>
        <w:rPr>
          <w:rFonts w:ascii="Arial" w:cs="Arial" w:eastAsia="Arial" w:hAnsi="Arial"/>
          <w:sz w:val="18"/>
          <w:szCs w:val="18"/>
          <w:color w:val="auto"/>
        </w:rPr>
        <w:t>Moldflow and Autodesk Navisworks products. In the past we have referred to these products as 3D model-based design products. We have modified that reference to more accurately reflect these products’ functionality and conform it to the descriptions of our other product types, horizontal design products and vertical design products.</w:t>
      </w:r>
    </w:p>
    <w:p>
      <w:pPr>
        <w:spacing w:after="0" w:line="136"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BIM (Building Information Modeling)—</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3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Digital prototyping—</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b w:val="1"/>
          <w:bCs w:val="1"/>
          <w:color w:val="auto"/>
        </w:rPr>
        <w:t xml:space="preserve"> </w:t>
      </w:r>
      <w:r>
        <w:rPr>
          <w:rFonts w:ascii="Arial" w:cs="Arial" w:eastAsia="Arial" w:hAnsi="Arial"/>
          <w:sz w:val="18"/>
          <w:szCs w:val="18"/>
          <w:color w:val="auto"/>
        </w:rPr>
        <w:t>model rather than a physical model.</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firstLine="456"/>
        <w:spacing w:after="0" w:line="262" w:lineRule="auto"/>
        <w:rPr>
          <w:sz w:val="20"/>
          <w:szCs w:val="20"/>
          <w:color w:val="auto"/>
        </w:rPr>
      </w:pPr>
      <w:r>
        <w:rPr>
          <w:rFonts w:ascii="Arial" w:cs="Arial" w:eastAsia="Arial" w:hAnsi="Arial"/>
          <w:sz w:val="18"/>
          <w:szCs w:val="18"/>
          <w:b w:val="1"/>
          <w:bCs w:val="1"/>
          <w:color w:val="auto"/>
        </w:rPr>
        <w:t>Upgrade and crossgrade—</w:t>
      </w:r>
      <w:r>
        <w:rPr>
          <w:rFonts w:ascii="Arial" w:cs="Arial" w:eastAsia="Arial" w:hAnsi="Arial"/>
          <w:sz w:val="18"/>
          <w:szCs w:val="18"/>
          <w:color w:val="auto"/>
        </w:rPr>
        <w:t>In an upgrade, a customer pays an incremental fee at currently available prices toward the purchase of a new version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product; the license to the previous version of the product is terminated. In a crossgrade, a customer pays an incremental fee at currently available prices toward the purchase of a different product; the license to the previous product is terminated.</w:t>
      </w:r>
    </w:p>
    <w:p>
      <w:pPr>
        <w:spacing w:after="0" w:line="138" w:lineRule="exact"/>
        <w:rPr>
          <w:sz w:val="20"/>
          <w:szCs w:val="20"/>
          <w:color w:val="auto"/>
        </w:rPr>
      </w:pPr>
    </w:p>
    <w:p>
      <w:pPr>
        <w:jc w:val="both"/>
        <w:ind w:right="280" w:firstLine="456"/>
        <w:spacing w:after="0" w:line="332" w:lineRule="auto"/>
        <w:rPr>
          <w:sz w:val="20"/>
          <w:szCs w:val="20"/>
          <w:color w:val="auto"/>
        </w:rPr>
      </w:pPr>
      <w:r>
        <w:rPr>
          <w:rFonts w:ascii="Arial" w:cs="Arial" w:eastAsia="Arial" w:hAnsi="Arial"/>
          <w:sz w:val="16"/>
          <w:szCs w:val="16"/>
          <w:color w:val="auto"/>
        </w:rPr>
        <w:t>Beginning in the first quarter of fiscal 2012, we will provide new classifications of our product revenue results. The following are the categories that we will report—“Flagship,” “Suites,” and “New and Adjacent.” We will no longer report revenue metrics on model-based design, horizontal, or vertical products.</w:t>
      </w:r>
    </w:p>
    <w:p>
      <w:pPr>
        <w:spacing w:after="0" w:line="79" w:lineRule="exact"/>
        <w:rPr>
          <w:sz w:val="20"/>
          <w:szCs w:val="20"/>
          <w:color w:val="auto"/>
        </w:rPr>
      </w:pPr>
    </w:p>
    <w:p>
      <w:pPr>
        <w:ind w:right="420" w:firstLine="456"/>
        <w:spacing w:after="0" w:line="262" w:lineRule="auto"/>
        <w:rPr>
          <w:sz w:val="20"/>
          <w:szCs w:val="20"/>
          <w:color w:val="auto"/>
        </w:rPr>
      </w:pPr>
      <w:r>
        <w:rPr>
          <w:rFonts w:ascii="Arial" w:cs="Arial" w:eastAsia="Arial" w:hAnsi="Arial"/>
          <w:sz w:val="18"/>
          <w:szCs w:val="18"/>
          <w:b w:val="1"/>
          <w:bCs w:val="1"/>
          <w:color w:val="auto"/>
        </w:rPr>
        <w:t>Flagship—</w:t>
      </w:r>
      <w:r>
        <w:rPr>
          <w:rFonts w:ascii="Arial" w:cs="Arial" w:eastAsia="Arial" w:hAnsi="Arial"/>
          <w:sz w:val="18"/>
          <w:szCs w:val="18"/>
          <w:color w:val="auto"/>
        </w:rPr>
        <w:t>Autodesk Flagship products are our core standalone horizontal, vertical and model-based design products. Flagship includes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3ds Max, AutoCAD, AutoCAD LT, AutoCAD vertical products, Civil 3D, Inventor products (standalone), Maya, Plant 3D and Revit products (standalone).</w:t>
      </w:r>
    </w:p>
    <w:p>
      <w:pPr>
        <w:spacing w:after="0" w:line="132"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Suites—</w:t>
      </w:r>
      <w:r>
        <w:rPr>
          <w:rFonts w:ascii="Arial" w:cs="Arial" w:eastAsia="Arial" w:hAnsi="Arial"/>
          <w:sz w:val="16"/>
          <w:szCs w:val="16"/>
          <w:color w:val="auto"/>
        </w:rPr>
        <w:t>Autodesk design Suites are a combination of products that target a specific user objective (product design, building design, etc.) and support a set</w:t>
      </w:r>
      <w:r>
        <w:rPr>
          <w:rFonts w:ascii="Arial" w:cs="Arial" w:eastAsia="Arial" w:hAnsi="Arial"/>
          <w:sz w:val="16"/>
          <w:szCs w:val="16"/>
          <w:b w:val="1"/>
          <w:bCs w:val="1"/>
          <w:color w:val="auto"/>
        </w:rPr>
        <w:t xml:space="preserve"> </w:t>
      </w:r>
      <w:r>
        <w:rPr>
          <w:rFonts w:ascii="Arial" w:cs="Arial" w:eastAsia="Arial" w:hAnsi="Arial"/>
          <w:sz w:val="16"/>
          <w:szCs w:val="16"/>
          <w:color w:val="auto"/>
        </w:rPr>
        <w:t>of workflows for that objective. Suites include the following products classes: AutoCAD Design Suites, Educational/Academic Suites, Entertainment Creation Suites, Factory Design Suites, Inventor Family Suites, Plant Design Suites and Revit Family Suites.</w:t>
      </w:r>
    </w:p>
    <w:p>
      <w:pPr>
        <w:spacing w:after="0" w:line="97"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New and Adjacent—</w:t>
      </w:r>
      <w:r>
        <w:rPr>
          <w:rFonts w:ascii="Arial" w:cs="Arial" w:eastAsia="Arial" w:hAnsi="Arial"/>
          <w:sz w:val="16"/>
          <w:szCs w:val="16"/>
          <w:color w:val="auto"/>
        </w:rPr>
        <w:t>Autodesk New and Adjacent products include Autodesk’s new product offerings as well as products that are not included in Flagship</w:t>
      </w:r>
      <w:r>
        <w:rPr>
          <w:rFonts w:ascii="Arial" w:cs="Arial" w:eastAsia="Arial" w:hAnsi="Arial"/>
          <w:sz w:val="16"/>
          <w:szCs w:val="16"/>
          <w:b w:val="1"/>
          <w:bCs w:val="1"/>
          <w:color w:val="auto"/>
        </w:rPr>
        <w:t xml:space="preserve"> </w:t>
      </w:r>
      <w:r>
        <w:rPr>
          <w:rFonts w:ascii="Arial" w:cs="Arial" w:eastAsia="Arial" w:hAnsi="Arial"/>
          <w:sz w:val="16"/>
          <w:szCs w:val="16"/>
          <w:color w:val="auto"/>
        </w:rPr>
        <w:t>or Suites. New and Adjacent includes the following services and products: Algor products, Alias Design products, Autodesk Consulting, Buzzsaw, Constructware, Consumer products, Creative Finishing products, Moldflow products, Navisworks, Vault products and all other products.</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operate in a rapidly changing environment that involves significant risks, a number of which are beyond our control. In addition to the other information contained in this Form 10-K,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10-K and in the documents incorporated herein by reference. They could affect our actual results of operations, causing them to differ materially from those expressed in “forward-looking” statements.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Any deceleration or reversal of the current global economic recoveries may impact our business, financial results and financial condition.</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As our business has expanded globally, we have increasingly become subject to risks arising from adverse changes in global economic and political conditions. The past two years have been characterized by weak global economic conditions, a tightening in the credit markets, a low level of liquidity in many financial markets, increased government deficit spending and debt levels, and extreme volatility in many financial instrument markets. Although some of these conditions appear to be abating and a global recovery seems to be underway, it is not yet clear whether a sustainable recovery is currently taking place on a worldwide basis.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Any deceleration or reversal of the relatively slow and modest economic recovery taking place may cause our customers to defer, reduce or cancel purchases. 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w:t>
      </w:r>
    </w:p>
    <w:p>
      <w:pPr>
        <w:spacing w:after="0" w:line="10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In addition, these factors may cause, and over the past several years have caused, us to restructure our business and in turn incur restructuring charges as well as take impairment charges on some of our long-term assets. In addition, the improvement of our financial performance over the past several fiscal quarters may be negatively impacted by:</w:t>
      </w:r>
    </w:p>
    <w:p>
      <w:pPr>
        <w:spacing w:after="0" w:line="62"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impairing our distribution channels and cash flows;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inability of banks to honor our existing line of credit, increasing our borrowing expenses or eliminating our ability to obtain short-term financing;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decreased borrowing and spending by our end users on small and large projects in the industries we serve, thereby reducing demand for our products.</w:t>
      </w:r>
    </w:p>
    <w:p>
      <w:pPr>
        <w:spacing w:after="0" w:line="287" w:lineRule="exact"/>
        <w:rPr>
          <w:sz w:val="20"/>
          <w:szCs w:val="20"/>
          <w:color w:val="auto"/>
        </w:rPr>
      </w:pPr>
    </w:p>
    <w:p>
      <w:pPr>
        <w:ind w:left="240" w:right="160"/>
        <w:spacing w:after="0" w:line="357" w:lineRule="auto"/>
        <w:rPr>
          <w:sz w:val="20"/>
          <w:szCs w:val="20"/>
          <w:color w:val="auto"/>
        </w:rPr>
      </w:pPr>
      <w:r>
        <w:rPr>
          <w:rFonts w:ascii="Arial" w:cs="Arial" w:eastAsia="Arial" w:hAnsi="Arial"/>
          <w:sz w:val="15"/>
          <w:szCs w:val="15"/>
          <w:i w:val="1"/>
          <w:iCs w:val="1"/>
          <w:color w:val="auto"/>
        </w:rPr>
        <w:t>The actions that we may be forced to take in the event of any deceleration or reversal of the current domestic and global economic recoveries could be costly and may not be as effective as we anticipate, and may force us to take additional actions to reduce our expenses and stimulate demand for our products.</w:t>
      </w:r>
    </w:p>
    <w:p>
      <w:pPr>
        <w:ind w:right="60" w:firstLine="456"/>
        <w:spacing w:after="0" w:line="306" w:lineRule="auto"/>
        <w:rPr>
          <w:sz w:val="20"/>
          <w:szCs w:val="20"/>
          <w:color w:val="auto"/>
        </w:rPr>
      </w:pPr>
      <w:r>
        <w:rPr>
          <w:rFonts w:ascii="Arial" w:cs="Arial" w:eastAsia="Arial" w:hAnsi="Arial"/>
          <w:sz w:val="16"/>
          <w:szCs w:val="16"/>
          <w:color w:val="auto"/>
        </w:rPr>
        <w:t>Any deceleration or reversal of the current domestic and global economic recoveries may reduce our revenue levels and force us to take actions to reduce our cost structure to more closely align our costs with our reduced revenue levels. Over the past several years we have on several occasions taken such actions. In taking any future restructuring actions, we may incur, and over the past several years have incurred, additional costs that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negatively impact our operating margins. If we do not achieve the proper balance of these cost reduction initiatives, we may eliminate critical elements of our operations, the loss of which could negatively impact our ability to benefit from eventual economic growth.</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any deceleration or reversal of the current domestic and global economic recoveries may cause us to take, and over the past several years we have taken, actions to stimulate demand for our products through a number of programs. Although we are attempting to balance the cost of these programs against the longer term benefits, it is possible that we will make such investments without corresponding increases in demand for our products and our revenue. This would further reduce our operating margins and have a negative impact on our financial results.</w:t>
      </w:r>
    </w:p>
    <w:p>
      <w:pPr>
        <w:spacing w:after="0" w:line="194"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negatively impacts our future revenue and financial results.</w:t>
      </w:r>
    </w:p>
    <w:p>
      <w:pPr>
        <w:spacing w:after="0" w:line="5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addition, a portion of the growth of our maintenance revenue has typically been associated with growth of the number of licenses that we sell. Any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reduction in the number of licenses that we sell, even if our customers’ attach rates do not change, will have a negative impact on our future maintenance revenue.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This in turn would impact our business and harm our financial results.</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net maintenance billings will negatively impact future maintenance revenue, however future maintenance revenue will also be impacted by other factors such as the amount, timing and mix of contract terms of future billings.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Our financial results fluctuate within each quarter and from quarter to quarter making our future revenue and financial results difficult to predict.</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quarterly financial results have fluctuated in the past and may do so in the future. These fluctuations could cause our stock price to change significantly or experience declines. In addition to the other factors described in this Part I, Item 1A, some of the factors that could cause our financial results to fluctuate include:</w:t>
      </w:r>
    </w:p>
    <w:p>
      <w:pPr>
        <w:spacing w:after="0" w:line="59"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general market, economic, business and political conditions, including the impact of sales in particular geographies, including emerging economies,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governments around the world to finance infrastructure projects,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growth or contraction of our upgrade, crossgrade or maintenance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success of our hedging activity,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to expand our AutoCAD and AutoCAD LT products customer base to related vertical design products and model-based design products,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 (“Suites”),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 or negative growth in the industries we serve, including architecture, engineering and construction, manufacturing and digital media and entertainment markets,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pressure or changes in product pricing or product mix,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platform changes,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tax laws or regulations or accounting rules, such as increased use of fair value measures and the potential requirement that U.S. registrants prepare financial statements in accordance with International Financial Reporting Standards (“IFRS”),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dependence and the timing of large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and new computing platforms,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conditions. In particular, our financial results in Europe during our third quarter are usually affected by a slow summer period, and our Asia Pacific operations typically experience seasonal slowing in our third and fourth quarters.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operating expenses are based in part on our expectations for future revenue and are relatively fixed in the short term. Accordingly, any revenue shortfall below expectations could have an immediate and significant adverse effect on our profitability. Greater than anticipated expenses or a failure to maintain rigorous cost controls would also negatively affect profitability. Further, gross margins may be adversely affected if our sales of Creative Finishing products, which historically have had lower margins, grow at a faster rate than sales of our higher-margin products.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market price for our common stock has experienced significant fluctuations and may continue to fluctuate significantly. The market price for our common stock may be affected by a number of factors, including:</w:t>
      </w:r>
    </w:p>
    <w:p>
      <w:pPr>
        <w:spacing w:after="0" w:line="5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or key performance metrics;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 and</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21"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5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dependent on our international operations for a significant portion of our revenue.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Further, our dependency on international revenue makes us much more exposed to global economic and political trends, which can negatively impact our financial results, even if our results in the U.S. are strong for a particular period.</w:t>
      </w:r>
    </w:p>
    <w:p>
      <w:pPr>
        <w:spacing w:after="0" w:line="14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particularly in emerging economies, increasing enforcement by the U.S. under the Foreign Currupt Practices Act, adoption of stricter anti-corruption laws in certain countries, including the United Kingdom, difficulties in staffing and managing foreign sales and development operations, longer collection cycles for accounts receivable, potential changes in tax laws, tax arrangements with foreign governments, including our ability to meet and review the terms of those tax arrangements, and laws regarding the management of data, possible future limitations upon foreign owned businesses, increased financial accounting and reporting burdens and complexities, inadequate local infrastructure, greater difficulty in protecting intellectual property, and other factors beyond our control, including popular uprisings, terrorism, war, natural disasters and diseases.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net revenue and profits.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markets in which we compete are characterized by vigorous competition, both by entry of competitors with innovative technologies and by consolidation of companies with complementary products and technologies. In</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continued price reductions, reduced net revenue and profit margins and loss of market share, any of which would likely harm our business.</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believe that our future results depend largely upon our ability to offer products that compete favorably with respect to reliability, performance, ease of use, range of useful features, continuing product enhancements, reputation and price.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regularly acquire or invest in businesses, software products and technologies that are complementary to our business through acquisitions, strategic alliances or equity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retain customers, vendors, distributors, business partners, and other entities associated with the acquired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distributors as business partners as a result of acquiring another business;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for incompatible business cultures;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transaction or integration-related costs.</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97"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if these products are not successful, our net revenue will be adversely affected.</w:t>
      </w:r>
    </w:p>
    <w:p>
      <w:pPr>
        <w:spacing w:after="0" w:line="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derive a substantial portion of our net revenue from sales of licenses of a small number of our products, including AutoCAD software, products based on AutoCAD that serve specific vertical markets, upgrades to those products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fiscal year ended January 31, 2011, combined revenue from our AutoCAD and AutoCAD LT products represented 33% of our consolidated net revenue.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640"/>
        <w:spacing w:after="0" w:line="332" w:lineRule="auto"/>
        <w:rPr>
          <w:sz w:val="20"/>
          <w:szCs w:val="20"/>
          <w:color w:val="auto"/>
        </w:rPr>
      </w:pPr>
      <w:r>
        <w:rPr>
          <w:rFonts w:ascii="Arial" w:cs="Arial" w:eastAsia="Arial" w:hAnsi="Arial"/>
          <w:sz w:val="16"/>
          <w:szCs w:val="16"/>
          <w:i w:val="1"/>
          <w:iCs w:val="1"/>
          <w:color w:val="auto"/>
        </w:rPr>
        <w:t>Our strategy to develop and introduce new product and service offerings, including new product features, exposes us to risks such as limited customer acceptance, costs related to product defects and large expenditures that may not result in additional net revenue.</w:t>
      </w:r>
    </w:p>
    <w:p>
      <w:pPr>
        <w:spacing w:after="0" w:line="4"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We devote significant resources to the development of new technologies, such as our vertical design products and our digital prototyping and collaboration products. In addition, we frequently introduce new business models or methods that require a considerable investment of technical and financial resources such as an increase in our portfolio of, and focus on, Suites. We are making such investments through further development and enhancement of our existing products, as well as through acquisitions of new product lines. Such investments may not result in sufficient revenue generation to justify their costs, or competitors may introduce new products and services that achieve acceptance among our current customers, adversely affecting our competitive position.</w:t>
      </w:r>
    </w:p>
    <w:p>
      <w:pPr>
        <w:spacing w:after="0" w:line="12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In particular, a critical component of our growth strategy is to have customers of our AutoCAD and AutoCAD LT products expand their portfolios to include our related vertical design products and our model-based design products and our Suites. Over time, we aim to migrate customers using standalone Autodesk products to expand their portfolio with our Suites offerings. Should sales of licenses of our AutoCAD and AutoCAD LT or standalone Autodesk products decrease without a corresponding increase in vertical design and model-based design product revenue or without purchases of customer seats to our vertical design products and model-based design products or Suites, our results of operations will be adversely affected.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Further, given the rapid speed of changing customer expectations and advancement of technology inherent in the software industry, the extensive and complex efforts required to create useful and widely accepted products and the rapid evolution of cloud computing, mobile devices, new computing platforms and other technologies, our executive management team must act quickly, continuously and with vision. Although we have articulated a strategy that we believe will fulfill these challenges, if we fail to execute properly on that strategy, adapt that strategy as market conditions evolve,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201"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i w:val="1"/>
          <w:iCs w:val="1"/>
          <w:color w:val="auto"/>
        </w:rPr>
        <w:t>From time to time we introduce new business and sales initiatives; if we fail to successfully execute and manage these initiatives, our results of operations could be negatively impacted.</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our expanding portfolio of Suites. We may take such actions without clear indications that they will prove successful.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our actual results may vary materially from those anticipated, and our financial results will be negatively impacted.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we</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expect that software piracy will remain a persistent problem. Furthermore, our means of protecting our proprietary rights may not be adequate.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 and the functionality of products in different industry segments overlap,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99" w:lineRule="exact"/>
        <w:rPr>
          <w:sz w:val="20"/>
          <w:szCs w:val="20"/>
          <w:color w:val="auto"/>
        </w:rPr>
      </w:pPr>
    </w:p>
    <w:p>
      <w:pPr>
        <w:jc w:val="both"/>
        <w:ind w:left="240" w:right="220"/>
        <w:spacing w:after="0" w:line="259"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59"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sell our software products both directly to end-users and through a network of distributors and resellers. For the fiscal year ended January 31, 2011, approximately 85%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16%, 14% and 14% of our consolidated net revenue for the fiscal years ended January 31, 2011, 2010 and 2009, respectively.</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Over time, we have modified and will continue to modify aspects of our relationship with our distributors and resellers, such as their incentive programs, pricing to them and our distribution model to motivate and reward</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81"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5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are involved in legal proceedings and receive inquiries from regulatory agencies. As the global economy has changed and our business has evolved, we have seen an increase in litigation activity. In addition,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While outcomes of such actions vary,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99"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5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make significant efforts to maintain the security and integrity of our product source code and computer systems. There appears to be an increasing number of computer “hackers” developing and deploying a variety of destructive software programs (such as viruses, worms, and the like) that could attack our products and computer systems. Despite significant efforts to create security barriers to such programs, it is virtually impossible for us to entirely mitigate this risk. Like all software products, our software is vulnerable to such attacks. The impact of such an attack could disrupt the proper functioning of our software products, cause errors in the output of our customers’ work, allow unauthorized access to sensitive, proprietary or confidential information of ours or our customers and other destructive outcomes. If this were to occur, our reputation may suffer, customers may stop buying our products, we could face lawsuits and potential liability and our financial performance could be negatively impacted.</w:t>
      </w:r>
    </w:p>
    <w:p>
      <w:pPr>
        <w:spacing w:after="0" w:line="199" w:lineRule="exact"/>
        <w:rPr>
          <w:sz w:val="20"/>
          <w:szCs w:val="20"/>
          <w:color w:val="auto"/>
        </w:rPr>
      </w:pPr>
    </w:p>
    <w:p>
      <w:pPr>
        <w:ind w:left="240" w:right="260"/>
        <w:spacing w:after="0" w:line="259" w:lineRule="auto"/>
        <w:rPr>
          <w:sz w:val="20"/>
          <w:szCs w:val="20"/>
          <w:color w:val="auto"/>
        </w:rPr>
      </w:pPr>
      <w:r>
        <w:rPr>
          <w:rFonts w:ascii="Arial" w:cs="Arial" w:eastAsia="Arial" w:hAnsi="Arial"/>
          <w:sz w:val="18"/>
          <w:szCs w:val="18"/>
          <w:i w:val="1"/>
          <w:iCs w:val="1"/>
          <w:color w:val="auto"/>
        </w:rPr>
        <w:t>While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While we have determined that our internal control over financial reporting was effective as of January 31, 2010, as indicated in our Management Report on Internal Control over Financial Reporting, included in this Annual Report on Form 10-K, we must continue to monitor and assess our internal control over financial reporting. If our management identifies one or more material weaknesses in our internal control over financial reporting and such weakness remains uncorrected at fiscal year end, we will be unable to assert such internal control is effective at fiscal year 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99"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90"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addition, the SEC has stated that it intends to make a determination in 2011 regarding the incorporation of IFRS into the financial reporting system for U.S. companies. A change in accounting principles from GAAP to IFRS may have a material impact on the way in which we report financial results.</w:t>
      </w:r>
    </w:p>
    <w:p>
      <w:pPr>
        <w:spacing w:after="0" w:line="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take into account how these potential changes may impact our new models, particularly in the area of revenue recognition.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use derivative instruments to manage a portion of our earnings exposure and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1 to 12 months in the future, and provide us with some protection against currency exposures. However, our attempts to hedge against these risks may not be successful, resulting in an adverse impact on our financial results.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94" w:lineRule="exact"/>
        <w:rPr>
          <w:sz w:val="20"/>
          <w:szCs w:val="20"/>
          <w:color w:val="auto"/>
        </w:rPr>
      </w:pPr>
    </w:p>
    <w:p>
      <w:pPr>
        <w:ind w:left="240" w:right="120"/>
        <w:spacing w:after="0" w:line="256"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cause interest rates to decline, credit ratings of our investments to deteriorate, or illiquidity in the financial marketplace, we may continue to experience a decline in interest income, an inability to sell our investments, or impairment in the value of our investments.</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interest income, or result in material charges, which in turn could impact our overall net income and earnings per share.</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If we were to experience a loss on any of our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95"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successfully challenged by tax authorities.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224"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4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221"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00"/>
        <w:spacing w:after="0" w:line="259"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certain of our customer services operations as well as some of our operations; any interruption or delay in service from these third parties, breaches of security or privacy, or failures in data collection could expose us to liability, harm our reputation and adversely impact our financial performance.</w:t>
      </w:r>
    </w:p>
    <w:p>
      <w:pPr>
        <w:spacing w:after="0" w:line="5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of customer data. In addition, our operations could be negatively affected in the event of a security breach, and we could be subject to the loss or theft of confidential or proprietary information, including source code. Unauthorized access to this data may be obtained through break-ins, breach of our secure network by an unauthorized party, employee theft or misuse, or other misconduct. 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204"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received no written comments regarding our periodic or current reports from the staff of the SEC that were issued 180 days or more preceding the end of our 2011 fiscal year that remain unresolved.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lease 1,883,000 square feet of office space in 106 locations in the United States and internationally through our foreign subsidiaries. In addition, we own 25,000 square feet of office space in two locations</w:t>
      </w:r>
    </w:p>
    <w:p>
      <w:pPr>
        <w:spacing w:after="0" w:line="114"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internationally through our foreign subsidiaries. Our executive offices and corporate headquarters are located in leased office space in San Rafael, California. Our San Rafael facilities consist of 331,000 square feet under leases that have expiration dates ranging from March 2011 to December 2019. We and our foreign subsidiaries lease additional space in various locations throughout the world for local sales, product development and technical support personnel.</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All facilities are in good condition. Our facilities, excluding those in restructuring, are operating at capacities averaging 81% occupancy worldwide as of January 31, 2011. We believe that our existing facilities and offices are adequate to meet our requirements for the foreseeable future. See Note 8, “Commitments and Contingencies,” in the Notes to Consolidated Financial Statements for more information about our lease commitments.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However, it is possible that an unfavorable resolution of one or more such proceedings could in the future materially affect our future results of operations, cash flows or financial position in a particular period.</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ADSK. The following table lists the high and low sales prices for each quarter in the last two fiscal years.</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38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Low</w:t>
            </w: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jc w:val="right"/>
              <w:ind w:right="3972"/>
              <w:spacing w:after="0"/>
              <w:rPr>
                <w:sz w:val="20"/>
                <w:szCs w:val="20"/>
                <w:color w:val="auto"/>
              </w:rPr>
            </w:pPr>
            <w:r>
              <w:rPr>
                <w:rFonts w:ascii="Arial" w:cs="Arial" w:eastAsia="Arial" w:hAnsi="Arial"/>
                <w:sz w:val="18"/>
                <w:szCs w:val="18"/>
                <w:color w:val="auto"/>
                <w:w w:val="84"/>
              </w:rPr>
              <w:t>Fiscal 2011</w:t>
            </w:r>
          </w:p>
        </w:tc>
        <w:tc>
          <w:tcPr>
            <w:tcW w:w="33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3860" w:type="dxa"/>
            <w:vAlign w:val="bottom"/>
            <w:gridSpan w:val="2"/>
          </w:tcPr>
          <w:p>
            <w:pPr>
              <w:jc w:val="center"/>
              <w:ind w:left="3272"/>
              <w:spacing w:after="0"/>
              <w:rPr>
                <w:sz w:val="20"/>
                <w:szCs w:val="20"/>
                <w:color w:val="auto"/>
              </w:rPr>
            </w:pPr>
            <w:r>
              <w:rPr>
                <w:rFonts w:ascii="Arial" w:cs="Arial" w:eastAsia="Arial" w:hAnsi="Arial"/>
                <w:sz w:val="18"/>
                <w:szCs w:val="18"/>
                <w:color w:val="auto"/>
                <w:w w:val="90"/>
              </w:rPr>
              <w:t>$34.72</w:t>
            </w:r>
          </w:p>
        </w:tc>
        <w:tc>
          <w:tcPr>
            <w:tcW w:w="88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$22.95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860" w:type="dxa"/>
            <w:vAlign w:val="bottom"/>
            <w:gridSpan w:val="2"/>
            <w:shd w:val="clear" w:color="auto" w:fill="CCEEFF"/>
          </w:tcPr>
          <w:p>
            <w:pPr>
              <w:jc w:val="center"/>
              <w:ind w:left="3272"/>
              <w:spacing w:after="0"/>
              <w:rPr>
                <w:sz w:val="20"/>
                <w:szCs w:val="20"/>
                <w:color w:val="auto"/>
              </w:rPr>
            </w:pPr>
            <w:r>
              <w:rPr>
                <w:rFonts w:ascii="Arial" w:cs="Arial" w:eastAsia="Arial" w:hAnsi="Arial"/>
                <w:sz w:val="18"/>
                <w:szCs w:val="18"/>
                <w:color w:val="auto"/>
                <w:w w:val="90"/>
              </w:rPr>
              <w:t>$34.89</w:t>
            </w:r>
          </w:p>
        </w:tc>
        <w:tc>
          <w:tcPr>
            <w:tcW w:w="88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$24.05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3860" w:type="dxa"/>
            <w:vAlign w:val="bottom"/>
            <w:gridSpan w:val="2"/>
          </w:tcPr>
          <w:p>
            <w:pPr>
              <w:jc w:val="center"/>
              <w:ind w:left="3272"/>
              <w:spacing w:after="0"/>
              <w:rPr>
                <w:sz w:val="20"/>
                <w:szCs w:val="20"/>
                <w:color w:val="auto"/>
              </w:rPr>
            </w:pPr>
            <w:r>
              <w:rPr>
                <w:rFonts w:ascii="Arial" w:cs="Arial" w:eastAsia="Arial" w:hAnsi="Arial"/>
                <w:sz w:val="18"/>
                <w:szCs w:val="18"/>
                <w:color w:val="auto"/>
                <w:w w:val="90"/>
              </w:rPr>
              <w:t>$36.20</w:t>
            </w:r>
          </w:p>
        </w:tc>
        <w:tc>
          <w:tcPr>
            <w:tcW w:w="88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$27.36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3860" w:type="dxa"/>
            <w:vAlign w:val="bottom"/>
            <w:gridSpan w:val="2"/>
            <w:shd w:val="clear" w:color="auto" w:fill="CCEEFF"/>
          </w:tcPr>
          <w:p>
            <w:pPr>
              <w:jc w:val="center"/>
              <w:ind w:left="3272"/>
              <w:spacing w:after="0"/>
              <w:rPr>
                <w:sz w:val="20"/>
                <w:szCs w:val="20"/>
                <w:color w:val="auto"/>
              </w:rPr>
            </w:pPr>
            <w:r>
              <w:rPr>
                <w:rFonts w:ascii="Arial" w:cs="Arial" w:eastAsia="Arial" w:hAnsi="Arial"/>
                <w:sz w:val="18"/>
                <w:szCs w:val="18"/>
                <w:color w:val="auto"/>
                <w:w w:val="90"/>
              </w:rPr>
              <w:t>$42.03</w:t>
            </w:r>
          </w:p>
        </w:tc>
        <w:tc>
          <w:tcPr>
            <w:tcW w:w="88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$33.77</w:t>
            </w:r>
          </w:p>
        </w:tc>
        <w:tc>
          <w:tcPr>
            <w:tcW w:w="80" w:type="dxa"/>
            <w:vAlign w:val="bottom"/>
            <w:shd w:val="clear" w:color="auto" w:fill="CCEEFF"/>
          </w:tcPr>
          <w:p>
            <w:pPr>
              <w:spacing w:after="0"/>
              <w:rPr>
                <w:sz w:val="18"/>
                <w:szCs w:val="18"/>
                <w:color w:val="auto"/>
              </w:rPr>
            </w:pPr>
          </w:p>
        </w:tc>
      </w:tr>
      <w:tr>
        <w:trPr>
          <w:trHeight w:val="323"/>
        </w:trPr>
        <w:tc>
          <w:tcPr>
            <w:tcW w:w="4880" w:type="dxa"/>
            <w:vAlign w:val="bottom"/>
            <w:gridSpan w:val="2"/>
          </w:tcPr>
          <w:p>
            <w:pPr>
              <w:jc w:val="right"/>
              <w:ind w:right="3972"/>
              <w:spacing w:after="0"/>
              <w:rPr>
                <w:sz w:val="20"/>
                <w:szCs w:val="20"/>
                <w:color w:val="auto"/>
              </w:rPr>
            </w:pPr>
            <w:r>
              <w:rPr>
                <w:rFonts w:ascii="Arial" w:cs="Arial" w:eastAsia="Arial" w:hAnsi="Arial"/>
                <w:sz w:val="18"/>
                <w:szCs w:val="18"/>
                <w:color w:val="auto"/>
                <w:w w:val="86"/>
              </w:rPr>
              <w:t>Fiscal 2010</w:t>
            </w:r>
          </w:p>
        </w:tc>
        <w:tc>
          <w:tcPr>
            <w:tcW w:w="3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3860" w:type="dxa"/>
            <w:vAlign w:val="bottom"/>
            <w:gridSpan w:val="2"/>
            <w:shd w:val="clear" w:color="auto" w:fill="CCEEFF"/>
          </w:tcPr>
          <w:p>
            <w:pPr>
              <w:jc w:val="center"/>
              <w:ind w:left="3272"/>
              <w:spacing w:after="0"/>
              <w:rPr>
                <w:sz w:val="20"/>
                <w:szCs w:val="20"/>
                <w:color w:val="auto"/>
              </w:rPr>
            </w:pPr>
            <w:r>
              <w:rPr>
                <w:rFonts w:ascii="Arial" w:cs="Arial" w:eastAsia="Arial" w:hAnsi="Arial"/>
                <w:sz w:val="18"/>
                <w:szCs w:val="18"/>
                <w:color w:val="auto"/>
                <w:w w:val="90"/>
              </w:rPr>
              <w:t>$19.94</w:t>
            </w:r>
          </w:p>
        </w:tc>
        <w:tc>
          <w:tcPr>
            <w:tcW w:w="88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3"/>
              </w:rPr>
              <w:t>$ 11.78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3860" w:type="dxa"/>
            <w:vAlign w:val="bottom"/>
            <w:gridSpan w:val="2"/>
          </w:tcPr>
          <w:p>
            <w:pPr>
              <w:jc w:val="center"/>
              <w:ind w:left="3272"/>
              <w:spacing w:after="0"/>
              <w:rPr>
                <w:sz w:val="20"/>
                <w:szCs w:val="20"/>
                <w:color w:val="auto"/>
              </w:rPr>
            </w:pPr>
            <w:r>
              <w:rPr>
                <w:rFonts w:ascii="Arial" w:cs="Arial" w:eastAsia="Arial" w:hAnsi="Arial"/>
                <w:sz w:val="18"/>
                <w:szCs w:val="18"/>
                <w:color w:val="auto"/>
                <w:w w:val="90"/>
              </w:rPr>
              <w:t>$22.66</w:t>
            </w:r>
          </w:p>
        </w:tc>
        <w:tc>
          <w:tcPr>
            <w:tcW w:w="88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$17.01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3860" w:type="dxa"/>
            <w:vAlign w:val="bottom"/>
            <w:gridSpan w:val="2"/>
            <w:shd w:val="clear" w:color="auto" w:fill="CCEEFF"/>
          </w:tcPr>
          <w:p>
            <w:pPr>
              <w:jc w:val="center"/>
              <w:ind w:left="3272"/>
              <w:spacing w:after="0"/>
              <w:rPr>
                <w:sz w:val="20"/>
                <w:szCs w:val="20"/>
                <w:color w:val="auto"/>
              </w:rPr>
            </w:pPr>
            <w:r>
              <w:rPr>
                <w:rFonts w:ascii="Arial" w:cs="Arial" w:eastAsia="Arial" w:hAnsi="Arial"/>
                <w:sz w:val="18"/>
                <w:szCs w:val="18"/>
                <w:color w:val="auto"/>
                <w:w w:val="90"/>
              </w:rPr>
              <w:t>$27.08</w:t>
            </w:r>
          </w:p>
        </w:tc>
        <w:tc>
          <w:tcPr>
            <w:tcW w:w="88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$21.76</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3860" w:type="dxa"/>
            <w:vAlign w:val="bottom"/>
            <w:gridSpan w:val="2"/>
          </w:tcPr>
          <w:p>
            <w:pPr>
              <w:jc w:val="center"/>
              <w:ind w:left="3272"/>
              <w:spacing w:after="0"/>
              <w:rPr>
                <w:sz w:val="20"/>
                <w:szCs w:val="20"/>
                <w:color w:val="auto"/>
              </w:rPr>
            </w:pPr>
            <w:r>
              <w:rPr>
                <w:rFonts w:ascii="Arial" w:cs="Arial" w:eastAsia="Arial" w:hAnsi="Arial"/>
                <w:sz w:val="18"/>
                <w:szCs w:val="18"/>
                <w:color w:val="auto"/>
                <w:w w:val="90"/>
              </w:rPr>
              <w:t>$27.69</w:t>
            </w:r>
          </w:p>
        </w:tc>
        <w:tc>
          <w:tcPr>
            <w:tcW w:w="88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$23.44</w:t>
            </w:r>
          </w:p>
        </w:tc>
        <w:tc>
          <w:tcPr>
            <w:tcW w:w="8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did not declare any cash or stock dividends in either fiscal 2011 or fiscal 2010. We anticipate that, for the foreseeable future, we will retain any earnings for use in the operation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As of January 31, 2011, the number of common stockholders of record was 601. Because many of our shares of common stock are held by brokers or other institutions on behalf of stockholders, we are unable to estimate the total number of stockholders represented by the record 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purpose of Autodesk’s stock repurchase program is largely to help offset the dilution to net income per share caused by the issuance of stock under our employee stock plans and for such other purposes as may be in the interests of Autodesk and its stockholders, and has the effect of returning excess cash generated from our business to stockholders over time. The number of shares acquired and the timing of the purchases are based on several factors, including anticipated employee stock purchases during the period, the level of our cash balances, general business and market conditions, the market price of our stock, cash on hand and available in the U.S., company defined trading windows and other investment opportunities. In December 2007, the Board of Directors approved a plan which authorized the repurchase of 20.0 million shares. In December 2010, the Board of Directors approved an additional plan which authorized the repurchase of 20.0 million shares. These plans do not have a fixed expiration date. During the three and twelve months ended January 31, 2011, we repurchased 2.0 million and 9.0 million shares of our common stock, respectively. At January 31, 2011, 24.5 million shares remained available for repurchase under the existing repurchase authorizations. See Note 9, “Stockholders’ Equity,” in the Notes to Consolidated Financial Statements for further discussion.</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provides information about the repurchase of our common stock under the stock repurchase programs in open-market transactions during the quarter ended January 31,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76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Maximum Number of</w:t>
            </w:r>
          </w:p>
        </w:tc>
      </w:tr>
      <w:tr>
        <w:trPr>
          <w:trHeight w:val="149"/>
        </w:trPr>
        <w:tc>
          <w:tcPr>
            <w:tcW w:w="11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76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that May Yet</w:t>
            </w:r>
          </w:p>
        </w:tc>
      </w:tr>
      <w:tr>
        <w:trPr>
          <w:trHeight w:val="149"/>
        </w:trPr>
        <w:tc>
          <w:tcPr>
            <w:tcW w:w="11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740" w:type="dxa"/>
            <w:vAlign w:val="bottom"/>
          </w:tcPr>
          <w:p>
            <w:pPr>
              <w:spacing w:after="0"/>
              <w:rPr>
                <w:sz w:val="12"/>
                <w:szCs w:val="12"/>
                <w:color w:val="auto"/>
              </w:rPr>
            </w:pPr>
          </w:p>
        </w:tc>
        <w:tc>
          <w:tcPr>
            <w:tcW w:w="1360" w:type="dxa"/>
            <w:vAlign w:val="bottom"/>
            <w:gridSpan w:val="3"/>
          </w:tcPr>
          <w:p>
            <w:pPr>
              <w:jc w:val="right"/>
              <w:ind w:right="820"/>
              <w:spacing w:after="0" w:line="149" w:lineRule="exact"/>
              <w:rPr>
                <w:sz w:val="20"/>
                <w:szCs w:val="20"/>
                <w:color w:val="auto"/>
              </w:rPr>
            </w:pPr>
            <w:r>
              <w:rPr>
                <w:rFonts w:ascii="Arial" w:cs="Arial" w:eastAsia="Arial" w:hAnsi="Arial"/>
                <w:sz w:val="14"/>
                <w:szCs w:val="14"/>
                <w:b w:val="1"/>
                <w:bCs w:val="1"/>
                <w:color w:val="auto"/>
                <w:w w:val="94"/>
              </w:rPr>
              <w:t>Average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76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Be Purchased Under</w:t>
            </w:r>
          </w:p>
        </w:tc>
      </w:tr>
      <w:tr>
        <w:trPr>
          <w:trHeight w:val="149"/>
        </w:trPr>
        <w:tc>
          <w:tcPr>
            <w:tcW w:w="11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740" w:type="dxa"/>
            <w:vAlign w:val="bottom"/>
          </w:tcPr>
          <w:p>
            <w:pPr>
              <w:spacing w:after="0"/>
              <w:rPr>
                <w:sz w:val="12"/>
                <w:szCs w:val="12"/>
                <w:color w:val="auto"/>
              </w:rPr>
            </w:pPr>
          </w:p>
        </w:tc>
        <w:tc>
          <w:tcPr>
            <w:tcW w:w="136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w w:val="85"/>
              </w:rPr>
              <w:t>Price Paid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76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the Plans or</w:t>
            </w:r>
          </w:p>
        </w:tc>
      </w:tr>
      <w:tr>
        <w:trPr>
          <w:trHeight w:val="161"/>
        </w:trPr>
        <w:tc>
          <w:tcPr>
            <w:tcW w:w="5320" w:type="dxa"/>
            <w:vAlign w:val="bottom"/>
            <w:gridSpan w:val="2"/>
          </w:tcPr>
          <w:p>
            <w:pPr>
              <w:spacing w:after="0"/>
              <w:rPr>
                <w:sz w:val="20"/>
                <w:szCs w:val="20"/>
                <w:color w:val="auto"/>
              </w:rPr>
            </w:pPr>
            <w:r>
              <w:rPr>
                <w:rFonts w:ascii="Arial" w:cs="Arial" w:eastAsia="Arial" w:hAnsi="Arial"/>
                <w:sz w:val="14"/>
                <w:szCs w:val="14"/>
                <w:i w:val="1"/>
                <w:iCs w:val="1"/>
                <w:color w:val="auto"/>
              </w:rPr>
              <w:t>(Shares in thousands)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74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per Share</w:t>
            </w:r>
          </w:p>
        </w:tc>
        <w:tc>
          <w:tcPr>
            <w:tcW w:w="7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or Programs(1)</w:t>
            </w:r>
          </w:p>
        </w:tc>
        <w:tc>
          <w:tcPr>
            <w:tcW w:w="7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Programs(2)</w:t>
            </w:r>
          </w:p>
        </w:tc>
        <w:tc>
          <w:tcPr>
            <w:tcW w:w="100" w:type="dxa"/>
            <w:vAlign w:val="bottom"/>
          </w:tcPr>
          <w:p>
            <w:pPr>
              <w:spacing w:after="0"/>
              <w:rPr>
                <w:sz w:val="14"/>
                <w:szCs w:val="14"/>
                <w:color w:val="auto"/>
              </w:rPr>
            </w:pPr>
          </w:p>
        </w:tc>
      </w:tr>
      <w:tr>
        <w:trPr>
          <w:trHeight w:val="21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 November 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7"/>
              </w:rPr>
              <w:t>34.85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6,142.8</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December 1 – December 31</w:t>
            </w:r>
          </w:p>
        </w:tc>
        <w:tc>
          <w:tcPr>
            <w:tcW w:w="820" w:type="dxa"/>
            <w:vAlign w:val="bottom"/>
          </w:tcPr>
          <w:p>
            <w:pPr>
              <w:jc w:val="right"/>
              <w:spacing w:after="0"/>
              <w:rPr>
                <w:sz w:val="20"/>
                <w:szCs w:val="20"/>
                <w:color w:val="auto"/>
              </w:rPr>
            </w:pPr>
            <w:r>
              <w:rPr>
                <w:rFonts w:ascii="Arial" w:cs="Arial" w:eastAsia="Arial" w:hAnsi="Arial"/>
                <w:sz w:val="18"/>
                <w:szCs w:val="18"/>
                <w:color w:val="auto"/>
              </w:rPr>
              <w:t>1,688.7</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w w:val="97"/>
              </w:rPr>
              <w:t>38.70</w:t>
            </w:r>
          </w:p>
        </w:tc>
        <w:tc>
          <w:tcPr>
            <w:tcW w:w="1060" w:type="dxa"/>
            <w:vAlign w:val="bottom"/>
          </w:tcPr>
          <w:p>
            <w:pPr>
              <w:jc w:val="right"/>
              <w:spacing w:after="0"/>
              <w:rPr>
                <w:sz w:val="20"/>
                <w:szCs w:val="20"/>
                <w:color w:val="auto"/>
              </w:rPr>
            </w:pPr>
            <w:r>
              <w:rPr>
                <w:rFonts w:ascii="Arial" w:cs="Arial" w:eastAsia="Arial" w:hAnsi="Arial"/>
                <w:sz w:val="18"/>
                <w:szCs w:val="18"/>
                <w:color w:val="auto"/>
              </w:rPr>
              <w:t>1,688.7</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24,454.1</w:t>
            </w:r>
          </w:p>
        </w:tc>
        <w:tc>
          <w:tcPr>
            <w:tcW w:w="10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 January 31</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24,454.1</w:t>
            </w:r>
          </w:p>
        </w:tc>
        <w:tc>
          <w:tcPr>
            <w:tcW w:w="100" w:type="dxa"/>
            <w:vAlign w:val="bottom"/>
            <w:shd w:val="clear" w:color="auto" w:fill="CCEEFF"/>
          </w:tcPr>
          <w:p>
            <w:pPr>
              <w:spacing w:after="0"/>
              <w:rPr>
                <w:sz w:val="18"/>
                <w:szCs w:val="18"/>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w w:val="97"/>
              </w:rPr>
              <w:t>38.10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2,000.9</w:t>
            </w: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shares purchased in open-market transactions under the stock repurchase programs approved by the Board of Directors.</w:t>
      </w:r>
    </w:p>
    <w:p>
      <w:pPr>
        <w:spacing w:after="0" w:line="15"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amounts correspond to the plans approved by the Board of Directors in December 2007 and December 2010 that each authorize the repurchase of 20.0 million shares. These plans do not have a fixed expiration date.</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There were no sales of unregistered securities during the three months ended January 31,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Performance</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graph shows a five-year comparison of cumulative total return (equal to dividends plus stock appreciation) for our Common Stock, the Standard &amp; Poor’s 500 Stock Index and the Dow Jones U.S. Software Index.</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 Year Cumulative Total Stockholder Return(1)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960110" cy="2950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0110" cy="295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right="220" w:hanging="452"/>
        <w:spacing w:after="0" w:line="33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Assumes $100 invested on January 31, 2006, in Autodesk’s stock, the Standard &amp; Poor’s 500 Stock Index, and the Dow Jones U.S. Software Index, with reinvestment of all dividends. Total stockholder returns for prior periods are not an indication of future investment returns.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following selected consolidated financial data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of this Form 10-K to fully understand factors that may affect the comparability of the information presented below. The financial data for the years ended January 31, 2011, 2010 and 2009 are derived from, and are qualified by reference to, the audited consolidated financial statements that are included in this Form 10-K. The financial data for the years ended January 31, 2008 and 2007 are derived from audited, consolidated financial statements which are not included in this Form 10-K.</w:t>
      </w:r>
    </w:p>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0"/>
          </w:tcPr>
          <w:p>
            <w:pPr>
              <w:jc w:val="center"/>
              <w:ind w:right="340"/>
              <w:spacing w:after="0"/>
              <w:rPr>
                <w:sz w:val="20"/>
                <w:szCs w:val="20"/>
                <w:color w:val="auto"/>
              </w:rPr>
            </w:pPr>
            <w:r>
              <w:rPr>
                <w:rFonts w:ascii="Arial" w:cs="Arial" w:eastAsia="Arial" w:hAnsi="Arial"/>
                <w:sz w:val="14"/>
                <w:szCs w:val="14"/>
                <w:b w:val="1"/>
                <w:bCs w:val="1"/>
                <w:color w:val="auto"/>
                <w:w w:val="87"/>
              </w:rPr>
              <w:t>Fiscal year ended January 31,</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73"/>
              </w:rPr>
              <w:t>millions,</w:t>
            </w: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440" w:type="dxa"/>
            <w:vAlign w:val="bottom"/>
            <w:gridSpan w:val="2"/>
            <w:vMerge w:val="continue"/>
          </w:tcPr>
          <w:p>
            <w:pPr>
              <w:spacing w:after="0"/>
              <w:rPr>
                <w:sz w:val="12"/>
                <w:szCs w:val="12"/>
                <w:color w:val="auto"/>
              </w:rPr>
            </w:pPr>
          </w:p>
        </w:tc>
        <w:tc>
          <w:tcPr>
            <w:tcW w:w="6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2"/>
              </w:rPr>
              <w:t>except per</w:t>
            </w:r>
          </w:p>
        </w:tc>
        <w:tc>
          <w:tcPr>
            <w:tcW w:w="460" w:type="dxa"/>
            <w:vAlign w:val="bottom"/>
            <w:gridSpan w:val="2"/>
            <w:vMerge w:val="continue"/>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data)</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For the Fiscal Year:</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Net revenue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1,951.8</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1,713.7</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2,315.2</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2,171.9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1,839.8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12"/>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32"/>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Common Stock Data:</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net income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Diluted net income per share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 per share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from operations includes the following items(2):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Amortization of acquisition related intangibles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w w:val="92"/>
              </w:rPr>
              <w:t>Employee tax reimbursement related to voluntary stock</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640"/>
              <w:spacing w:after="0"/>
              <w:rPr>
                <w:sz w:val="20"/>
                <w:szCs w:val="20"/>
                <w:color w:val="auto"/>
              </w:rPr>
            </w:pPr>
            <w:r>
              <w:rPr>
                <w:rFonts w:ascii="Arial" w:cs="Arial" w:eastAsia="Arial" w:hAnsi="Arial"/>
                <w:sz w:val="18"/>
                <w:szCs w:val="18"/>
                <w:color w:val="auto"/>
              </w:rPr>
              <w:t>option review</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expense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Provision for income taxes includes the following item:</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Establishment of valuation allowance on deferred tax</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At Year End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2,787.6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2,447.2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2,420.7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2,212.2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1,609.3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income includes the items identified below in “Income from operations” net of tax.</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items are recorded on a pre-tax basis.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below in “Strategy,” anticipated future net revenue, future operating margin and other future financial results (by product and geography) and operating expenses, availability of credit for our customers and partners, our backlog, our belief that the strength of our channel network, technological leadership, brand recognition, breadth of product line, and large installed base are benefitting us as global economies recover, expected trends in certain financial metrics, the impact of acquisitions and investment activities, the effect of fluctuations in exchange rates and our hedging activities on our financial results, the impact of economic volatility and geopolitical activities in certain countries, particularly emerging economy countries, and the resulting effect on our financial results, and our ability to successfully expand adoption of our products, our ability to successfully increase sales of product suites as part of our overall sales strategy and the impact of our restructuring activities.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the factors set forth above in 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Autodesk’s vision is to help people imagine, design and create a better world. We do this by developing software for the world’s designers, architects, engineers, and digital artists—the people who create the products, buildings, infrastructure, films, and games. Autodesk serves customers in three primary markets: architecture, engineering and construction; manufacturing; and digital media and entertainment.</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goal is to provide our customers with the world’s most valuable, innovative, and engaging software and services. Our product and services portfolio allow our customers to digitally visualize, simulate, and analyze their projects, helping them to better understand the consequences of their design decisions; save time, money, and resources; and become more innovative.</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By innovating in existing technology categories, we bring powerful new design capabilities to volume markets. Our products are designed to be easy-to-learn and use, and to provide customers with a low cost of deployment, a low total cost of ownership,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addition to the competitive advantages afforded by our technology, our large global network of distributors, resellers, third-party developers, customers, educational institutions, faculty and students is a key competitive advantage. This network of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Autodesk products and extend them for a variety of specialized applications. Users fluent in our products are broadly and globally available from educational institutions and in the existing workforce. We offer extensive educational programs, including student versions of software, curricula, and faculty development. We have an extensive global community of students who are fluent in our software and poised to become the next generation of professional users – thus reducing the cost of training and providing fresh talent for our customers. Our global network of distributors, resellers, third party developers, customers, educational institutions and students has been developed over our twenty-eight year history. We believe it is an enduring competitive advantage that is difficult for others to replicate.</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growth strategy includes continually increasing the business value of our design tools to our customers in a number of ways. First, we seek to address an increasing portion of our customers’ workflow with products that extend the value of our customers’ digital design information into visualization, analysis, and simulation. Second, we extend our customers’ workflow with products for adjacent users and for the “customers of our customers,” thus increasing the value of the design information our customers produce. Third, we seek to improve our product interoperability and usability, thus improving our customers’ productivity and effectiveness. Fourth, we develop new ways to deliver capability and value to our customers, such as product suites, software-as-a-service, mobile devices, and new hardware platforms. Notably, in October 2010, we released AutoCAD for the Mac, reaching a large base of native Mac environment customers. Finally, we have developed a new line of consumer products for the Web, iPad, and mobile devices that provide our advanced visualization technologies to consumers—a whole new category of Autodesk customer.</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number of our customers use our horizontal design products, AutoCAD and AutoCAD LT. We also develop a large number of vertical model-based design products. We believe that expanding our horizontal design product customers’ portfolios to include our vertical design products and our model based design products, and now our suites, presents a meaningful growth opportunity and is an important part of our overall strategy. For fiscal 2011, revenue from model-based design products increased 18% as compared to the prior fiscal year and as a percentage of revenue, increased to 30% in fiscal 2011 as compared to 29% in fiscal 2010. For fiscal 2011, revenue from Suites increased 26%, as compared to the prior fiscal year, and as a percentage of revenue increased to 23% in fiscal 2011 as compared to 20% in fiscal 2010. We believe that the adoption of vertical design products and model-based design products by our customers in all industries will increase their productivity and the value of their design data.</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Expanding our geographic coverage is another key element of our growth strategy. While emerging markets are important for all global businesses, we believe they hold special opportunity for Autodesk. Much of the growth in the world’s construction and manufacturing is happening in emerging markets. Further, emerging markets face many of the challenges that our design technology can help address, for example infrastructure build-out. We believe that emerging economies continue to present long-term growth opportunities for us and revenue from emerging countries increased 17% during fiscal 2011 as compared to fiscal 2010. Revenue from emerging countries represented 15% of both fiscal 2011 and fiscal 2010 net revenue. While we believe there are long-term growth opportunities in emerging economies, conducting business in these countries presents significant challenges, including economic volatility, geopolitical risk, local competition, intellectual property protection, poorly developed business infrastructure, scarcity of talent and software piracy.</w:t>
      </w:r>
    </w:p>
    <w:p>
      <w:pPr>
        <w:spacing w:after="0" w:line="118"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and integration challenges and may, in certain instances, negatively impact our operating margins. We continually review these trade-offs in making decisions regarding acquisitions. We currently anticipate that we will acquire products, technology and businesses as compelling opportunities that promote our strategy become available. The pace at which we make such investments will vary depending upon our business needs, the availability of suitable sellers and technology, and our own financial condition.</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resellers, third-party developers, customers, educational institutions, and students;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Our Consolidated Financial Statements are prepared in conformity with U.S. generally accepted accounting principles.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We believe that of all our significant accounting policies, the following policies involve a higher degree of judgment and complexity. Accordingly, these are the policies we believe are the most critical to aid in fully understanding and evaluating our financial condition and results of operations.</w:t>
      </w:r>
    </w:p>
    <w:p>
      <w:pPr>
        <w:spacing w:after="0" w:line="11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recognize revenue when persuasive evidence of an arrangement exists, delivery has occurred or services have been rendered,</w:t>
      </w:r>
      <w:r>
        <w:rPr>
          <w:rFonts w:ascii="Arial" w:cs="Arial" w:eastAsia="Arial" w:hAnsi="Arial"/>
          <w:sz w:val="16"/>
          <w:szCs w:val="16"/>
          <w:i w:val="1"/>
          <w:iCs w:val="1"/>
          <w:color w:val="auto"/>
        </w:rPr>
        <w:t xml:space="preserve"> </w:t>
      </w:r>
      <w:r>
        <w:rPr>
          <w:rFonts w:ascii="Arial" w:cs="Arial" w:eastAsia="Arial" w:hAnsi="Arial"/>
          <w:sz w:val="16"/>
          <w:szCs w:val="16"/>
          <w:color w:val="auto"/>
        </w:rPr>
        <w:t>the price is fixed or determinable and collection is probable. However, determining whether and when some of these criteria have been satisfied often involves assumptions and judgments that can have a significant impact on the timing and amount of revenue we report.</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multiple element arrangements that include software products, we allocate the sales price among each of the deliverables using the residual method, under which revenue is allocated to undelivered elements based on their vendor-specific objective evidence (“VSOE”) of fair value. VSOE is the price charged when an element is sold separately or a price set by management with the relevant authority. If we do not have VSOE of an undelivered software license, we defer revenue recognition on the entire sales arrangement until all elements for which we do not have VSOE are delivered. If we do not have VSOE for undelivered maintenance or services, the revenue for the arrangement is recognized over the longest contractual period in the arrangement. We are required to exercise judgment in determining whether VSOE exists for each undelivered element based on whether our pricing for these elements is sufficiently consistent.</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assessment of likelihood of collection is also a critical factor in determining the timing of revenue recognition. If we do not believe that collection is probable, the revenue will be deferred until the earlier of when collection is deemed probable or payment is received.</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indirect channel model includes both a two-tiered distribution structure, where distributors sell to resellers, and a one-tiered structure where Autodesk sells directly to resellers. Our product license revenue from distributors and resellers are generally recognized at the time title to our product passes to the distributor, in a two-tiered structure, or reseller, in a one-tiered structure, provided all other criteria for revenue recognition are met. This policy is predicated on our ability to estimate sales returns, among other criteria. We are also required to evaluate whether our distributors and resellers have the ability to honor their commitment to make fixed or</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determinable payments, regardless of whether they collect payment from their customers. Our policy also presumes that we have no significant performance obligations in connection with the sale of our product licenses by our distributors and resellers to their customers. If we were to change any of these assumptions or judgments, it could cause a material increase or decrease in the amount of revenue that we report in a particular period.</w:t>
      </w:r>
    </w:p>
    <w:p>
      <w:pPr>
        <w:spacing w:after="0" w:line="10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 xml:space="preserve">Marketable Securities. </w:t>
      </w:r>
      <w:r>
        <w:rPr>
          <w:rFonts w:ascii="Arial" w:cs="Arial" w:eastAsia="Arial" w:hAnsi="Arial"/>
          <w:sz w:val="16"/>
          <w:szCs w:val="16"/>
          <w:color w:val="auto"/>
        </w:rPr>
        <w:t>At January 31, 2011 we had $391.8 million of short and long-term marketable securities. Marketable securities are stated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As described in Note 3, “Fair Value Measurements,” in the Notes to the Consolidated Financial Statements, we estimate the fair value of our marketable securities each quarter. Fair value is defined as an exit price, representing the amount that would be received from the sale of an asset or paid to transfer a liability in the principal or most advantageous market for the asset or liability in an orderly transaction between market participants at the measurement date. When identical or similar assets are traded in active markets, the level of judgment required to estimate their fair value is relatively low. This is generally true for our cash and cash equivalents and the majority of our marketable securities, which we consider to be Level 1 assets and Level 2 assets. However, determining the fair value of marketable securities when observable inputs are not available (Level 3) requires significant judgment. For example we use a discounted cash flow model to estimate the fair value of our auction rate securities; because we have determined that the market for those securities is inactive. This determination is based on the fact that due to a decrease in liquidity in the global credit markets, the regularly scheduled auctions for the auction rate securities we hold have generally failed since August 2007. 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We allocate the purchase price of acquired companies to assets and liabilities, as well as to in-process research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their estimated fair values at the acquisition date. The purchase price allocation process requires us to make significant estimates and assumptions, especially at the acquisition date with respect to intangible assets and deferred revenue obligations.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Although we believe the assumptions and estimates we have made are reasonable, they are based in part on historical experience and information obtained from the management of the acquired companies and are inherently uncertain. Examples of critical estimates used in valuing certain of the intangible assets we have acquired or may acquire in the future include but are not limited to: future expected cash flows from sales, maintenance agreements and acquired developed technologies; the acquired company’s trade name and customer relationships as well as assumptions about the period of time the acquired trade name and customer relationships will continue to be used in the combined company’s product portfolio; expected costs to develop the in-process research and development into commercially viable products and estimated cash flows from the projects when completed; and discount rates.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We test goodwill for impairment annually in our fourth fiscal quarter or sooner should events or changes in circumstances indicate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When assessing goodwill for impairment, we use discounted cash flow models which include assumptions regarding projected cash flows. Variances in these assumptions could have a significant impact on our conclusion as to whether goodwill is impaired, or the amount of any impairment charge. Impairment charges, if any, result from instances where the fair values of net assets associated with goodwill are less than their carrying values. As changes in business conditions and our assumptions occur, we may be required to record impairment charges.</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of January 31, 2011, a hypothetical 10% decrease in the fair value of our reporting units would not have an impact on the carrying value of goodwill, nor result in impairment of goodwill. For further discussion see Note 1, “Business and Summary of Significant Accounting Policies,” in the Notes to the Consolidated Financial Statements.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Realizability of Long-Lived Assets. </w:t>
      </w:r>
      <w:r>
        <w:rPr>
          <w:rFonts w:ascii="Arial" w:cs="Arial" w:eastAsia="Arial" w:hAnsi="Arial"/>
          <w:sz w:val="18"/>
          <w:szCs w:val="18"/>
          <w:color w:val="auto"/>
        </w:rPr>
        <w:t>We assess the realizability of our long-lived assets and related intangible assets, other than goodwill, annually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fourth fiscal quarter, or sooner should events or</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changes in circumstances indicate the carrying values of such assets may not be recoverable. We consider the following factors important in determining when to perform an impairment review: significant under-performance of a business or product line relative to budget; shifts in business strategies which affect the continued uses of the assets; significant negative industry or economic trends; and the results of past impairment reviews.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assessing the recoverability of these long-lived assets, we first determine their fair values, which are based on assumptions regarding the estimated future cash flows that could reasonably be generated by these assets. If impairment indicators were present based on our undiscounted cash flow models, which include assumptions regarding projected cash flows, we would discount the cash flows to assess impairments on long-lived assets. Variances in these assumptions could have a significant impact on our conclusion as to whether an asset is impaired or the amount of any impairment charge. Impairment charges, if any, result in situations where any fair values of these assets are less than their carrying values.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our recoverability assessments, we routinely review the remaining estimated useful lives of our long-lived assets. Any reduction in the useful life assumption will result in increased depreciation and amortization expense in the quarter when such determinations are made, as well as in subsequent quarters.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will continue to evaluate the values of our long-lived assets in accordance with applicable accounting rules. As changes in business conditions and our assumptions occur, we may be required to record impairment charges.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currently have $147.5 million of net deferred tax assets, primarily a result of tax credits, net operating losses, and timing differences</w:t>
      </w:r>
      <w:r>
        <w:rPr>
          <w:rFonts w:ascii="Arial" w:cs="Arial" w:eastAsia="Arial" w:hAnsi="Arial"/>
          <w:sz w:val="16"/>
          <w:szCs w:val="16"/>
          <w:i w:val="1"/>
          <w:iCs w:val="1"/>
          <w:color w:val="auto"/>
        </w:rPr>
        <w:t xml:space="preserve"> </w:t>
      </w:r>
      <w:r>
        <w:rPr>
          <w:rFonts w:ascii="Arial" w:cs="Arial" w:eastAsia="Arial" w:hAnsi="Arial"/>
          <w:sz w:val="16"/>
          <w:szCs w:val="16"/>
          <w:color w:val="auto"/>
        </w:rPr>
        <w:t>for reserves, accrued liabilities, stock options, purchased technologies and capitalized intangibles, partially offset by the establishment of U.S. deferred tax liabilities on unremitted earnings from certain foreign subsidiaries, deferred tax liabilities associated with tax method change on advanced payments and valuation allowances against California and Canadian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Any change in future profitability may require material adjustments to these net deferred tax assets, resulting in a reduction in net income in the period when such determination is made.</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measure stock-based compensation cost at the grant date fair value of the award, and recognize expense on a straight-line</w:t>
      </w:r>
      <w:r>
        <w:rPr>
          <w:rFonts w:ascii="Arial" w:cs="Arial" w:eastAsia="Arial" w:hAnsi="Arial"/>
          <w:sz w:val="16"/>
          <w:szCs w:val="16"/>
          <w:i w:val="1"/>
          <w:iCs w:val="1"/>
          <w:color w:val="auto"/>
        </w:rPr>
        <w:t xml:space="preserve"> </w:t>
      </w:r>
      <w:r>
        <w:rPr>
          <w:rFonts w:ascii="Arial" w:cs="Arial" w:eastAsia="Arial" w:hAnsi="Arial"/>
          <w:sz w:val="16"/>
          <w:szCs w:val="16"/>
          <w:color w:val="auto"/>
        </w:rPr>
        <w:t>basis over the requisite service period, which is generally the vesting period. We estimate the fair value of stock-based payment awards using the Black-Scholes-Merton option-pricing model. The determination of the fair value of a stock-based award on the date of grant using the Black-Scholes-Merton option-pricing model is affected by our stock price on the date of grant as well as assumptions regarding a number of complex and subjective variables. These variables include our expected stock price volatility over the expected term of the award, actual and projected employee stock option exercise behaviors, the risk-free interest rate for the expected term of the award and expected dividends. The variables used in the model are reviewed on a quarterly basis and adjusted, as needed. The value of the portion of the award that is ultimately expected to vest is recognized as expense in our Consolidated Statements of Operations.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Legal Contingencies</w:t>
      </w:r>
      <w:r>
        <w:rPr>
          <w:rFonts w:ascii="Arial" w:cs="Arial" w:eastAsia="Arial" w:hAnsi="Arial"/>
          <w:sz w:val="16"/>
          <w:szCs w:val="16"/>
          <w:color w:val="auto"/>
        </w:rPr>
        <w:t>. As described in Part I, Item 3, “Legal Proceedings” and Part II, Item 8, Note 8, “Commitments and Contingencies,” in the Notes to</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we are periodically involved in various legal claims and proceedings. We routinely review the status of each significant matter and assess our potential financial exposure. If the potential loss from any matter is considered probable and the amount can be reasonably estimated, we record a liability for the estimated loss. Because of inherent uncertainties related to these legal matters, we base our loss accruals on the best information available at the time. As additional information becomes available, we reassess our potential liability and may revise our estimates. Such revisions could have a material impact on future quarterly or annual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See Part II, Item 8,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 which is incorporated 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Fiscal 2011 Results of Operations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8"/>
              <w:spacing w:after="0"/>
              <w:rPr>
                <w:sz w:val="20"/>
                <w:szCs w:val="20"/>
                <w:color w:val="auto"/>
              </w:rPr>
            </w:pPr>
            <w:r>
              <w:rPr>
                <w:rFonts w:ascii="Arial" w:cs="Arial" w:eastAsia="Arial" w:hAnsi="Arial"/>
                <w:sz w:val="14"/>
                <w:szCs w:val="14"/>
                <w:b w:val="1"/>
                <w:bCs w:val="1"/>
                <w:color w:val="auto"/>
                <w:w w:val="89"/>
              </w:rPr>
              <w:t>Fiscal Year</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18"/>
              <w:spacing w:after="0"/>
              <w:rPr>
                <w:sz w:val="20"/>
                <w:szCs w:val="20"/>
                <w:color w:val="auto"/>
              </w:rPr>
            </w:pPr>
            <w:r>
              <w:rPr>
                <w:rFonts w:ascii="Arial" w:cs="Arial" w:eastAsia="Arial" w:hAnsi="Arial"/>
                <w:sz w:val="14"/>
                <w:szCs w:val="14"/>
                <w:b w:val="1"/>
                <w:bCs w:val="1"/>
                <w:color w:val="auto"/>
                <w:w w:val="89"/>
              </w:rPr>
              <w:t>Fiscal Year</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18"/>
              <w:spacing w:after="0" w:line="149" w:lineRule="exact"/>
              <w:rPr>
                <w:sz w:val="20"/>
                <w:szCs w:val="20"/>
                <w:color w:val="auto"/>
              </w:rPr>
            </w:pPr>
            <w:r>
              <w:rPr>
                <w:rFonts w:ascii="Arial" w:cs="Arial" w:eastAsia="Arial" w:hAnsi="Arial"/>
                <w:sz w:val="14"/>
                <w:szCs w:val="14"/>
                <w:b w:val="1"/>
                <w:bCs w:val="1"/>
                <w:color w:val="auto"/>
              </w:rPr>
              <w:t>Ended</w:t>
            </w:r>
          </w:p>
        </w:tc>
        <w:tc>
          <w:tcPr>
            <w:tcW w:w="2280" w:type="dxa"/>
            <w:vAlign w:val="bottom"/>
            <w:gridSpan w:val="3"/>
          </w:tcPr>
          <w:p>
            <w:pPr>
              <w:jc w:val="right"/>
              <w:ind w:right="712"/>
              <w:spacing w:after="0" w:line="149" w:lineRule="exact"/>
              <w:rPr>
                <w:sz w:val="20"/>
                <w:szCs w:val="20"/>
                <w:color w:val="auto"/>
              </w:rPr>
            </w:pPr>
            <w:r>
              <w:rPr>
                <w:rFonts w:ascii="Arial" w:cs="Arial" w:eastAsia="Arial" w:hAnsi="Arial"/>
                <w:sz w:val="14"/>
                <w:szCs w:val="14"/>
                <w:b w:val="1"/>
                <w:bCs w:val="1"/>
                <w:color w:val="auto"/>
              </w:rPr>
              <w:t>As a % of Net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Ended</w:t>
            </w:r>
          </w:p>
        </w:tc>
        <w:tc>
          <w:tcPr>
            <w:tcW w:w="17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As a % of Net</w:t>
            </w:r>
          </w:p>
        </w:tc>
      </w:t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20" w:type="dxa"/>
            <w:vAlign w:val="bottom"/>
            <w:gridSpan w:val="3"/>
          </w:tcPr>
          <w:p>
            <w:pPr>
              <w:ind w:left="940"/>
              <w:spacing w:after="0"/>
              <w:rPr>
                <w:sz w:val="20"/>
                <w:szCs w:val="20"/>
                <w:color w:val="auto"/>
              </w:rPr>
            </w:pPr>
            <w:r>
              <w:rPr>
                <w:rFonts w:ascii="Arial" w:cs="Arial" w:eastAsia="Arial" w:hAnsi="Arial"/>
                <w:sz w:val="14"/>
                <w:szCs w:val="14"/>
                <w:b w:val="1"/>
                <w:bCs w:val="1"/>
                <w:color w:val="auto"/>
                <w:w w:val="85"/>
              </w:rPr>
              <w:t>January 31, 2011</w:t>
            </w:r>
          </w:p>
        </w:tc>
        <w:tc>
          <w:tcPr>
            <w:tcW w:w="700" w:type="dxa"/>
            <w:vAlign w:val="bottom"/>
          </w:tcPr>
          <w:p>
            <w:pPr>
              <w:spacing w:after="0"/>
              <w:rPr>
                <w:sz w:val="14"/>
                <w:szCs w:val="14"/>
                <w:color w:val="auto"/>
              </w:rPr>
            </w:pPr>
          </w:p>
        </w:tc>
        <w:tc>
          <w:tcPr>
            <w:tcW w:w="1580" w:type="dxa"/>
            <w:vAlign w:val="bottom"/>
            <w:gridSpan w:val="2"/>
          </w:tcPr>
          <w:p>
            <w:pPr>
              <w:jc w:val="right"/>
              <w:ind w:right="852"/>
              <w:spacing w:after="0"/>
              <w:rPr>
                <w:sz w:val="20"/>
                <w:szCs w:val="20"/>
                <w:color w:val="auto"/>
              </w:rPr>
            </w:pPr>
            <w:r>
              <w:rPr>
                <w:rFonts w:ascii="Arial" w:cs="Arial" w:eastAsia="Arial" w:hAnsi="Arial"/>
                <w:sz w:val="14"/>
                <w:szCs w:val="14"/>
                <w:b w:val="1"/>
                <w:bCs w:val="1"/>
                <w:color w:val="auto"/>
              </w:rPr>
              <w:t>Revenue</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w w:val="87"/>
              </w:rPr>
              <w:t>January 31, 2010</w:t>
            </w:r>
          </w:p>
        </w:tc>
        <w:tc>
          <w:tcPr>
            <w:tcW w:w="7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Revenue</w:t>
            </w: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(in millions)</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w:t>
            </w:r>
          </w:p>
        </w:tc>
        <w:tc>
          <w:tcPr>
            <w:tcW w:w="228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100%</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1,713.7</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274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2280" w:type="dxa"/>
            <w:vAlign w:val="bottom"/>
            <w:gridSpan w:val="3"/>
          </w:tcPr>
          <w:p>
            <w:pPr>
              <w:jc w:val="right"/>
              <w:ind w:right="552"/>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228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1,521.9</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r>
      <w:tr>
        <w:trPr>
          <w:trHeight w:val="223"/>
        </w:trPr>
        <w:tc>
          <w:tcPr>
            <w:tcW w:w="20" w:type="dxa"/>
            <w:vAlign w:val="bottom"/>
          </w:tcPr>
          <w:p>
            <w:pPr>
              <w:spacing w:after="0"/>
              <w:rPr>
                <w:sz w:val="19"/>
                <w:szCs w:val="19"/>
                <w:color w:val="auto"/>
              </w:rPr>
            </w:pPr>
          </w:p>
        </w:tc>
        <w:tc>
          <w:tcPr>
            <w:tcW w:w="274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1,483.8</w:t>
            </w:r>
          </w:p>
        </w:tc>
        <w:tc>
          <w:tcPr>
            <w:tcW w:w="2280" w:type="dxa"/>
            <w:vAlign w:val="bottom"/>
            <w:gridSpan w:val="3"/>
          </w:tcPr>
          <w:p>
            <w:pPr>
              <w:jc w:val="right"/>
              <w:ind w:right="552"/>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1,456.3</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228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14%</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results for fiscal 2011 reflect recent improvements in global demand, as compared to the prior fiscal year when the economic downturn had decreased demand for our products and services, and customers reduced their workforces. While some global macroeconomic indicators improved during fiscal 2011, unemployment remains high in several important geographies, including the U.S. Additionally, there are a number of mixed data points as to whether credit has become more readily available, and it is unclear whether and how the availability of credit continues to impact our customers and partners.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business grew year over year as evidenced by our increases in revenue, gross profit and income from operations. During fiscal 2011, as compared to fiscal 2010, net revenue increase 14%, gross profit increased 15% and income from operations increased 314%. Contributing to the year over year increases in revenue were increases in revenue from new seat licenses, maintenance revenue, revenue for most of our major products, all of our reportable segments, and all of our geographies during fiscal 2011 as compared to the prior fiscal year. In addition, we continued to make progress in controlling our operating costs, which led to year over year improvements in profitability. The 314% increase in income from operations in fiscal 2011, as compared to fiscal 2010, was due to the increase in our net revenue, while holding the growth of operating expenses. The majority of our costs are relatively fixed in the short term as they relate primarily to our workforce. In fiscal 2011 we were able to grow our net revenue without significantly increasing our workforce. We believe that the improvements in these areas are indications that our business stabilized and is beginning to grow.</w:t>
      </w:r>
    </w:p>
    <w:p>
      <w:pPr>
        <w:spacing w:after="0" w:line="11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total operating margin increased from $65.6 million, or 4% of revenue during fiscal 2010 to $271.4 million, or 14% of revenue during fiscal 2011. The increase in our operating margin during fiscal 2011 was primarily due to net revenue increasing more rapidly than the increase in our costs due to our cost saving initiatives during fiscal 2011 and 2010. Net revenue increased 238.1 million or 14% for fiscal 2011, as compared to fiscal 2010, while our operating expenses increased $27.5 million, or 2% for fiscal 2011. The 2% increase in operating expenses in fiscal 2011, as compared to fiscal 2010 was due to performance based compensation related to higher company performance, the return of employee costs which were temporarily suppressed in the prior year such as, salary reductions, employee incentives and mandatory vacation, and other costs associated with higher revenue. These increases were partially offset by the decrease in restructuring charges of $37.4 million, the decrease in goodwill impairment charges of $21.0 million and the decrease in stock-based compensation charges of $12.7 million.</w:t>
      </w:r>
    </w:p>
    <w:p>
      <w:pPr>
        <w:spacing w:after="0" w:line="14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believe net revenue for fiscal 2012 will increase by approximately 10% compared to fiscal 2011. We anticipate fiscal 2012 operating margin will increase by approximately 220 basis points compared to fiscal 2011. Net revenue from Japan was $200.6 million, or approximately 10% of our net revenue, for the fiscal year ended January 31, 2011. The earthquake and tsunami that struck Japan in March 2011 has created uncertainty, which may impact our future financial results.</w:t>
      </w:r>
    </w:p>
    <w:p>
      <w:pPr>
        <w:spacing w:after="0" w:line="125"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generate a significant amount of our revenue in the U.S., Japan, Germany, France, the United Kingdom, Canada, Italy, South Korea, Australia and Belgium. Included in the overall increase in revenue were impacts associated with foreign currency. Our revenue benefited from foreign exchange rate changes during fiscal 2011, as compared to fiscal 2010. Had applicable exchange rates from fiscal 2010 been in effect during fiscal 2011 and had we excluded foreign exchange hedge gains and losses from fiscal 2011, (“on a constant currency basis”), net revenue would have increased 13% compared to the prior fiscal year. Operating expenses during fiscal year 2011 increased 2% compared to the prior fiscal year as reported and increased 3% on a constant currency basis. Changes in the value of the U.S. dollar may have a significant effect on net revenue, operating expenses and income from operations in future periods. We use foreign currency contracts to reduce the exchange rate effect on a portion of the net revenue of certain anticipated transactions, but do not attempt to completely mitigate the impact of fluctuation of such foreign currency against the U.S. dollar.</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Tech Data Corporation and its global affiliates (collectively, “Tech Data”). Tech Data accounted for 16% and 14% of our consolidated net revenue during fiscal year 2011 and 2010, respectively. We believe our business is not substantially dependent on Tech Data. Our actual customers through Tech Data are the resellers and end users who purchase our software licenses and services. Should any of the agreements between us and Tech Data be terminated for any reason, we believe that arrangements could be made so that the resellers and end users who currently purchase our products through Tech Data would be able to continue to do so under substantially the same terms from one of our many other distributors without substantial disruption to us.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primary goals for fiscal 2012 are to grow revenue and improve operating margin percentage by delivering our market-leading products and solutions to our customers and investing in product functionality and new product lines, including Suites offerings. However, there can be no assurance that we will achieve our financial goals and improve our financial results.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At January 31, 2011, we had $1,466.9 million in cash and marketable securities. We completed fiscal 2011 with a higher deferred revenue balance and a higher accounts receivable balance as compared to fiscal 2010. Our deferred revenue balance at January 31, 2011 included $509.5 million of customer maintenance contracts, which will be recognized as revenue ratably over the life of the contracts, which is predominantly one year, but may be two or three year, or occasionally as long as five year terms. We repurchased 9.0 million shares of our common stock for $280.3 million during fiscal 2011. Comparatively, we repurchased 2.7 million shares of our common stock for $63.2 million during fiscal 2010.</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Fiscal Year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4"/>
              </w:rPr>
              <w:t>Increase (decrease)</w:t>
            </w:r>
          </w:p>
        </w:tc>
        <w:tc>
          <w:tcPr>
            <w:tcW w:w="18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Fiscal Year</w:t>
            </w:r>
          </w:p>
        </w:tc>
        <w:tc>
          <w:tcPr>
            <w:tcW w:w="180" w:type="dxa"/>
            <w:vAlign w:val="bottom"/>
          </w:tcPr>
          <w:p>
            <w:pPr>
              <w:spacing w:after="0"/>
              <w:rPr>
                <w:sz w:val="14"/>
                <w:szCs w:val="14"/>
                <w:color w:val="auto"/>
              </w:rPr>
            </w:pPr>
          </w:p>
        </w:tc>
        <w:tc>
          <w:tcPr>
            <w:tcW w:w="18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4"/>
              </w:rPr>
              <w:t>Increase (decrease)</w:t>
            </w:r>
          </w:p>
        </w:tc>
        <w:tc>
          <w:tcPr>
            <w:tcW w:w="18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left="178"/>
              <w:spacing w:after="0" w:line="149" w:lineRule="exact"/>
              <w:rPr>
                <w:sz w:val="20"/>
                <w:szCs w:val="20"/>
                <w:color w:val="auto"/>
              </w:rPr>
            </w:pPr>
            <w:r>
              <w:rPr>
                <w:rFonts w:ascii="Arial" w:cs="Arial" w:eastAsia="Arial" w:hAnsi="Arial"/>
                <w:sz w:val="14"/>
                <w:szCs w:val="14"/>
                <w:b w:val="1"/>
                <w:bCs w:val="1"/>
                <w:color w:val="auto"/>
                <w:w w:val="85"/>
              </w:rPr>
              <w:t>compared to</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Pr>
          <w:p>
            <w:pPr>
              <w:spacing w:after="0"/>
              <w:rPr>
                <w:sz w:val="12"/>
                <w:szCs w:val="12"/>
                <w:color w:val="auto"/>
              </w:rPr>
            </w:pPr>
          </w:p>
        </w:tc>
        <w:tc>
          <w:tcPr>
            <w:tcW w:w="1140" w:type="dxa"/>
            <w:vAlign w:val="bottom"/>
            <w:gridSpan w:val="3"/>
          </w:tcPr>
          <w:p>
            <w:pPr>
              <w:jc w:val="center"/>
              <w:ind w:left="266"/>
              <w:spacing w:after="0" w:line="149" w:lineRule="exact"/>
              <w:rPr>
                <w:sz w:val="20"/>
                <w:szCs w:val="20"/>
                <w:color w:val="auto"/>
              </w:rPr>
            </w:pPr>
            <w:r>
              <w:rPr>
                <w:rFonts w:ascii="Arial" w:cs="Arial" w:eastAsia="Arial" w:hAnsi="Arial"/>
                <w:sz w:val="14"/>
                <w:szCs w:val="14"/>
                <w:b w:val="1"/>
                <w:bCs w:val="1"/>
                <w:color w:val="auto"/>
                <w:w w:val="85"/>
              </w:rPr>
              <w:t>compared to</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January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4"/>
                <w:szCs w:val="14"/>
                <w:color w:val="auto"/>
              </w:rPr>
            </w:pPr>
          </w:p>
        </w:tc>
        <w:tc>
          <w:tcPr>
            <w:tcW w:w="18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31,</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1"/>
              </w:rPr>
              <w:t>(in millions)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1,172.1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$191.4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980.7</w:t>
            </w:r>
          </w:p>
        </w:tc>
        <w:tc>
          <w:tcPr>
            <w:tcW w:w="22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$(622.7)</w:t>
            </w: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1,603.4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1,951.8</w:t>
            </w: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1,713.7</w:t>
            </w:r>
          </w:p>
        </w:tc>
        <w:tc>
          <w:tcPr>
            <w:tcW w:w="220" w:type="dxa"/>
            <w:vAlign w:val="bottom"/>
          </w:tcPr>
          <w:p>
            <w:pPr>
              <w:spacing w:after="0"/>
              <w:rPr>
                <w:sz w:val="19"/>
                <w:szCs w:val="19"/>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(601.5)</w:t>
            </w:r>
          </w:p>
        </w:tc>
        <w:tc>
          <w:tcPr>
            <w:tcW w:w="1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2,315.2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Revenue by Geographic Area:</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701.5</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654.4</w:t>
            </w:r>
          </w:p>
        </w:tc>
        <w:tc>
          <w:tcPr>
            <w:tcW w:w="22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$(127.9)</w:t>
            </w: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 Middle East and Africa</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(332.3)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(141.3)</w:t>
            </w: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1,951.8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1,713.7</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Net Revenue by Operating Segment: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$(276.8)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513.3</w:t>
            </w:r>
          </w:p>
        </w:tc>
        <w:tc>
          <w:tcPr>
            <w:tcW w:w="22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(128.1)</w:t>
            </w: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(101.5)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189.1</w:t>
            </w:r>
          </w:p>
        </w:tc>
        <w:tc>
          <w:tcPr>
            <w:tcW w:w="22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(73.0)</w:t>
            </w: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1,951.8</w:t>
            </w: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1,713.7</w:t>
            </w:r>
          </w:p>
        </w:tc>
        <w:tc>
          <w:tcPr>
            <w:tcW w:w="220" w:type="dxa"/>
            <w:vAlign w:val="bottom"/>
          </w:tcPr>
          <w:p>
            <w:pPr>
              <w:spacing w:after="0"/>
              <w:rPr>
                <w:sz w:val="19"/>
                <w:szCs w:val="19"/>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(601.5)</w:t>
            </w:r>
          </w:p>
        </w:tc>
        <w:tc>
          <w:tcPr>
            <w:tcW w:w="18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2,315.2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2011 Net Revenue Compared to Fiscal 2010 Net Revenue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and Other Revenue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License and other revenue is comprised of two components: all forms of product license revenue and other revenue. Product license revenue includes revenue from the sale of new seat licenses, upgrades and crossgrades. Other revenue consists of revenue from Creative Finishing, consulting and training services, collaborative project management services, and our former Location Services division. We divested the Location Services division in February 2009.</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Total license and other revenue increased 20% during fiscal 2011 as compared to fiscal 2010. License and other revenue from horizontal design and vertical design products increased 18% and license and other revenue from model-based design products increased 18%, each as compared to the prior fiscal year. These increases were primarily due to the 31% increase in commercial new seat revenue during fiscal 2011 as compared to fiscal 2010. During fiscal 2011, 28 percentage points of the 31% increase was due to the increase in the number of seats sold, and 3 percentage points was due to higher average net revenue per seat. Commercial new seat revenue, as a percentage of license and other revenue, was 67% and 61% for fiscal 2011 and 2010, respectively.</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Also contributing to the increase in license and other revenue during fiscal 2011, as compared to fiscal 2010, was the 22% increase in upgrade revenue, which includes crossgrade revenue. Upgrade revenue was higher during fiscal 2011 primarily due to a one-time increase in upgrades in response to a promotion in advance of the March 2010 increase in upgrade pricing, an additional promotion run in the Americas geography in the fourth quarter and an increase in the number of larger revenue transactions in fiscal 2011 as compared to fiscal 2010.</w:t>
      </w:r>
    </w:p>
    <w:p>
      <w:pPr>
        <w:spacing w:after="0" w:line="125"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4% of net revenue for all periods presented.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Maintenance Revenue</w:t>
      </w:r>
    </w:p>
    <w:p>
      <w:pPr>
        <w:spacing w:after="0" w:line="90"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Our maintenance revenue relates to a program known by our user community as the Subscription Program.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maintenance contract periods.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Maintenance revenue increased 6% during fiscal 2011, as compared to fiscal 2010, primarily due to a 7% increase in commercial maintenance revenue.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Total subscription program enrollment at January 31, 2011 and 2010 consisted of about 2.9 million users and 2.2 million users, respectively.</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7% increase in commercial maintenance revenue was due to a 5 percentage point increase in net revenue per maintenance seat and a 2 percentage point increase in commercial enrollment during the corresponding maintenance contract term. Commercial maintenance revenue represented 98% of maintenance revenue for both fiscal 2011 and 2010.</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Changes in maintenance revenue lag changes in net billings for maintenance contracts because we recognize the revenue from those contracts ratably over their contract terms, which are predominantly one year, but may be two or three year, or occasionally as long as five year terms. Net maintenance billings increased 14% during fiscal 2011 as compared to fiscal 2010. This increase was due to an increase in renewals, more new seats sold and the impact from the upgrade pricing promotion mentioned above.</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Aggregate backlog at January 31, 2011 and January 31, 2010 was $615.4 million and $542.5 million, respectively, of which $587.9 million and $516.5 million, respectively, represented deferred revenue. Backlog related to current software license product orders that had not shipped at the end of the quarter increased by $1.5 million during fiscal 2011 from $26.0 million at January 31, 2010 to $27.5 million at January 31, 2011. Deferred revenue consists primarily of deferred maintenance revenue. To a lesser extent, deferred revenue consists of deferred license and other revenue derived from collaborative project management services, consulting services and deferred license sales.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Geographic Area</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revenue in the Americas geography increased by 7% both as reported and on a constant currency basis, during fiscal 2011, as compared to fiscal 2010. This increase was primarily due to a 33% increase in revenue from new seats in the Americas during fiscal 2011 as compared to fiscal 2010. Maintenance revenue increased 3% during fiscal 2011 as compared to fiscal 2010. The Americas was affected by slower economic growth than our other geographies, which impacted growth rates for all of our products during fiscal 2011.</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Net revenue in the EMEA geography increased by 17%, or 18% on a constant currency basis, during fiscal 2011 as compared to fiscal 2010. The increase was primarily due to a 24% increase in new seat revenue and a 9% increase in maintenance revenue. The EMEA geography’s increase in revenue during fiscal 2011 was primarily due to economic expansion in virtually all countries in that geography. The increase in our revenue in that geography was led by Germany, France, the United Kingdom and Belgium.</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Net revenue in the APAC geography increased by 20%, or 17% on a constant currency basis, during fiscal 2011, as compared to fiscal 2010, primarily due to a 24% increase in new seat revenue and a 48% increase in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upgrade revenue. Net revenue expansion in the APAC geography during fiscal 2011 occurred in virtually all countries, led by Japan and followed by South Korea, Australia and India.</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Net revenue in emerging economies increased 17% during fiscal 2011 as compared to fiscal 2010, primarily due to revenue from China, the Russian Federation, India, Brazil and Poland. This growth was a significant factor in our international sales growth during fiscal 2011. Revenue from emerging economies represented 15% of net revenue for both fiscal 2011 and 2010.</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that international revenue will continue to comprise a majority of our total net revenue. The economic conditions in the countries that contribute a significant portion of our net revenue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International net revenue represented 71% of our net revenue in fiscal 2011 and 69% of our net revenue in fiscal 2010. We remain cautious regarding our financial prospects primarily due the uncertainty surrounding the sustainability of the global economic recovery.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Operating Segment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four reportable segments: Platform Solutions and Emerging Business (“PSEB”), Architecture, Engineering and Construction (“AEC”), Manufacturing (“MFG”) and Media and Entertainment (“M&amp;E”). Location Services, which we disposed of in February 2009, is not included in any of the above reportable segments and is reflected as Other. We have no material inter-segment revenue.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Net revenue for PSEB increased 15% during fiscal 2011, as compared to fiscal 2010, primarily due to a 20% increase in revenue from both our AutoCAD and AutoCAD LT products, offset by a net 21% decrease in revenue from all other PSEB products and services.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Net revenue for AEC increased 11% during fiscal 2011, as compared to fiscal 2010, primarily due to a 24% increase in revenue from our Revit products, a 6% increase in revenue from our AutoCAD Civil 3D products, and a 27% increase in revenue from our Navisworks products.</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Net revenue for MFG increased 22% during fiscal 2011, as compared to fiscal 2010, primarily due to a 23% increase in revenue from our Autodesk Inventor products and a 28% increase in our AutoCAD Mechanical products.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revenue for M&amp;E increased 5% during fiscal 2011, as compared to fiscal 2010, primarily due to a 5% increase in revenue from our Animation product group and a 3% increase in revenue from Creative Finishing. The increase in Animation revenue was primarily due to a 4% increase in revenue from Autodesk 3ds Max.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2010 Net Revenue Compared to Fiscal 2009 Net Revenue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and Other Revenue</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Total license and other revenue decreased 39% during fiscal 2010 as compared to fiscal 2009. License and other revenue from horizontal design and vertical design products decreased 33% and license and other revenue from model-based design products decreased 19%, each as compared to the prior fiscal year. These decreases were primarily due to the 44% decrease in commercial new seat revenue during fiscal 2010 as compared to fiscal 2009. During fiscal 2010, 29 percentage points of the 44% decrease was due to decreases in the number of seats sold, and 15 percentage points was due to lower average net revenue per seat. Commercial new seat revenue, as a percentage of license and other revenue, was 61% and 67% for fiscal 2010 and 2009, respectively.</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Also contributing to the decrease in license and other revenue during fiscal 2010, as compared to fiscal 2009, was the 32% decrease in upgrade revenue, which includes crossgrade revenue. The decrease in upgrade revenue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was driven primarily by the global economic contraction. Additionally, upgrade revenue was lower during fiscal 2010 because of the relatively smaller size of the upgradeable base of our AutoCAD-based products, as compared to the upgradeable base of our AutoCAD-based products during fiscal 2009, due to a higher percentage of customers on our maintenance program, which includes unspecified upgrades when and if available.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Maintenance Revenue</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Maintenance revenue increased 3% during fiscal 2010, as compared to fiscal 2009, primarily due to a 3% increase in commercial maintenance revenue. The increase in commercial maintenance revenue was due to 8 percentage points from higher net revenue per maintenance seat, partially offset by 5 percentage points from lower program enrollment due to the economic downturn. Our 3% increase in maintenance revenue in fiscal 2010, as compared to fiscal 2009, reflects an 18% increase in maintenance billings in fiscal 2009 as compared to fiscal 2008, partially offset by a 7% decline in maintenance billings in fiscal 2010 as compared to fiscal 2009. The number of users increased from 1.7 million at January 31, 2009 to 2.2 million at January 31, 2010 primarily due to a one-time adjustment of 0.6 million educational seats for users who were migrated to a standard educational maintenance plan during the second fiscal quarter ended July 31, 2009. These users were not previously captured in our maintenance installed base prior to the second quarter of fiscal 2010.</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Maintenance billings declined 7% in fiscal 2010, as compared to fiscal 2009. This decrease was due to fewer new seats sold and a decrease in renewal rates as customers reduced their work force. The year over year growth in billings for maintenance contracts began to slow in the second quarter of fiscal 2009, although maintenance billings increased slightly in the fourth quarter of fiscal 2010 as compared to the fourth quarter of fiscal 2009. The year-over-year decrease in maintenance billings caused downward pressure on maintenance revenue during subsequent years.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Geographic Area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revenue in the Americas geography decreased by 16% both as reported and on a constant currency basis, during fiscal 2010, as compared to fiscal</w:t>
      </w:r>
    </w:p>
    <w:p>
      <w:pPr>
        <w:spacing w:after="0" w:line="38"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2009. This decrease was primarily due to a 27% decrease in revenue from new seats, partially offset by a 5% increase in upgrade revenue in the Americas during fiscal 2010 as compared to fiscal 2009. Maintenance revenue growth was flat in fiscal 2010 as compared to fiscal 2009. Growth in the Americas was affected by economic volatility that impacted growth rates for all of our products during fiscal 2010.</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revenue in the EMEA geography decreased by 33%, or 26% on a constant currency basis, during fiscal 2010 as compared to fiscal 2009. The decrease was primarily due to a 50% decrease in new seat revenue and a 49% decrease in revenue from upgrades. These decreases were partially offset by a 2% increase in maintenance revenue in EMEA during fiscal 2010 as compared to fiscal 2009. The EMEA geography’s decline in revenue during fiscal 2010 was primarily due to economic contraction in virtually all countries in that geography. The decrease in our revenue in that geography was led by emerging economy countries followed by Germany, France, Italy and the United Kingdom. The negative effect of the stronger value of the U.S. dollar relative to the euro, the British pound and other European currencies also contributed to the decrease in net revenue in EMEA.</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Net revenue in the APAC geography decreased by 27%, or 28% on a constant currency basis, during fiscal 2010, as compared to fiscal 2009, primarily due to a 38% decrease in new seat revenue and a 42% decrease in upgrade revenue. These decreases were partially offset by a 13% increase in maintenance revenue. Net revenue contraction in the APAC geography during fiscal 2010 occurred in virtually all countries, led by Japan and followed by China, South Korea, India and Australia.</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Revenue from emerging economies decreased 37% during fiscal 2010 as compared to fiscal 2009. Revenue from emerging economies represented 15% and 18% of net revenue during fiscal 2010 and 2009, respectively. This decrease contributed to our international sales contraction during fiscal 2010.</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International net revenue represented 69% of our net revenue in fiscal 2010 and 72% of our net revenue in fiscal 2009. We started to experience some economic difficulty in international sales in the third quarter of fiscal 2009. Global conditions worsened, and the economic downturn significantly impacted our international sales during the fourth quarter of fiscal 2009, particularly the robust business we had been seeing in emerging economies. The economic contractions in the countries that contribute a significant portion of our net revenue had an adverse effect on our business in those countries and our overall financial performance in fiscal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Operating Segment</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Net revenue for PSEB decreased 31% during fiscal 2010, as compared to fiscal 2009, primarily due to a 38% decrease in revenue from our AutoCAD LT products and a 31% decrease in revenue from our AutoCAD products, offset by a net 12% increase in revenue from all other PSEB products and services.</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Net revenue for AEC decreased 20% during fiscal 2010, as compared to fiscal 2009, primarily due to a 24% decrease in revenue from our Revit products, a 32% decrease in revenue from our AutoCAD Architecture products, a 15% decrease in revenue from our AutoCAD Civil 3D products and a net 13% decrease in revenue from all other AEC products and services.</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Net revenue for MFG decreased 21% during fiscal 2010, as compared to fiscal 2009, primarily due to a 25% decrease in revenue from our Autodesk Inventor products and a 34% decrease in revenue from our Autodesk Mechanical products, offset by a net 2% increase in revenue from all other MFG products and services.</w:t>
      </w:r>
    </w:p>
    <w:p>
      <w:pPr>
        <w:spacing w:after="0" w:line="140"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Net revenue for M&amp;E decreased 28% during fiscal 2010, as compared to fiscal 2009, primarily due to a 42% decrease in revenue from Creative Finishing and an 18% decrease in revenue from our Animation product group. The decrease in Animation revenue was primarily due to a 33% decrease in revenue from Autodesk 3ds Max and a 17% decrease in revenue from Maya, offset by a net 32% increase in revenue from all other M&amp;E products and services.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 and Operating Expenses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Fiscal Year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4"/>
              </w:rPr>
              <w:t>Increase (decrease)</w:t>
            </w:r>
          </w:p>
        </w:tc>
        <w:tc>
          <w:tcPr>
            <w:tcW w:w="24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Fiscal Year</w:t>
            </w:r>
          </w:p>
        </w:tc>
        <w:tc>
          <w:tcPr>
            <w:tcW w:w="220" w:type="dxa"/>
            <w:vAlign w:val="bottom"/>
          </w:tcPr>
          <w:p>
            <w:pPr>
              <w:spacing w:after="0"/>
              <w:rPr>
                <w:sz w:val="14"/>
                <w:szCs w:val="14"/>
                <w:color w:val="auto"/>
              </w:rPr>
            </w:pPr>
          </w:p>
        </w:tc>
        <w:tc>
          <w:tcPr>
            <w:tcW w:w="18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4"/>
              </w:rPr>
              <w:t>Increase (decrease)</w:t>
            </w:r>
          </w:p>
        </w:tc>
        <w:tc>
          <w:tcPr>
            <w:tcW w:w="22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Ended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compared to prior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120" w:type="dxa"/>
            <w:vAlign w:val="bottom"/>
            <w:gridSpan w:val="3"/>
          </w:tcPr>
          <w:p>
            <w:pPr>
              <w:jc w:val="center"/>
              <w:ind w:left="252"/>
              <w:spacing w:after="0" w:line="149" w:lineRule="exact"/>
              <w:rPr>
                <w:sz w:val="20"/>
                <w:szCs w:val="20"/>
                <w:color w:val="auto"/>
              </w:rPr>
            </w:pPr>
            <w:r>
              <w:rPr>
                <w:rFonts w:ascii="Arial" w:cs="Arial" w:eastAsia="Arial" w:hAnsi="Arial"/>
                <w:sz w:val="14"/>
                <w:szCs w:val="14"/>
                <w:b w:val="1"/>
                <w:bCs w:val="1"/>
                <w:color w:val="auto"/>
                <w:w w:val="85"/>
              </w:rPr>
              <w:t>compared to</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January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184"/>
              <w:spacing w:after="0"/>
              <w:rPr>
                <w:sz w:val="20"/>
                <w:szCs w:val="20"/>
                <w:color w:val="auto"/>
              </w:rPr>
            </w:pPr>
            <w:r>
              <w:rPr>
                <w:rFonts w:ascii="Arial" w:cs="Arial" w:eastAsia="Arial" w:hAnsi="Arial"/>
                <w:sz w:val="14"/>
                <w:szCs w:val="14"/>
                <w:b w:val="1"/>
                <w:bCs w:val="1"/>
                <w:color w:val="auto"/>
                <w:w w:val="84"/>
              </w:rPr>
              <w:t>fiscal year</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January 31,</w:t>
            </w:r>
          </w:p>
        </w:tc>
        <w:tc>
          <w:tcPr>
            <w:tcW w:w="220" w:type="dxa"/>
            <w:vAlign w:val="bottom"/>
          </w:tcPr>
          <w:p>
            <w:pPr>
              <w:spacing w:after="0"/>
              <w:rPr>
                <w:sz w:val="14"/>
                <w:szCs w:val="14"/>
                <w:color w:val="auto"/>
              </w:rPr>
            </w:pPr>
          </w:p>
        </w:tc>
        <w:tc>
          <w:tcPr>
            <w:tcW w:w="18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prior fiscal year</w:t>
            </w:r>
          </w:p>
        </w:tc>
        <w:tc>
          <w:tcPr>
            <w:tcW w:w="22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3"/>
              </w:rPr>
              <w:t>2011</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9"/>
              <w:spacing w:after="0" w:line="142" w:lineRule="exact"/>
              <w:rPr>
                <w:sz w:val="20"/>
                <w:szCs w:val="20"/>
                <w:color w:val="auto"/>
              </w:rPr>
            </w:pPr>
            <w:r>
              <w:rPr>
                <w:rFonts w:ascii="Arial" w:cs="Arial" w:eastAsia="Arial" w:hAnsi="Arial"/>
                <w:sz w:val="14"/>
                <w:szCs w:val="14"/>
                <w:b w:val="1"/>
                <w:bCs w:val="1"/>
                <w:color w:val="auto"/>
                <w:w w:val="89"/>
              </w:rPr>
              <w:t>2010</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59"/>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162.2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172.0</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 (31.7)</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19.8</w:t>
            </w: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196.6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191.8</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 (27.3)</w:t>
            </w: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net revenue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Cost of license and other revenue includes labor costs of order fulfillment and costs of fulfilling consulting and training services contracts and collaborative project management services contracts. Cost of license and other revenue also 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printing of user manuals and packaging materials and shipping and handling costs.</w:t>
      </w:r>
    </w:p>
    <w:p>
      <w:pPr>
        <w:spacing w:after="0" w:line="11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During the first quarter of fiscal 2011, Autodesk reclassified certain costs of revenue, which primarily included reclassifying certain shipping and fulfillment expenses from “Cost of license and other revenue” to</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0"/>
        <w:spacing w:after="0" w:line="306" w:lineRule="auto"/>
        <w:rPr>
          <w:sz w:val="20"/>
          <w:szCs w:val="20"/>
          <w:color w:val="auto"/>
        </w:rPr>
      </w:pPr>
      <w:r>
        <w:rPr>
          <w:rFonts w:ascii="Arial" w:cs="Arial" w:eastAsia="Arial" w:hAnsi="Arial"/>
          <w:sz w:val="16"/>
          <w:szCs w:val="16"/>
          <w:color w:val="auto"/>
        </w:rPr>
        <w:t>“Cost of maintenance revenue,” due to a change in our cost allocation methodology. These expenses have been updated in the Consolidated Statements of Operations, which include reclassifying $7.9 million and $6.5 million from cost of license to cost of maintenance revenue for fiscal years 2010 and 2009, respectively. See Note 1, “Basis of Presentation,” in the Notes to Consolidated Financial Statements for further discussion.</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Cost of license and other revenue decreased 6% during fiscal 2011, as compared to fiscal 2010 primarily due to savings on shipping and handling costs caused by the switch to a lower cost vendor as well as an increase in electronic order fulfillment. Cost of license and other revenue decreased 16% during fiscal 2010, as compared to fiscal 2009 primarily due to the 39% decrease in license and other revenue. Cost of license and other revenue did not decline as rapidly as the associated net revenue in fiscal 2010 as compared to fiscal 2009 because of increased amortization of purchased technology related to fiscal years 2010 and 2009 acquisitions, costs associated with redundant services as we migrated a portion of our IT systems onto a new platform, and higher costs associated with the implementation of our electronic fulfillment system.</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Cost of maintenance revenue includes labor costs of providing product support to our maintenance customers, including stock-based compensation expense for these employees, rent and occupancy, shipping and handling costs and professional services fees. Cost of maintenance revenue increased 74% during fiscal 2011 as compared to fiscal 2010 due to an increase in maintenance support headcount. These increases were partially offset by savings on freight and materials costs as fewer maintenance customers require physical shipments than in the past due to electronic fulfillment. Cost of maintenance revenue increased 29% during fiscal 2010 as compared to fiscal 2009 due to an increase in product support headcount due to the acquisition of Moldflow Corporation in the second quarter of fiscal 2009.</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 We expect cost of revenue to increase in absolute dollars, but to remain relatively consistent as a percentage of net revenue during fiscal 2012, as compared to fiscal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Marketing and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Fiscal year</w:t>
            </w:r>
          </w:p>
        </w:tc>
        <w:tc>
          <w:tcPr>
            <w:tcW w:w="92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84"/>
              </w:rPr>
              <w:t>Increase</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Fiscal year</w:t>
            </w:r>
          </w:p>
        </w:tc>
        <w:tc>
          <w:tcPr>
            <w:tcW w:w="200" w:type="dxa"/>
            <w:vAlign w:val="bottom"/>
          </w:tcPr>
          <w:p>
            <w:pPr>
              <w:spacing w:after="0"/>
              <w:rPr>
                <w:sz w:val="14"/>
                <w:szCs w:val="14"/>
                <w:color w:val="auto"/>
              </w:rPr>
            </w:pPr>
          </w:p>
        </w:tc>
        <w:tc>
          <w:tcPr>
            <w:tcW w:w="110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w w:val="83"/>
              </w:rPr>
              <w:t>Decrease</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Fiscal year</w:t>
            </w:r>
          </w:p>
        </w:tc>
      </w:tr>
      <w:tr>
        <w:trPr>
          <w:trHeight w:val="149"/>
        </w:trPr>
        <w:tc>
          <w:tcPr>
            <w:tcW w:w="3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15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1100" w:type="dxa"/>
            <w:vAlign w:val="bottom"/>
            <w:gridSpan w:val="3"/>
          </w:tcPr>
          <w:p>
            <w:pPr>
              <w:jc w:val="center"/>
              <w:ind w:left="232"/>
              <w:spacing w:after="0" w:line="149" w:lineRule="exact"/>
              <w:rPr>
                <w:sz w:val="20"/>
                <w:szCs w:val="20"/>
                <w:color w:val="auto"/>
              </w:rPr>
            </w:pPr>
            <w:r>
              <w:rPr>
                <w:rFonts w:ascii="Arial" w:cs="Arial" w:eastAsia="Arial" w:hAnsi="Arial"/>
                <w:sz w:val="14"/>
                <w:szCs w:val="14"/>
                <w:b w:val="1"/>
                <w:bCs w:val="1"/>
                <w:color w:val="auto"/>
                <w:w w:val="85"/>
              </w:rPr>
              <w:t>compared to</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3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January 31,</w:t>
            </w:r>
          </w:p>
        </w:tc>
        <w:tc>
          <w:tcPr>
            <w:tcW w:w="15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prior fiscal year</w:t>
            </w:r>
          </w:p>
        </w:tc>
        <w:tc>
          <w:tcPr>
            <w:tcW w:w="2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January 31,</w:t>
            </w:r>
          </w:p>
        </w:tc>
        <w:tc>
          <w:tcPr>
            <w:tcW w:w="200" w:type="dxa"/>
            <w:vAlign w:val="bottom"/>
          </w:tcPr>
          <w:p>
            <w:pPr>
              <w:spacing w:after="0"/>
              <w:rPr>
                <w:sz w:val="14"/>
                <w:szCs w:val="14"/>
                <w:color w:val="auto"/>
              </w:rPr>
            </w:pPr>
          </w:p>
        </w:tc>
        <w:tc>
          <w:tcPr>
            <w:tcW w:w="17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3260" w:type="dxa"/>
            <w:vAlign w:val="bottom"/>
          </w:tcPr>
          <w:p>
            <w:pPr>
              <w:spacing w:after="0"/>
              <w:rPr>
                <w:sz w:val="12"/>
                <w:szCs w:val="12"/>
                <w:color w:val="auto"/>
              </w:rPr>
            </w:pPr>
          </w:p>
        </w:tc>
        <w:tc>
          <w:tcPr>
            <w:tcW w:w="1780" w:type="dxa"/>
            <w:vAlign w:val="bottom"/>
            <w:gridSpan w:val="2"/>
          </w:tcPr>
          <w:p>
            <w:pPr>
              <w:jc w:val="center"/>
              <w:ind w:left="999"/>
              <w:spacing w:after="0" w:line="142" w:lineRule="exact"/>
              <w:rPr>
                <w:sz w:val="20"/>
                <w:szCs w:val="20"/>
                <w:color w:val="auto"/>
              </w:rPr>
            </w:pPr>
            <w:r>
              <w:rPr>
                <w:rFonts w:ascii="Arial" w:cs="Arial" w:eastAsia="Arial" w:hAnsi="Arial"/>
                <w:sz w:val="14"/>
                <w:szCs w:val="14"/>
                <w:b w:val="1"/>
                <w:bCs w:val="1"/>
                <w:color w:val="auto"/>
                <w:w w:val="83"/>
              </w:rPr>
              <w:t>2011</w:t>
            </w:r>
          </w:p>
        </w:tc>
        <w:tc>
          <w:tcPr>
            <w:tcW w:w="540" w:type="dxa"/>
            <w:vAlign w:val="bottom"/>
          </w:tcPr>
          <w:p>
            <w:pPr>
              <w:spacing w:after="0"/>
              <w:rPr>
                <w:sz w:val="12"/>
                <w:szCs w:val="12"/>
                <w:color w:val="auto"/>
              </w:rPr>
            </w:pPr>
          </w:p>
        </w:tc>
        <w:tc>
          <w:tcPr>
            <w:tcW w:w="40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880" w:type="dxa"/>
            <w:vAlign w:val="bottom"/>
            <w:gridSpan w:val="2"/>
          </w:tcPr>
          <w:p>
            <w:pPr>
              <w:jc w:val="center"/>
              <w:ind w:left="119"/>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880" w:type="dxa"/>
            <w:vAlign w:val="bottom"/>
            <w:gridSpan w:val="2"/>
          </w:tcPr>
          <w:p>
            <w:pPr>
              <w:jc w:val="center"/>
              <w:ind w:left="99"/>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r>
      <w:tr>
        <w:trPr>
          <w:trHeight w:val="142"/>
        </w:trPr>
        <w:tc>
          <w:tcPr>
            <w:tcW w:w="3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(in millions)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776.0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$44.1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731.9</w:t>
            </w: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900.7</w:t>
            </w: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2320" w:type="dxa"/>
            <w:vAlign w:val="bottom"/>
            <w:gridSpan w:val="3"/>
          </w:tcPr>
          <w:p>
            <w:pPr>
              <w:jc w:val="right"/>
              <w:ind w:right="40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r>
    </w:tbl>
    <w:p>
      <w:pPr>
        <w:spacing w:after="0" w:line="14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Marketing and sales expenses include salaries, bonuses, benefits, and stock-based compensation expense for our marketing and sales employees, and the expense of travel, entertainment and training for such personnel, and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 Marketing and sales expenses increased 6% during fiscal 2011, as compared to fiscal 2010, primarily due to higher employee-related costs related to variable compensation, including commissions, bonuses and related fringe benefits. Variable compensation expenses increased as a result of exceeding our fiscal 2011 target revenue growth and operating margin growth targets more than we did in fiscal 2010. Our annual incentive plans are based on forecasted revenue and operating margin, with current year targets set at the beginning of fiscal 2011. These increases were partially offset by the decrease in advertising and promotion spending and stock-based compensation expense. Marketing and sales expenses decreased 19% during fiscal 2010, as compared to fiscal 2009, primarily due to lower employee-related costs, driven by decreased marketing and sales headcount and decreased travel expenditures and reduced advertising and promotional expenses.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expect to balance our need to invest in the marketing and sales of our products with our desire to actively manage our sales and marketing operating expenses. As a result, we expect marketing and sales expense to increase in absolute dollars, but to slightly decrease as a percentage of net revenue in fiscal 2012, as compared to fiscal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Fiscal year</w:t>
            </w:r>
          </w:p>
        </w:tc>
        <w:tc>
          <w:tcPr>
            <w:tcW w:w="92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84"/>
              </w:rPr>
              <w:t>Increase</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Fiscal year</w:t>
            </w:r>
          </w:p>
        </w:tc>
        <w:tc>
          <w:tcPr>
            <w:tcW w:w="200" w:type="dxa"/>
            <w:vAlign w:val="bottom"/>
          </w:tcPr>
          <w:p>
            <w:pPr>
              <w:spacing w:after="0"/>
              <w:rPr>
                <w:sz w:val="14"/>
                <w:szCs w:val="14"/>
                <w:color w:val="auto"/>
              </w:rPr>
            </w:pPr>
          </w:p>
        </w:tc>
        <w:tc>
          <w:tcPr>
            <w:tcW w:w="110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w w:val="83"/>
              </w:rPr>
              <w:t>Decrease</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Fiscal year</w:t>
            </w:r>
          </w:p>
        </w:tc>
      </w:tr>
      <w:tr>
        <w:trPr>
          <w:trHeight w:val="149"/>
        </w:trPr>
        <w:tc>
          <w:tcPr>
            <w:tcW w:w="3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15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1100" w:type="dxa"/>
            <w:vAlign w:val="bottom"/>
            <w:gridSpan w:val="3"/>
          </w:tcPr>
          <w:p>
            <w:pPr>
              <w:jc w:val="center"/>
              <w:ind w:left="232"/>
              <w:spacing w:after="0" w:line="149" w:lineRule="exact"/>
              <w:rPr>
                <w:sz w:val="20"/>
                <w:szCs w:val="20"/>
                <w:color w:val="auto"/>
              </w:rPr>
            </w:pPr>
            <w:r>
              <w:rPr>
                <w:rFonts w:ascii="Arial" w:cs="Arial" w:eastAsia="Arial" w:hAnsi="Arial"/>
                <w:sz w:val="14"/>
                <w:szCs w:val="14"/>
                <w:b w:val="1"/>
                <w:bCs w:val="1"/>
                <w:color w:val="auto"/>
                <w:w w:val="85"/>
              </w:rPr>
              <w:t>compared to</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3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January 31,</w:t>
            </w:r>
          </w:p>
        </w:tc>
        <w:tc>
          <w:tcPr>
            <w:tcW w:w="15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prior fiscal year</w:t>
            </w:r>
          </w:p>
        </w:tc>
        <w:tc>
          <w:tcPr>
            <w:tcW w:w="2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January 31,</w:t>
            </w:r>
          </w:p>
        </w:tc>
        <w:tc>
          <w:tcPr>
            <w:tcW w:w="200" w:type="dxa"/>
            <w:vAlign w:val="bottom"/>
          </w:tcPr>
          <w:p>
            <w:pPr>
              <w:spacing w:after="0"/>
              <w:rPr>
                <w:sz w:val="14"/>
                <w:szCs w:val="14"/>
                <w:color w:val="auto"/>
              </w:rPr>
            </w:pPr>
          </w:p>
        </w:tc>
        <w:tc>
          <w:tcPr>
            <w:tcW w:w="17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3260" w:type="dxa"/>
            <w:vAlign w:val="bottom"/>
          </w:tcPr>
          <w:p>
            <w:pPr>
              <w:spacing w:after="0"/>
              <w:rPr>
                <w:sz w:val="12"/>
                <w:szCs w:val="12"/>
                <w:color w:val="auto"/>
              </w:rPr>
            </w:pPr>
          </w:p>
        </w:tc>
        <w:tc>
          <w:tcPr>
            <w:tcW w:w="1780" w:type="dxa"/>
            <w:vAlign w:val="bottom"/>
            <w:gridSpan w:val="2"/>
          </w:tcPr>
          <w:p>
            <w:pPr>
              <w:jc w:val="center"/>
              <w:ind w:left="999"/>
              <w:spacing w:after="0" w:line="142" w:lineRule="exact"/>
              <w:rPr>
                <w:sz w:val="20"/>
                <w:szCs w:val="20"/>
                <w:color w:val="auto"/>
              </w:rPr>
            </w:pPr>
            <w:r>
              <w:rPr>
                <w:rFonts w:ascii="Arial" w:cs="Arial" w:eastAsia="Arial" w:hAnsi="Arial"/>
                <w:sz w:val="14"/>
                <w:szCs w:val="14"/>
                <w:b w:val="1"/>
                <w:bCs w:val="1"/>
                <w:color w:val="auto"/>
                <w:w w:val="83"/>
              </w:rPr>
              <w:t>2011</w:t>
            </w:r>
          </w:p>
        </w:tc>
        <w:tc>
          <w:tcPr>
            <w:tcW w:w="540" w:type="dxa"/>
            <w:vAlign w:val="bottom"/>
          </w:tcPr>
          <w:p>
            <w:pPr>
              <w:spacing w:after="0"/>
              <w:rPr>
                <w:sz w:val="12"/>
                <w:szCs w:val="12"/>
                <w:color w:val="auto"/>
              </w:rPr>
            </w:pPr>
          </w:p>
        </w:tc>
        <w:tc>
          <w:tcPr>
            <w:tcW w:w="40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880" w:type="dxa"/>
            <w:vAlign w:val="bottom"/>
            <w:gridSpan w:val="2"/>
          </w:tcPr>
          <w:p>
            <w:pPr>
              <w:jc w:val="center"/>
              <w:ind w:left="119"/>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880" w:type="dxa"/>
            <w:vAlign w:val="bottom"/>
            <w:gridSpan w:val="2"/>
          </w:tcPr>
          <w:p>
            <w:pPr>
              <w:jc w:val="center"/>
              <w:ind w:left="99"/>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r>
      <w:tr>
        <w:trPr>
          <w:trHeight w:val="142"/>
        </w:trPr>
        <w:tc>
          <w:tcPr>
            <w:tcW w:w="3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(in millions)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496.2</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$38.7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457.5</w:t>
            </w: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(118.6)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576.1</w:t>
            </w: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2320" w:type="dxa"/>
            <w:vAlign w:val="bottom"/>
            <w:gridSpan w:val="3"/>
          </w:tcPr>
          <w:p>
            <w:pPr>
              <w:jc w:val="right"/>
              <w:ind w:right="40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r>
    </w:tbl>
    <w:p>
      <w:pPr>
        <w:spacing w:after="0" w:line="14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professional services such as fees paid to software development firms and independent contractors. Research and development expenses increased 8% during fiscal 2011, as compared to fiscal 2010, primarily due to an increase in bonuses, salaries and benefits. Research and development expenses decreased 21% during fiscal 2010, as compared to fiscal 2009, primarily due to decreases in employee-related costs driven by decreased research and development headcount. Also contributing to the decline was a decrease in acquisition related in-process research and development charges from fiscal 2009 to fiscal 2010. We expect research and development expense to increase in absolute dollars, but remain relatively consistent as a percentage of net revenue during fiscal 2012, as compared to fiscal 2011, as we continue to invest in product development and acquire new technology in fiscal 2012.</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Fiscal year</w:t>
            </w:r>
          </w:p>
        </w:tc>
        <w:tc>
          <w:tcPr>
            <w:tcW w:w="340" w:type="dxa"/>
            <w:vAlign w:val="bottom"/>
          </w:tcPr>
          <w:p>
            <w:pPr>
              <w:spacing w:after="0"/>
              <w:rPr>
                <w:sz w:val="14"/>
                <w:szCs w:val="14"/>
                <w:color w:val="auto"/>
              </w:rPr>
            </w:pPr>
          </w:p>
        </w:tc>
        <w:tc>
          <w:tcPr>
            <w:tcW w:w="12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Increase</w:t>
            </w:r>
          </w:p>
        </w:tc>
        <w:tc>
          <w:tcPr>
            <w:tcW w:w="20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Fiscal year</w:t>
            </w:r>
          </w:p>
        </w:tc>
        <w:tc>
          <w:tcPr>
            <w:tcW w:w="90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83"/>
              </w:rPr>
              <w:t>Decrease</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Fiscal year</w:t>
            </w:r>
          </w:p>
        </w:tc>
      </w:tr>
      <w:tr>
        <w:trPr>
          <w:trHeight w:val="149"/>
        </w:trPr>
        <w:tc>
          <w:tcPr>
            <w:tcW w:w="462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Ended</w:t>
            </w:r>
          </w:p>
        </w:tc>
        <w:tc>
          <w:tcPr>
            <w:tcW w:w="15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compared to</w:t>
            </w:r>
          </w:p>
        </w:tc>
        <w:tc>
          <w:tcPr>
            <w:tcW w:w="20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Ended</w:t>
            </w:r>
          </w:p>
        </w:tc>
        <w:tc>
          <w:tcPr>
            <w:tcW w:w="156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1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62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January 31,</w:t>
            </w:r>
          </w:p>
        </w:tc>
        <w:tc>
          <w:tcPr>
            <w:tcW w:w="15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prior fiscal year</w:t>
            </w:r>
          </w:p>
        </w:tc>
        <w:tc>
          <w:tcPr>
            <w:tcW w:w="20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January 31,</w:t>
            </w:r>
          </w:p>
        </w:tc>
        <w:tc>
          <w:tcPr>
            <w:tcW w:w="15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462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520" w:type="dxa"/>
            <w:vAlign w:val="bottom"/>
          </w:tcPr>
          <w:p>
            <w:pPr>
              <w:spacing w:after="0"/>
              <w:rPr>
                <w:sz w:val="12"/>
                <w:szCs w:val="12"/>
                <w:color w:val="auto"/>
              </w:rPr>
            </w:pPr>
          </w:p>
        </w:tc>
        <w:tc>
          <w:tcPr>
            <w:tcW w:w="34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80" w:type="dxa"/>
            <w:vAlign w:val="bottom"/>
            <w:gridSpan w:val="2"/>
          </w:tcPr>
          <w:p>
            <w:pPr>
              <w:jc w:val="center"/>
              <w:ind w:left="119"/>
              <w:spacing w:after="0" w:line="142" w:lineRule="exact"/>
              <w:rPr>
                <w:sz w:val="20"/>
                <w:szCs w:val="20"/>
                <w:color w:val="auto"/>
              </w:rPr>
            </w:pPr>
            <w:r>
              <w:rPr>
                <w:rFonts w:ascii="Arial" w:cs="Arial" w:eastAsia="Arial" w:hAnsi="Arial"/>
                <w:sz w:val="14"/>
                <w:szCs w:val="14"/>
                <w:b w:val="1"/>
                <w:bCs w:val="1"/>
                <w:color w:val="auto"/>
                <w:w w:val="89"/>
              </w:rPr>
              <w:t>2010</w:t>
            </w:r>
          </w:p>
        </w:tc>
        <w:tc>
          <w:tcPr>
            <w:tcW w:w="540" w:type="dxa"/>
            <w:vAlign w:val="bottom"/>
          </w:tcPr>
          <w:p>
            <w:pPr>
              <w:spacing w:after="0"/>
              <w:rPr>
                <w:sz w:val="12"/>
                <w:szCs w:val="12"/>
                <w:color w:val="auto"/>
              </w:rPr>
            </w:pPr>
          </w:p>
        </w:tc>
        <w:tc>
          <w:tcPr>
            <w:tcW w:w="38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880" w:type="dxa"/>
            <w:vAlign w:val="bottom"/>
            <w:gridSpan w:val="2"/>
          </w:tcPr>
          <w:p>
            <w:pPr>
              <w:jc w:val="center"/>
              <w:ind w:left="99"/>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5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200.8</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$ 3.1</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197.7</w:t>
            </w: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$(8.0)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205.7</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r>
    </w:tbl>
    <w:p>
      <w:pPr>
        <w:spacing w:after="0" w:line="14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General and administrative expenses include salaries, bonuses, benefits and stock-based compensation expense for our finance, human resources and legal employees, and the expense of travel, entertainment and training for such personnel as well as professional fees for legal and accounting services, amortization of acquisition related customer relationships and trade names, expense of communication and the cost of supplies and equipment. General and administrative expenses increased 2% from fiscal 2010 to fiscal 2011 primarily due to an increase in bonuses and salaries partially offset by a decrease in stock based compensation expense. General and administrative expenses decreased 4% from fiscal 2009 to fiscal 2010 primarily due to decreases in employee-related costs driven by decreased general and administrative headcount and reduced rent and occupancy costs due to the consolidation of facilities. This decrease was partially offset by higher depreciation and amortization related to capital expenditures from fiscal 2009 and 2010. We expect general and administrative expense to increase in absolute dollars, but remain consistent as a percentage of net revenue during fiscal 2012, as compared to fiscal 2011.</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2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Fiscal year</w:t>
            </w:r>
          </w:p>
        </w:tc>
        <w:tc>
          <w:tcPr>
            <w:tcW w:w="108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80"/>
              </w:rPr>
              <w:t>Decrease</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8"/>
              </w:rPr>
              <w:t>Fiscal year</w:t>
            </w:r>
          </w:p>
        </w:tc>
        <w:tc>
          <w:tcPr>
            <w:tcW w:w="320" w:type="dxa"/>
            <w:vAlign w:val="bottom"/>
          </w:tcPr>
          <w:p>
            <w:pPr>
              <w:spacing w:after="0"/>
              <w:rPr>
                <w:sz w:val="14"/>
                <w:szCs w:val="14"/>
                <w:color w:val="auto"/>
              </w:rPr>
            </w:pPr>
          </w:p>
        </w:tc>
        <w:tc>
          <w:tcPr>
            <w:tcW w:w="13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4"/>
              </w:rPr>
              <w:t>Increase</w:t>
            </w:r>
          </w:p>
        </w:tc>
        <w:tc>
          <w:tcPr>
            <w:tcW w:w="22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Fiscal year</w:t>
            </w:r>
          </w:p>
        </w:tc>
      </w:tr>
      <w:tr>
        <w:trPr>
          <w:trHeight w:val="149"/>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Ended</w:t>
            </w:r>
          </w:p>
        </w:tc>
        <w:tc>
          <w:tcPr>
            <w:tcW w:w="1080" w:type="dxa"/>
            <w:vAlign w:val="bottom"/>
            <w:gridSpan w:val="3"/>
          </w:tcPr>
          <w:p>
            <w:pPr>
              <w:jc w:val="center"/>
              <w:ind w:left="248"/>
              <w:spacing w:after="0" w:line="149" w:lineRule="exact"/>
              <w:rPr>
                <w:sz w:val="20"/>
                <w:szCs w:val="20"/>
                <w:color w:val="auto"/>
              </w:rPr>
            </w:pPr>
            <w:r>
              <w:rPr>
                <w:rFonts w:ascii="Arial" w:cs="Arial" w:eastAsia="Arial" w:hAnsi="Arial"/>
                <w:sz w:val="14"/>
                <w:szCs w:val="14"/>
                <w:b w:val="1"/>
                <w:bCs w:val="1"/>
                <w:color w:val="auto"/>
                <w:w w:val="85"/>
              </w:rPr>
              <w:t>compared to</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Ended</w:t>
            </w:r>
          </w:p>
        </w:tc>
        <w:tc>
          <w:tcPr>
            <w:tcW w:w="16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080" w:type="dxa"/>
            <w:vAlign w:val="bottom"/>
          </w:tcPr>
          <w:p>
            <w:pPr>
              <w:spacing w:after="0"/>
              <w:rPr>
                <w:sz w:val="14"/>
                <w:szCs w:val="14"/>
                <w:color w:val="auto"/>
              </w:rPr>
            </w:pPr>
          </w:p>
        </w:tc>
        <w:tc>
          <w:tcPr>
            <w:tcW w:w="12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January 31,</w:t>
            </w:r>
          </w:p>
        </w:tc>
        <w:tc>
          <w:tcPr>
            <w:tcW w:w="17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prior fiscal year</w:t>
            </w:r>
          </w:p>
        </w:tc>
        <w:tc>
          <w:tcPr>
            <w:tcW w:w="26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8"/>
              </w:rPr>
              <w:t>January 31,</w:t>
            </w:r>
          </w:p>
        </w:tc>
        <w:tc>
          <w:tcPr>
            <w:tcW w:w="16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8"/>
              </w:rPr>
              <w:t>prior fiscal year</w:t>
            </w:r>
          </w:p>
        </w:tc>
        <w:tc>
          <w:tcPr>
            <w:tcW w:w="22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4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62"/>
              <w:spacing w:after="0" w:line="142" w:lineRule="exact"/>
              <w:rPr>
                <w:sz w:val="20"/>
                <w:szCs w:val="20"/>
                <w:color w:val="auto"/>
              </w:rPr>
            </w:pPr>
            <w:r>
              <w:rPr>
                <w:rFonts w:ascii="Arial" w:cs="Arial" w:eastAsia="Arial" w:hAnsi="Arial"/>
                <w:sz w:val="14"/>
                <w:szCs w:val="14"/>
                <w:b w:val="1"/>
                <w:bCs w:val="1"/>
                <w:color w:val="auto"/>
                <w:w w:val="83"/>
              </w:rPr>
              <w:t>2011</w:t>
            </w:r>
          </w:p>
        </w:tc>
        <w:tc>
          <w:tcPr>
            <w:tcW w:w="6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2"/>
              <w:spacing w:after="0" w:line="142" w:lineRule="exact"/>
              <w:rPr>
                <w:sz w:val="20"/>
                <w:szCs w:val="20"/>
                <w:color w:val="auto"/>
              </w:rPr>
            </w:pPr>
            <w:r>
              <w:rPr>
                <w:rFonts w:ascii="Arial" w:cs="Arial" w:eastAsia="Arial" w:hAnsi="Arial"/>
                <w:sz w:val="14"/>
                <w:szCs w:val="14"/>
                <w:b w:val="1"/>
                <w:bCs w:val="1"/>
                <w:color w:val="auto"/>
                <w:w w:val="89"/>
              </w:rPr>
              <w:t>2010</w:t>
            </w:r>
          </w:p>
        </w:tc>
        <w:tc>
          <w:tcPr>
            <w:tcW w:w="62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62"/>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r>
      <w:tr>
        <w:trPr>
          <w:trHeight w:val="142"/>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0"/>
              </w:rPr>
              <w:t>$ (37.4)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$ 8.0</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2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bl>
    <w:p>
      <w:pPr>
        <w:spacing w:after="0" w:line="14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the first quarter of fiscal 2011, we initiated a restructuring plan in order to reduce operating costs. The restructuring plan resulted in targeted staff reductions of approximately 200 positions. No leased facilities were consolidated as part of this restructuring. In the second quarter of fiscal 2010, we initiated a restructuring program, which resulted in headcount reduction of approximately 430 positions globally and resulted in the consolidation of approximately 32 leased facilities around the world in order to reduce our operating expenses. In the fourth quarter of fiscal 2009, we initiated a restructuring program in order to reduce our operating costs. This program reduced the number of employees by a total of approximately 700 positions globally and resulted in the consolidation of approximately 27 leased facilities. In connection with these restructuring programs, we recorded restructuring related charges of $10.8 million, $48.2 million and $40.2 million during fiscal 2011, 2010 and 2009, respectively. Of these amounts, $10.8 million, $24.3 million and $36.7 million were recorded for one-time termination benefits and other costs during fiscal 2011, 2010 and 2009, respectively, and $23.9 million and $3.5 million were recorded for facilities-related costs during fiscal 2010 and 2009, respectively. The one-time termination benefits for these three restructuring programs have been substantially paid as of January 31, 2011. We expect to pay the facility-related liabilities through fiscal 2018. See Note 16, “Restructuring Reserve,” in Notes to Consolidated Financial Statements for further discussion.</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Goodwill and Intangibles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Fiscal year</w:t>
            </w:r>
          </w:p>
        </w:tc>
        <w:tc>
          <w:tcPr>
            <w:tcW w:w="96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w w:val="83"/>
              </w:rPr>
              <w:t>Decrease</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Fiscal year</w:t>
            </w:r>
          </w:p>
        </w:tc>
        <w:tc>
          <w:tcPr>
            <w:tcW w:w="200" w:type="dxa"/>
            <w:vAlign w:val="bottom"/>
          </w:tcPr>
          <w:p>
            <w:pPr>
              <w:spacing w:after="0"/>
              <w:rPr>
                <w:sz w:val="14"/>
                <w:szCs w:val="14"/>
                <w:color w:val="auto"/>
              </w:rPr>
            </w:pPr>
          </w:p>
        </w:tc>
        <w:tc>
          <w:tcPr>
            <w:tcW w:w="110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w w:val="83"/>
              </w:rPr>
              <w:t>Decrease</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Fiscal year</w:t>
            </w:r>
          </w:p>
        </w:tc>
      </w:tr>
      <w:tr>
        <w:trPr>
          <w:trHeight w:val="149"/>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Ended</w:t>
            </w:r>
          </w:p>
        </w:tc>
        <w:tc>
          <w:tcPr>
            <w:tcW w:w="166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1100" w:type="dxa"/>
            <w:vAlign w:val="bottom"/>
            <w:gridSpan w:val="3"/>
          </w:tcPr>
          <w:p>
            <w:pPr>
              <w:jc w:val="center"/>
              <w:ind w:left="232"/>
              <w:spacing w:after="0" w:line="149" w:lineRule="exact"/>
              <w:rPr>
                <w:sz w:val="20"/>
                <w:szCs w:val="20"/>
                <w:color w:val="auto"/>
              </w:rPr>
            </w:pPr>
            <w:r>
              <w:rPr>
                <w:rFonts w:ascii="Arial" w:cs="Arial" w:eastAsia="Arial" w:hAnsi="Arial"/>
                <w:sz w:val="14"/>
                <w:szCs w:val="14"/>
                <w:b w:val="1"/>
                <w:bCs w:val="1"/>
                <w:color w:val="auto"/>
                <w:w w:val="85"/>
              </w:rPr>
              <w:t>compared to</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260" w:type="dxa"/>
            <w:vAlign w:val="bottom"/>
          </w:tcPr>
          <w:p>
            <w:pPr>
              <w:spacing w:after="0"/>
              <w:rPr>
                <w:sz w:val="14"/>
                <w:szCs w:val="14"/>
                <w:color w:val="auto"/>
              </w:rPr>
            </w:pPr>
          </w:p>
        </w:tc>
        <w:tc>
          <w:tcPr>
            <w:tcW w:w="12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January 31,</w:t>
            </w: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prior fiscal year</w:t>
            </w:r>
          </w:p>
        </w:tc>
        <w:tc>
          <w:tcPr>
            <w:tcW w:w="20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January 31,</w:t>
            </w:r>
          </w:p>
        </w:tc>
        <w:tc>
          <w:tcPr>
            <w:tcW w:w="200" w:type="dxa"/>
            <w:vAlign w:val="bottom"/>
          </w:tcPr>
          <w:p>
            <w:pPr>
              <w:spacing w:after="0"/>
              <w:rPr>
                <w:sz w:val="14"/>
                <w:szCs w:val="14"/>
                <w:color w:val="auto"/>
              </w:rPr>
            </w:pPr>
          </w:p>
        </w:tc>
        <w:tc>
          <w:tcPr>
            <w:tcW w:w="17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83"/>
              </w:rPr>
              <w:t>2011</w:t>
            </w:r>
          </w:p>
        </w:tc>
        <w:tc>
          <w:tcPr>
            <w:tcW w:w="540" w:type="dxa"/>
            <w:vAlign w:val="bottom"/>
          </w:tcPr>
          <w:p>
            <w:pPr>
              <w:spacing w:after="0"/>
              <w:rPr>
                <w:sz w:val="12"/>
                <w:szCs w:val="12"/>
                <w:color w:val="auto"/>
              </w:rPr>
            </w:pPr>
          </w:p>
        </w:tc>
        <w:tc>
          <w:tcPr>
            <w:tcW w:w="46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880" w:type="dxa"/>
            <w:vAlign w:val="bottom"/>
            <w:gridSpan w:val="2"/>
          </w:tcPr>
          <w:p>
            <w:pPr>
              <w:jc w:val="center"/>
              <w:ind w:left="99"/>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r>
      <w:tr>
        <w:trPr>
          <w:trHeight w:val="142"/>
        </w:trPr>
        <w:tc>
          <w:tcPr>
            <w:tcW w:w="4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1"/>
              </w:rPr>
              <w:t>(in millions)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and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0"/>
              </w:rPr>
              <w:t>$ (21.0)</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128.9</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r>
    </w:tbl>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did not record an impairment charge during fiscal 2011. During fiscal 2010, we recorded an impairment charge of $21.0 million representing the entire goodwill balance of our M&amp;E segment as of April 30, 2009. This goodwill balance related to our M&amp;E segment’s fourth quarter fiscal 2009 acquisition of substantially all of the assets of Softimage. During fiscal 2009 we recorded a $128.9 million impairment charge affecting the fourth quarter of fiscal 2009, primarily related to impairment of goodwill associated with our M&amp;E segment.</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Should our revenue and cash flow projections decline significantly in the future, additional impairment charges may be recorded to goodwill. As of January 31, 2011, a hypothetical 10% decrease in the fair value of our reporting units would not have an impact on the carrying value of goodwill, nor result in impairment of goodwill. See Note 1, “Business and Summary of Significant Accounting Policies,” in Notes to Consolidated Financial Statements for further discussion.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and Other Income,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interest and other income, net:</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January 31,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60" w:type="dxa"/>
            <w:vAlign w:val="bottom"/>
          </w:tcPr>
          <w:p>
            <w:pPr>
              <w:spacing w:after="0"/>
              <w:rPr>
                <w:sz w:val="12"/>
                <w:szCs w:val="12"/>
                <w:color w:val="auto"/>
              </w:rPr>
            </w:pPr>
          </w:p>
        </w:tc>
        <w:tc>
          <w:tcPr>
            <w:tcW w:w="800" w:type="dxa"/>
            <w:vAlign w:val="bottom"/>
            <w:gridSpan w:val="2"/>
          </w:tcPr>
          <w:p>
            <w:pPr>
              <w:jc w:val="center"/>
              <w:ind w:left="304"/>
              <w:spacing w:after="0" w:line="142" w:lineRule="exact"/>
              <w:rPr>
                <w:sz w:val="20"/>
                <w:szCs w:val="20"/>
                <w:color w:val="auto"/>
              </w:rPr>
            </w:pPr>
            <w:r>
              <w:rPr>
                <w:rFonts w:ascii="Arial" w:cs="Arial" w:eastAsia="Arial" w:hAnsi="Arial"/>
                <w:sz w:val="14"/>
                <w:szCs w:val="14"/>
                <w:b w:val="1"/>
                <w:bCs w:val="1"/>
                <w:color w:val="auto"/>
                <w:w w:val="83"/>
              </w:rPr>
              <w:t>2010</w:t>
            </w:r>
          </w:p>
        </w:tc>
        <w:tc>
          <w:tcPr>
            <w:tcW w:w="360" w:type="dxa"/>
            <w:vAlign w:val="bottom"/>
          </w:tcPr>
          <w:p>
            <w:pPr>
              <w:spacing w:after="0"/>
              <w:rPr>
                <w:sz w:val="12"/>
                <w:szCs w:val="12"/>
                <w:color w:val="auto"/>
              </w:rPr>
            </w:pPr>
          </w:p>
        </w:tc>
        <w:tc>
          <w:tcPr>
            <w:tcW w:w="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(in</w:t>
            </w: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millions)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 net</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 impairment</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(5.9)</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currency</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w:t>
            </w: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income</w:t>
            </w:r>
          </w:p>
        </w:tc>
        <w:tc>
          <w:tcPr>
            <w:tcW w:w="2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w:t>
            </w: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Interest and other income, net, decreased $18.5 million during fiscal 2011, as compared to fiscal 2010, primarily due to foreign currency losses. The loss on foreign currency in fiscal 2011 is primarily due to the impact of re-measuring foreign currency transactions into the functional currency of the corresponding entity, partially offset by the gain on foreign currency derivatives not designated as hedging instruments.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and investment income, net, fluctuates based on average cash and marketable securities balances, average maturities and interest rates. The increase in Interest and investment income, net, during fiscal 2011 as compared to fiscal 2010 is primarily due to the increase in interest income concurrent with the increase in our cash and marketable securities balance.</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increase in interest and other income, net, during fiscal 2010, as compared to fiscal 2009, is primarily due to gains on marketable securities, gains on foreign currency transactions, a gain on the sale of an investment and the impairment of an investment during fiscal 2009. These increases were partially offset by lower interest rate yields on investments during fiscal 2010 as compared to fiscal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effective tax rate was 22% and 32% during fiscal 2011 and 2010, respectively. Our effective tax rate decreased 10 percentage points from fiscal 2010 to fiscal 2011 primarily due to a change in expected future tax rates, the establishment of the California valuation allowance in fiscal 2010 and a decrease in non-deductible stock-based compensation expense, offset by a decrease in tax benefits from foreign earnings taxed at different rates in fiscal 2011 compared to fiscal 2010. During the first quarter of fiscal 2010, the State of California enacted legislation significantly altering California tax law. As a result of the newly enacted legislation, we expect that in fiscal years 2012 and beyond, income subject to tax in California will be less than under prior tax law and accordingly, deferred tax assets are less likely to be realized.</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effective tax rate was 32% and 27% during fiscal 2010 and 2009, respectively. Our effective tax rate increased 5 percentage points from fiscal 2009 to fiscal 2010 primarily due to a change in expected future tax rates and the establishment of the California valuation allowance in fiscal 2010 offset by non-deductible goodwill impairment and in-process research and development expenses in fiscal 2009.</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w:t>
      </w:r>
    </w:p>
    <w:p>
      <w:pPr>
        <w:spacing w:after="0" w:line="125"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January 31, 2011, we had net deferred tax assets of $147.5 million. We believe that we will generate sufficient future taxable income in appropriate tax jurisdictions to realize these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additional information regarding our income tax provision, see Note 5, “Income Taxes,” in the Notes to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fiscal years ended January 31, 2011, 2010 and 2009, our gross profit, gross margin, income from operations, operating margin, net income and diluted earnings per share on a GAAP and non-GAAP basis were as follows (in millions except for gross margin, operating margin and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2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4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1,755.2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1,521.9</w:t>
            </w: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2,096.1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Non-GAAP gross profit</w:t>
            </w:r>
          </w:p>
        </w:tc>
        <w:tc>
          <w:tcPr>
            <w:tcW w:w="264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w w:val="89"/>
              </w:rPr>
              <w:t>1,790.0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1,557.9</w:t>
            </w:r>
          </w:p>
        </w:tc>
        <w:tc>
          <w:tcPr>
            <w:tcW w:w="420" w:type="dxa"/>
            <w:vAlign w:val="bottom"/>
          </w:tcPr>
          <w:p>
            <w:pPr>
              <w:spacing w:after="0"/>
              <w:rPr>
                <w:sz w:val="19"/>
                <w:szCs w:val="19"/>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2,122.9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Non-GAAP gross margin</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4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271.4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Non-GAAP income from operations</w:t>
            </w:r>
          </w:p>
        </w:tc>
        <w:tc>
          <w:tcPr>
            <w:tcW w:w="264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418.8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286.8</w:t>
            </w:r>
          </w:p>
        </w:tc>
        <w:tc>
          <w:tcPr>
            <w:tcW w:w="420" w:type="dxa"/>
            <w:vAlign w:val="bottom"/>
          </w:tcPr>
          <w:p>
            <w:pPr>
              <w:spacing w:after="0"/>
              <w:rPr>
                <w:sz w:val="19"/>
                <w:szCs w:val="19"/>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4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Non-GAAP net income</w:t>
            </w:r>
          </w:p>
        </w:tc>
        <w:tc>
          <w:tcPr>
            <w:tcW w:w="264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229.2</w:t>
            </w:r>
          </w:p>
        </w:tc>
        <w:tc>
          <w:tcPr>
            <w:tcW w:w="420" w:type="dxa"/>
            <w:vAlign w:val="bottom"/>
          </w:tcPr>
          <w:p>
            <w:pPr>
              <w:spacing w:after="0"/>
              <w:rPr>
                <w:sz w:val="19"/>
                <w:szCs w:val="19"/>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64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264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0.99</w:t>
            </w:r>
          </w:p>
        </w:tc>
        <w:tc>
          <w:tcPr>
            <w:tcW w:w="420" w:type="dxa"/>
            <w:vAlign w:val="bottom"/>
          </w:tcPr>
          <w:p>
            <w:pPr>
              <w:spacing w:after="0"/>
              <w:rPr>
                <w:sz w:val="19"/>
                <w:szCs w:val="19"/>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our internal budgeting and resource allocation process, we use non-GAAP measures to supplement our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In addition, these non-GAAP financial measures facilitate comparisons to our and our competitors’ historical results and operating guidance. We also use these measures for purposes of determining company-wide incentive compensation.</w:t>
      </w:r>
    </w:p>
    <w:p>
      <w:pPr>
        <w:spacing w:after="0" w:line="1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not meant to be considered in isolation or as a substitute for the directly comparable financial measures prepared in accordance with GAAP. The non-GAAP financial measures are meant to supplement, and be viewed in conjunction with, GAAP financial measures. We urge investors to review the reconciliation of our non-GAAP financial measures to the comparable GAAP financial measures included below, and not to rely on any single financial measure to evaluate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5480" w:hanging="4"/>
        <w:spacing w:after="0" w:line="445" w:lineRule="auto"/>
        <w:rPr>
          <w:sz w:val="20"/>
          <w:szCs w:val="20"/>
          <w:color w:val="auto"/>
        </w:rPr>
      </w:pPr>
      <w:r>
        <w:rPr>
          <w:rFonts w:ascii="Arial" w:cs="Arial" w:eastAsia="Arial" w:hAnsi="Arial"/>
          <w:sz w:val="16"/>
          <w:szCs w:val="16"/>
          <w:b w:val="1"/>
          <w:bCs w:val="1"/>
          <w:color w:val="auto"/>
        </w:rPr>
        <w:t xml:space="preserve">Reconciliation of GAAP Financial Measures to Non-GAAP Financial Measures </w:t>
      </w:r>
      <w:r>
        <w:rPr>
          <w:rFonts w:ascii="Arial" w:cs="Arial" w:eastAsia="Arial" w:hAnsi="Arial"/>
          <w:sz w:val="16"/>
          <w:szCs w:val="16"/>
          <w:color w:val="auto"/>
        </w:rPr>
        <w:t>(in millions except for gross margin, operating margin and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Fiscal Year Ended</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88"/>
              </w:rPr>
              <w:t>January 31,</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2010</w:t>
            </w:r>
          </w:p>
        </w:tc>
        <w:tc>
          <w:tcPr>
            <w:tcW w:w="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7"/>
              </w:rPr>
              <w:t>(Unaudited)</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1,755.2</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1,521.9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2,096.1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intangibles(1)</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20" w:type="dxa"/>
            <w:vAlign w:val="bottom"/>
            <w:gridSpan w:val="3"/>
          </w:tcPr>
          <w:p>
            <w:pPr>
              <w:spacing w:after="0"/>
              <w:rPr>
                <w:sz w:val="20"/>
                <w:szCs w:val="20"/>
                <w:color w:val="auto"/>
              </w:rPr>
            </w:pPr>
            <w:r>
              <w:rPr>
                <w:rFonts w:ascii="Arial" w:cs="Arial" w:eastAsia="Arial" w:hAnsi="Arial"/>
                <w:sz w:val="18"/>
                <w:szCs w:val="18"/>
                <w:color w:val="auto"/>
              </w:rPr>
              <w:t>Non-GAAP gross profit</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1,790.0</w:t>
            </w:r>
          </w:p>
        </w:tc>
        <w:tc>
          <w:tcPr>
            <w:tcW w:w="260" w:type="dxa"/>
            <w:vAlign w:val="bottom"/>
          </w:tcPr>
          <w:p>
            <w:pPr>
              <w:spacing w:after="0"/>
              <w:rPr>
                <w:sz w:val="19"/>
                <w:szCs w:val="19"/>
                <w:color w:val="auto"/>
              </w:rPr>
            </w:pPr>
          </w:p>
        </w:tc>
        <w:tc>
          <w:tcPr>
            <w:tcW w:w="440" w:type="dxa"/>
            <w:vAlign w:val="bottom"/>
            <w:gridSpan w:val="2"/>
          </w:tcPr>
          <w:p>
            <w:pPr>
              <w:ind w:left="36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1,557.9</w:t>
            </w: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2,122.9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spacing w:after="0"/>
              <w:rPr>
                <w:sz w:val="20"/>
                <w:szCs w:val="20"/>
                <w:color w:val="auto"/>
              </w:rPr>
            </w:pPr>
            <w:r>
              <w:rPr>
                <w:rFonts w:ascii="Arial" w:cs="Arial" w:eastAsia="Arial" w:hAnsi="Arial"/>
                <w:sz w:val="18"/>
                <w:szCs w:val="18"/>
                <w:color w:val="auto"/>
              </w:rPr>
              <w:t>Non-GAAP gross margin</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goodwill</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Restructuring charges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 income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120" w:type="dxa"/>
            <w:vAlign w:val="bottom"/>
            <w:gridSpan w:val="3"/>
          </w:tcPr>
          <w:p>
            <w:pPr>
              <w:spacing w:after="0"/>
              <w:rPr>
                <w:sz w:val="20"/>
                <w:szCs w:val="20"/>
                <w:color w:val="auto"/>
              </w:rPr>
            </w:pPr>
            <w:r>
              <w:rPr>
                <w:rFonts w:ascii="Arial" w:cs="Arial" w:eastAsia="Arial" w:hAnsi="Arial"/>
                <w:sz w:val="18"/>
                <w:szCs w:val="18"/>
                <w:color w:val="auto"/>
              </w:rPr>
              <w:t>Operating margin</w:t>
            </w:r>
          </w:p>
        </w:tc>
        <w:tc>
          <w:tcPr>
            <w:tcW w:w="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Amortization of purchased intangibles(1)</w:t>
            </w: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Impairment of goodwill</w:t>
            </w: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spacing w:after="0"/>
              <w:rPr>
                <w:sz w:val="20"/>
                <w:szCs w:val="20"/>
                <w:color w:val="auto"/>
              </w:rPr>
            </w:pPr>
            <w:r>
              <w:rPr>
                <w:rFonts w:ascii="Arial" w:cs="Arial" w:eastAsia="Arial" w:hAnsi="Arial"/>
                <w:sz w:val="18"/>
                <w:szCs w:val="18"/>
                <w:color w:val="auto"/>
              </w:rPr>
              <w:t>Non-GAAP operating margin</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goodwill</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Restructuring charges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48.2</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Establishment of valuation allowance on deferred tax assets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Discrete tax provision items</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effect of non-GAAP adjustments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spacing w:after="0"/>
              <w:rPr>
                <w:sz w:val="20"/>
                <w:szCs w:val="20"/>
                <w:color w:val="auto"/>
              </w:rPr>
            </w:pPr>
            <w:r>
              <w:rPr>
                <w:rFonts w:ascii="Arial" w:cs="Arial" w:eastAsia="Arial" w:hAnsi="Arial"/>
                <w:sz w:val="18"/>
                <w:szCs w:val="18"/>
                <w:color w:val="auto"/>
              </w:rPr>
              <w:t>Non-GAAP net income</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310.4</w:t>
            </w:r>
          </w:p>
        </w:tc>
        <w:tc>
          <w:tcPr>
            <w:tcW w:w="260" w:type="dxa"/>
            <w:vAlign w:val="bottom"/>
          </w:tcPr>
          <w:p>
            <w:pPr>
              <w:spacing w:after="0"/>
              <w:rPr>
                <w:sz w:val="19"/>
                <w:szCs w:val="19"/>
                <w:color w:val="auto"/>
              </w:rPr>
            </w:pP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229.2</w:t>
            </w: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goodwill</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Restructuring charges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Establishment of valuation allowance on deferred tax assets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Discrete tax provision items</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effect of non-GAAP adjustments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spacing w:after="0"/>
              <w:rPr>
                <w:sz w:val="20"/>
                <w:szCs w:val="20"/>
                <w:color w:val="auto"/>
              </w:rPr>
            </w:pPr>
            <w:r>
              <w:rPr>
                <w:rFonts w:ascii="Arial" w:cs="Arial" w:eastAsia="Arial" w:hAnsi="Arial"/>
                <w:sz w:val="18"/>
                <w:szCs w:val="18"/>
                <w:color w:val="auto"/>
              </w:rPr>
              <w:t>Non-GAAP diluted net income per share</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9"/>
                <w:szCs w:val="19"/>
                <w:color w:val="auto"/>
              </w:rPr>
            </w:pP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0.99</w:t>
            </w: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Amortization of purchased intangibles includes amortization of purchased developed technology, customer relationships, and trade names for acquisitions subsequent to December 2005.</w:t>
      </w:r>
    </w:p>
    <w:p>
      <w:pPr>
        <w:spacing w:after="0" w:line="114"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non-GAAP financial measures as set forth in the table above exclude the following:</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We exclude stock-based compensation expenses from non-GAAP measures primarily because they are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management finds it useful to exclude certain non-cash charges to assess the appropriate level of various operating expenses to assist in budgeting, planning and forecasting future periods.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Amortization of purchased intangibles and in-process research and development expenses</w:t>
      </w:r>
      <w:r>
        <w:rPr>
          <w:rFonts w:ascii="Arial" w:cs="Arial" w:eastAsia="Arial" w:hAnsi="Arial"/>
          <w:sz w:val="16"/>
          <w:szCs w:val="16"/>
          <w:color w:val="auto"/>
        </w:rPr>
        <w:t>. We incur amortization of acquisition-related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and charges related to in-process research and development primarily in connection with acquisitions of certain businesses and technologies. The amortization of purchased intangibles varies depending on the level of acquisition activity, and management finds it useful to exclude these variable charges to assess the appropriate level of various operating expenses to assist in budgeting, planning and forecasting future periods.</w:t>
      </w:r>
    </w:p>
    <w:p>
      <w:pPr>
        <w:spacing w:after="0" w:line="113"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i w:val="1"/>
          <w:iCs w:val="1"/>
          <w:color w:val="auto"/>
        </w:rPr>
        <w:t>Goodwill impairment</w:t>
      </w:r>
      <w:r>
        <w:rPr>
          <w:rFonts w:ascii="Arial" w:cs="Arial" w:eastAsia="Arial" w:hAnsi="Arial"/>
          <w:sz w:val="18"/>
          <w:szCs w:val="18"/>
          <w:color w:val="auto"/>
        </w:rPr>
        <w:t>. 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4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i w:val="1"/>
          <w:iCs w:val="1"/>
          <w:color w:val="auto"/>
        </w:rPr>
        <w:t>Restructuring charges</w:t>
      </w:r>
      <w:r>
        <w:rPr>
          <w:rFonts w:ascii="Arial" w:cs="Arial" w:eastAsia="Arial" w:hAnsi="Arial"/>
          <w:sz w:val="15"/>
          <w:szCs w:val="15"/>
          <w:color w:val="auto"/>
        </w:rPr>
        <w:t>. These expenses are associated with realigning our business strategies based on current economic conditions. In connection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these restructuring actions, we recognize costs related to termination benefits for former employees whose positions were eliminated, and the closure of facilities and cancelation of certain contracts. We exclude these charges because these expenses are not reflective of ongoing financial results in the current period.</w:t>
      </w:r>
    </w:p>
    <w:p>
      <w:pPr>
        <w:spacing w:after="0" w:line="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Establishment of a valuation allowance on certain net deferred tax assets</w:t>
      </w:r>
      <w:r>
        <w:rPr>
          <w:rFonts w:ascii="Arial" w:cs="Arial" w:eastAsia="Arial" w:hAnsi="Arial"/>
          <w:sz w:val="18"/>
          <w:szCs w:val="18"/>
          <w:color w:val="auto"/>
        </w:rPr>
        <w:t>. 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expenses to assist in budgeting, planning and forecasting future periods.</w:t>
      </w:r>
    </w:p>
    <w:p>
      <w:pPr>
        <w:spacing w:after="0" w:line="14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Discrete tax items</w:t>
      </w:r>
      <w:r>
        <w:rPr>
          <w:rFonts w:ascii="Arial" w:cs="Arial" w:eastAsia="Arial" w:hAnsi="Arial"/>
          <w:sz w:val="18"/>
          <w:szCs w:val="18"/>
          <w:color w:val="auto"/>
        </w:rPr>
        <w:t>. We exclude the GAAP tax provision, including discrete items, from the non-GAAP measure of income, and include a non-GAAP tax</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based upon the projected annual non-GAAP effective tax rate. Management believes this approach assists investors in understanding the tax provision and the effective tax rate related to ongoing operations.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Income tax effects on the difference between GAAP and non-GAAP costs and expenses</w:t>
      </w:r>
      <w:r>
        <w:rPr>
          <w:rFonts w:ascii="Arial" w:cs="Arial" w:eastAsia="Arial" w:hAnsi="Arial"/>
          <w:sz w:val="16"/>
          <w:szCs w:val="16"/>
          <w:color w:val="auto"/>
        </w:rPr>
        <w:t>. The income tax effects that are excluded from the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relate to the tax impact on the difference between GAAP and non-GAAP costs and expenses, primarily due to differences in the timing of when income tax benefits are recognized for stock compensation and purchased intangibles for GAAP and non-GAAP measures.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At January 31, 2011, our principal sources of liquidity were cash, cash equivalents and marketable securities totaling $1,466.9 million and net accounts receivable of $318.4 million. In addition, we have a U.S. line of credit facility that permits unsecured short-term borrowings of up to $250.0 million. This line of credit agreement contains customary covenants that could restrict the imposition of liens on our assets, and restrict our ability to incur additional indebtedness or make dispositions of assets if we fail to maintain the financial covenants. This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credit facility is available for working capital and other business needs. The U.S. line of credit expires in August 2012. In addition to the U.S line of credit, we had a $5.0 million China line of credit that was terminated during the second quarter of fiscal 2011. During fiscal 2011, we had no borrowings or repayments on either of our line of credit facilities. At the beginning of fiscal 2010 we had $52.1 million outstanding on our U.S. and China line of credit facilities. During fiscal 2010, we borrowed $2.2 million under our credit facilities for a total outstanding balance of $54.3 million, all of which we repaid in fiscal 2010. As of January 31, 2011 and 2010, there were no borrowings outstanding under the U.S. and China line of credit facilities.</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Citibank and its global affiliates (“Citibank”). In addition, Citicorp USA, Inc., an affiliate of Citibank, is the lead lender and agent in the syndicate of our $250.0 million U.S. line of credit.</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increase in our cash, cash equivalents and marketable securities from $1,126.2 million at January 31, 2010 to $1,466.9 million at January 31, 2011 is principally the result of cash generated from operations and the proceeds from the issuance of common stock following stock option exercises and employee stock plan purchases. These increases to cash, cash equivalents and marketable securities were partially offset by cash used for repurchases of our common stock, capital expenditures, and cash used for business combinations and other investing activities. Cash generated from operations was positively impacted by higher net revenue.</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primary source for net cash provided by operating activities of $540.8 million for fiscal 2011 was net income of $212.0 million increased by the effect of non-cash expenses totaling $186.1 million associated with depreciation and amortization and stock-based compensation. In addition, net cash flow provided by changes in operating assets and liabilities was $131.9 million. The primary source of working capital was an increase in deferred revenue due to higher maintenance billings for fiscal 2011 compared to fiscal 2010. The primary working capital uses of cash were increases in accounts receivable due to higher billings in fiscal 2011 compared to fiscal 2010 and an increase in prepaid and other assets.</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January 31, 2011, our short-term investment portfolio had an estimated fair value of $199.2 million and a cost basis of $197.5 million. The portfolio fair value consisted of $47.7 million invested in commercial paper and corporate securities, $47.2 million invested in U.S. government agency securities, $31.3 million invested in mutual funds, $29.0 million invested in certificates of deposit and time deposits with remaining maturities at the date of purchase greater than 90 days and less than one year, $26.0 million invested in U.S treasury securities, $9.1 million invested in sovereign debt, $8.6 million invested in municipal securities and $0.3 million invested in other short-term securities.</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At January 31, 2010, Autodesk was invested in The Reserve International Liquidity Fund (the “International Fund”) with an estimated fair value of $10.0 million. In mid-September of 2008, the International Fund ceased redemptions after net asset values of the funds decreased below $1 per share. This occurred as a result of the International Fund revaluing their holdings of debt securities issued by Lehman Brothers Holdings, Inc. (“Lehman Brothers”), which filed for Chapter 11 bankruptcy on September 15, 2008, and the resulting unusually high redemption requests on the International Fund. A third party court supervisor was appointed to oversee the accounting and payment administration of the International Fund. On November 30, 2010 a judge entered an order accepting a Settlement Agreement directing the distribution of the remaining funds. On January 20, 2011, we received substantially all of our holdings from the International Fund.</w:t>
      </w:r>
    </w:p>
    <w:p>
      <w:pPr>
        <w:spacing w:after="0" w:line="14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At January 31, 2011, $31.3 million of trading securities were invested in a defined set of mutual funds as directed by the participants in our Deferred Compensation Plan (see Note 6, “Deferred Compensation,” in the Notes to Consolidated Financial Statements for further discussion).</w:t>
      </w:r>
    </w:p>
    <w:p>
      <w:pPr>
        <w:spacing w:after="0" w:line="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stock repurchases; the acquisition of businesses, software products, or technologies complementary to</w:t>
      </w:r>
    </w:p>
    <w:p>
      <w:pPr>
        <w:spacing w:after="0" w:line="114"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our business; capital expenditures, including the purchase and implementation of internal-use software applications; and funding restructuring costs.</w:t>
      </w:r>
    </w:p>
    <w:p>
      <w:pPr>
        <w:spacing w:after="0" w:line="19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cash, cash equivalent and marketable securities balances are concentrated in a few locations around the world, with a substantial amount held outside of the U.S. We believe that such dispersion is appropriate and meets our business and liquidity needs. A portion of this cash, cash equivalents and marketable securities could be subject to certain taxes, including U.S. income taxes, in the event we believe repatriation to the U.S. is appropriate.</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existing cash, cash equivalents and investment balances may decline in fiscal 2012 in the event of a weakening of the global economy or changes in our planned cash outlay. Cash from operations could also be affected by various risks and uncertainties, including, but not limited to the risks detailed in Part 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the next 12 months. Our existing U.S. credit facility is currently $250.0 million of which we have no amounts outstanding. This credit facility is available for working capital and other business needs.</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2011 and 2010, we had open cash flow and balance sheet hedge contracts with future settlements within one to twelve months. Contracts were primarily denominated in euros, Japanese yen, Swiss francs, British pounds and Canadian dollars. We do not enter into any foreign exchange derivative instruments for trading or speculative purposes. The notional amount of our option and forward contracts was $401.6 million and $258.7 million at January 31, 2011 and 2010,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our significant financial contractual obligations at January 31, 2011 and the effect such obligations are expected to have on our liquidity and cash flows in future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3"/>
          </w:tcPr>
          <w:p>
            <w:pPr>
              <w:ind w:left="480"/>
              <w:spacing w:after="0"/>
              <w:rPr>
                <w:sz w:val="20"/>
                <w:szCs w:val="20"/>
                <w:color w:val="auto"/>
              </w:rPr>
            </w:pPr>
            <w:r>
              <w:rPr>
                <w:rFonts w:ascii="Arial" w:cs="Arial" w:eastAsia="Arial" w:hAnsi="Arial"/>
                <w:sz w:val="14"/>
                <w:szCs w:val="14"/>
                <w:b w:val="1"/>
                <w:bCs w:val="1"/>
                <w:color w:val="auto"/>
                <w:w w:val="83"/>
              </w:rPr>
              <w:t>Fiscal Year</w:t>
            </w:r>
          </w:p>
        </w:tc>
        <w:tc>
          <w:tcPr>
            <w:tcW w:w="1180" w:type="dxa"/>
            <w:vAlign w:val="bottom"/>
            <w:gridSpan w:val="3"/>
          </w:tcPr>
          <w:p>
            <w:pPr>
              <w:ind w:left="480"/>
              <w:spacing w:after="0"/>
              <w:rPr>
                <w:sz w:val="20"/>
                <w:szCs w:val="20"/>
                <w:color w:val="auto"/>
              </w:rPr>
            </w:pPr>
            <w:r>
              <w:rPr>
                <w:rFonts w:ascii="Arial" w:cs="Arial" w:eastAsia="Arial" w:hAnsi="Arial"/>
                <w:sz w:val="14"/>
                <w:szCs w:val="14"/>
                <w:b w:val="1"/>
                <w:bCs w:val="1"/>
                <w:color w:val="auto"/>
                <w:w w:val="83"/>
              </w:rPr>
              <w:t>Fiscal Years</w:t>
            </w:r>
          </w:p>
        </w:tc>
        <w:tc>
          <w:tcPr>
            <w:tcW w:w="1180" w:type="dxa"/>
            <w:vAlign w:val="bottom"/>
            <w:gridSpan w:val="3"/>
          </w:tcPr>
          <w:p>
            <w:pPr>
              <w:ind w:left="480"/>
              <w:spacing w:after="0"/>
              <w:rPr>
                <w:sz w:val="20"/>
                <w:szCs w:val="20"/>
                <w:color w:val="auto"/>
              </w:rPr>
            </w:pPr>
            <w:r>
              <w:rPr>
                <w:rFonts w:ascii="Arial" w:cs="Arial" w:eastAsia="Arial" w:hAnsi="Arial"/>
                <w:sz w:val="14"/>
                <w:szCs w:val="14"/>
                <w:b w:val="1"/>
                <w:bCs w:val="1"/>
                <w:color w:val="auto"/>
                <w:w w:val="83"/>
              </w:rPr>
              <w:t>Fiscal Years</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2012</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2013-2014</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2015-2016</w:t>
            </w:r>
          </w:p>
        </w:tc>
        <w:tc>
          <w:tcPr>
            <w:tcW w:w="1200" w:type="dxa"/>
            <w:vAlign w:val="bottom"/>
            <w:gridSpan w:val="4"/>
          </w:tcPr>
          <w:p>
            <w:pPr>
              <w:ind w:left="480"/>
              <w:spacing w:after="0"/>
              <w:rPr>
                <w:sz w:val="20"/>
                <w:szCs w:val="20"/>
                <w:color w:val="auto"/>
              </w:rPr>
            </w:pPr>
            <w:r>
              <w:rPr>
                <w:rFonts w:ascii="Arial" w:cs="Arial" w:eastAsia="Arial" w:hAnsi="Arial"/>
                <w:sz w:val="14"/>
                <w:szCs w:val="14"/>
                <w:b w:val="1"/>
                <w:bCs w:val="1"/>
                <w:color w:val="auto"/>
              </w:rPr>
              <w:t>Thereafter</w:t>
            </w:r>
          </w:p>
        </w:tc>
      </w:tr>
      <w:tr>
        <w:trPr>
          <w:trHeight w:val="142"/>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4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88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$228.7</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500" w:type="dxa"/>
            <w:vAlign w:val="bottom"/>
          </w:tcPr>
          <w:p>
            <w:pPr>
              <w:jc w:val="right"/>
              <w:spacing w:after="0"/>
              <w:rPr>
                <w:sz w:val="20"/>
                <w:szCs w:val="20"/>
                <w:color w:val="auto"/>
              </w:rPr>
            </w:pPr>
            <w:r>
              <w:rPr>
                <w:rFonts w:ascii="Arial" w:cs="Arial" w:eastAsia="Arial" w:hAnsi="Arial"/>
                <w:sz w:val="18"/>
                <w:szCs w:val="18"/>
                <w:color w:val="auto"/>
              </w:rPr>
              <w:t>73.3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17.7</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Pension obligations</w:t>
            </w:r>
          </w:p>
        </w:tc>
        <w:tc>
          <w:tcPr>
            <w:tcW w:w="500" w:type="dxa"/>
            <w:vAlign w:val="bottom"/>
          </w:tcPr>
          <w:p>
            <w:pPr>
              <w:jc w:val="right"/>
              <w:spacing w:after="0"/>
              <w:rPr>
                <w:sz w:val="20"/>
                <w:szCs w:val="20"/>
                <w:color w:val="auto"/>
              </w:rPr>
            </w:pPr>
            <w:r>
              <w:rPr>
                <w:rFonts w:ascii="Arial" w:cs="Arial" w:eastAsia="Arial" w:hAnsi="Arial"/>
                <w:sz w:val="18"/>
                <w:szCs w:val="18"/>
                <w:color w:val="auto"/>
              </w:rPr>
              <w:t>20.4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obligations(1)</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Total(2)</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384.1</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119.7</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117.9</w:t>
            </w:r>
          </w:p>
        </w:tc>
        <w:tc>
          <w:tcPr>
            <w:tcW w:w="7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66.</w:t>
            </w:r>
            <w:r>
              <w:rPr>
                <w:rFonts w:ascii="Arial" w:cs="Arial" w:eastAsia="Arial" w:hAnsi="Arial"/>
                <w:sz w:val="18"/>
                <w:szCs w:val="18"/>
                <w:u w:val="single" w:color="auto"/>
                <w:color w:val="auto"/>
              </w:rPr>
              <w:t>8</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obligations include future sabbatical obligations and asset retirement obligations.</w:t>
      </w:r>
    </w:p>
    <w:p>
      <w:pPr>
        <w:spacing w:after="0" w:line="15" w:lineRule="exact"/>
        <w:rPr>
          <w:rFonts w:ascii="Arial" w:cs="Arial" w:eastAsia="Arial" w:hAnsi="Arial"/>
          <w:sz w:val="18"/>
          <w:szCs w:val="18"/>
          <w:color w:val="auto"/>
        </w:rPr>
      </w:pPr>
    </w:p>
    <w:p>
      <w:pPr>
        <w:ind w:left="460" w:hanging="452"/>
        <w:spacing w:after="0" w:line="30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table generally excludes amounts already recorded on the balance sheet as current liabilities, certain purchase obligations as discussed below, long term deferred revenue and amounts related to income tax liabilities for uncertain tax positions, since we cannot predict with reasonable reliability the timing of cash settlements to the respective taxing authorities (see Note 5 “Income Taxes” to the Notes to Consolidated Financial Statements).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lease obligations consist primarily of obligations for facilities, net of sublease income, computer equipment and other equipment leases.</w:t>
      </w:r>
    </w:p>
    <w:p>
      <w:pPr>
        <w:spacing w:after="0" w:line="194"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Purchase obligations are contractual obligations for purchase of goods or services are defined as agreements that are enforceable and legally binding on Autodesk and that specify all significant terms, including: fixed or minimum quantities to be purchased; fixed, minimum or variable price provisions; and the approximate timing of the transaction. Purchase obligations relate primarily to hosting services agreements, IT infrastructure costs, marketing costs and contractual software development services.</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Deferred compensation obligations relate to amounts held in a rabbi trust under our non-qualified deferred compensation plan. See Note 6 “Deferred Compensation,” in our Notes to Consolidated Financial Statements for further information regarding this plan.</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Pension obligations relate to our obligations for pension plans outside of the U.S. See Note 15, “Retirement Benefit Plans,” in our Notes to Consolidated Financial Statements for further information regarding these obligations.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 We do not have significant agreements for the purchase of supplies or other goods specifying minimum quantities or set prices that exceed our expected requirements for three months. In addition, we have certain software royalty commitments associated with the shipment and licensing of certain products. Royalty expense is generally based on the number of units shipped or a percentage of the underlying revenue. Royalty expense, included in cost of license and other revenue, was $12.8 million in fiscal 2011, $16.5 million in fiscal 2010 and $17.1 million in fiscal 2009.</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spacing w:after="0" w:line="8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Board of Directors approved a stock repurchase program authorizing the cumulative repurchase of up to 184.0 million shares. The purpose of the stock repurchase program is largely to help offset the dilution to net income per share caused by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the trading price of our common stock, cash on hand and available in the U.S., and company defined trading windows. There were 2.0 million repurchases of our common stock during the three months ended January 31, 2011; during the year ended January 31, 2011 we repurchased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9.0 million shares of our common stock. At January 31, 2011, 24.5 million shares remained available for repurchase under the existing repurchase authorization.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program does not have a fixed expiration date. See Note 9, “Stockholder’ Equity,” in the Notes to Consolidated Financial Statements for further discussion.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Other than operating leases, we do not engage in off-balance sheet financing arrangements or have any variable-interest entities. As of January 31, 2011 we did not have any off-balance sheet arrangements as defined in Item 303(a)(4)(ii) of SEC Regulation S-K.</w:t>
      </w:r>
    </w:p>
    <w:p>
      <w:pPr>
        <w:spacing w:after="0" w:line="248" w:lineRule="exact"/>
        <w:rPr>
          <w:sz w:val="20"/>
          <w:szCs w:val="20"/>
          <w:color w:val="auto"/>
        </w:rPr>
      </w:pPr>
    </w:p>
    <w:p>
      <w:pPr>
        <w:ind w:right="3980"/>
        <w:spacing w:after="0" w:line="347" w:lineRule="auto"/>
        <w:rPr>
          <w:sz w:val="20"/>
          <w:szCs w:val="20"/>
          <w:color w:val="auto"/>
        </w:rPr>
      </w:pPr>
      <w:r>
        <w:rPr>
          <w:rFonts w:ascii="Arial" w:cs="Arial" w:eastAsia="Arial" w:hAnsi="Arial"/>
          <w:sz w:val="18"/>
          <w:szCs w:val="18"/>
          <w:b w:val="1"/>
          <w:bCs w:val="1"/>
          <w:color w:val="auto"/>
        </w:rPr>
        <w:t>ITEM 7A. QUANTITATIVE AND QUALITATIVE DISCLOSURES ABOUT MARKET RISK Foreign currency exchange risk</w:t>
      </w:r>
    </w:p>
    <w:p>
      <w:pPr>
        <w:spacing w:after="0" w:line="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2011 and 2010, we had open cash flow and balance sheet hedge contracts with future settlements within one to twelve months. Contracts were primarily denominated in euros, Japanese yen, Swiss francs, British pounds and Canadian dollars. We do not enter into any foreign exchange derivative instruments for trading or speculative purposes. The notional amount of our option and forward contracts was $401.6 million and $258.7 million at January 31, 2011 and 2010, respectively.</w:t>
      </w:r>
    </w:p>
    <w:p>
      <w:pPr>
        <w:spacing w:after="0" w:line="118"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We utilize foreign currency contracts to reduce the exchange rate impact on the net revenue and operating expenses of certain anticipated transactions. A sensitivity analysis performed on our hedging portfolio as of January 31, 2011 indicated that a hypothetical 10% appreciation of the U.S. dollar from its value at January 31, 2011 and 2010 would increase the fair value of our foreign currency contracts by $31.6 million and $24.2 million, respectively. A hypothetical 10% depreciation of the dollar from its value at January 31, 2011 and 2010 would decrease the fair value of our foreign currency contracts by $26.6 million and $13.1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to a lesser extent, the market value of certain longer term securities. At January 31, 2011, we had $1,466.9 million of cash equivalents and marketable securities. With an average cash equivalent investment balance for the quarter of approximately $810.0 million, if interest rates were to increase (decrease) by 10%, this would result in a $0.2 million increase (decrease) in annual interest income. Further, at January 31, 2011, we had approximately $285.0 million invested in a longer term portfolio (with remaining maturities that may be less than one year) which, with 50 and 100 basis point moves, would result in market value changes (gains or losses) of $0.9 million and $1.8 million respectively, over a twelve month period. At January 31, 2010, we had $910.0 million of cash equivalents and marketable securities. With an average investment balance for the quarter of approximately $742.8 million, if interest rates were to increase (decrease) by 10%, this would result in a $0.1 million increase (decrease) in annual interest income. Further, at January 31, 2010, we had approximately $125.6 million invested in a longer term portfolio which, with 50 and 100 basis point moves, would result in market value changes (gains or losses) of $0.2 million over both six and 12 month periods. We do not use derivative financial instruments in our investment portfolio to manage interest rate risk.</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750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 AND SUPPLEMENTARY DATA</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500" w:type="dxa"/>
            <w:vAlign w:val="bottom"/>
          </w:tcPr>
          <w:p>
            <w:pPr>
              <w:jc w:val="center"/>
              <w:ind w:left="2132"/>
              <w:spacing w:after="0"/>
              <w:rPr>
                <w:sz w:val="20"/>
                <w:szCs w:val="20"/>
                <w:color w:val="auto"/>
              </w:rPr>
            </w:pPr>
            <w:r>
              <w:rPr>
                <w:rFonts w:ascii="Arial" w:cs="Arial" w:eastAsia="Arial" w:hAnsi="Arial"/>
                <w:sz w:val="18"/>
                <w:szCs w:val="18"/>
                <w:b w:val="1"/>
                <w:bCs w:val="1"/>
                <w:color w:val="auto"/>
                <w:w w:val="97"/>
              </w:rPr>
              <w:t>AUTODESK, INC.</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500" w:type="dxa"/>
            <w:vAlign w:val="bottom"/>
          </w:tcPr>
          <w:p>
            <w:pPr>
              <w:jc w:val="center"/>
              <w:ind w:left="2112"/>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center"/>
              <w:ind w:left="355"/>
              <w:spacing w:after="0"/>
              <w:rPr>
                <w:sz w:val="20"/>
                <w:szCs w:val="20"/>
                <w:color w:val="auto"/>
              </w:rPr>
            </w:pPr>
            <w:r>
              <w:rPr>
                <w:rFonts w:ascii="Arial" w:cs="Arial" w:eastAsia="Arial" w:hAnsi="Arial"/>
                <w:sz w:val="14"/>
                <w:szCs w:val="14"/>
                <w:b w:val="1"/>
                <w:bCs w:val="1"/>
                <w:color w:val="auto"/>
                <w:w w:val="86"/>
              </w:rPr>
              <w:t>Fiscal year ended January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2010</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80"/>
              </w:rPr>
              <w:t>millions,</w:t>
            </w:r>
          </w:p>
        </w:tc>
        <w:tc>
          <w:tcPr>
            <w:tcW w:w="6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except per</w:t>
            </w:r>
          </w:p>
        </w:tc>
        <w:tc>
          <w:tcPr>
            <w:tcW w:w="1160" w:type="dxa"/>
            <w:vAlign w:val="bottom"/>
            <w:gridSpan w:val="4"/>
          </w:tcPr>
          <w:p>
            <w:pPr>
              <w:jc w:val="right"/>
              <w:ind w:right="393"/>
              <w:spacing w:after="0" w:line="142" w:lineRule="exact"/>
              <w:rPr>
                <w:sz w:val="20"/>
                <w:szCs w:val="20"/>
                <w:color w:val="auto"/>
              </w:rPr>
            </w:pPr>
            <w:r>
              <w:rPr>
                <w:rFonts w:ascii="Arial" w:cs="Arial" w:eastAsia="Arial" w:hAnsi="Arial"/>
                <w:sz w:val="14"/>
                <w:szCs w:val="14"/>
                <w:b w:val="1"/>
                <w:bCs w:val="1"/>
                <w:color w:val="auto"/>
                <w:w w:val="88"/>
              </w:rPr>
              <w:t>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License and other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1,172.1</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980.7</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Total net revenue</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1,951.8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1,713.7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Cost of license and other revenue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maintenance revenue</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8"/>
              </w:rPr>
              <w:t>Gross profit</w:t>
            </w:r>
          </w:p>
        </w:tc>
        <w:tc>
          <w:tcPr>
            <w:tcW w:w="7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1,755.2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1,521.9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496.2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457.5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Impairment of goodwill and intangibles</w:t>
            </w:r>
          </w:p>
        </w:tc>
        <w:tc>
          <w:tcPr>
            <w:tcW w:w="100" w:type="dxa"/>
            <w:vAlign w:val="bottom"/>
          </w:tcPr>
          <w:p>
            <w:pPr>
              <w:spacing w:after="0"/>
              <w:rPr>
                <w:sz w:val="18"/>
                <w:szCs w:val="18"/>
                <w:color w:val="auto"/>
              </w:rPr>
            </w:pPr>
          </w:p>
        </w:tc>
        <w:tc>
          <w:tcPr>
            <w:tcW w:w="8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1,483.8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1,456.3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1,851.6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Interest and other income, net</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820" w:type="dxa"/>
            <w:vAlign w:val="bottom"/>
            <w:gridSpan w:val="2"/>
          </w:tcPr>
          <w:p>
            <w:pPr>
              <w:jc w:val="right"/>
              <w:ind w:right="172"/>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72"/>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90"/>
              </w:rPr>
              <w:t>Net income</w:t>
            </w:r>
          </w:p>
        </w:tc>
        <w:tc>
          <w:tcPr>
            <w:tcW w:w="7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0.93</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spacing w:after="0"/>
              <w:rPr>
                <w:sz w:val="20"/>
                <w:szCs w:val="20"/>
                <w:color w:val="auto"/>
              </w:rPr>
            </w:pPr>
            <w:r>
              <w:rPr>
                <w:rFonts w:ascii="Arial" w:cs="Arial" w:eastAsia="Arial" w:hAnsi="Arial"/>
                <w:sz w:val="18"/>
                <w:szCs w:val="18"/>
                <w:color w:val="auto"/>
              </w:rPr>
              <w:t>Shares used in computing basic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227.6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228.7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3"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gridSpan w:val="6"/>
          </w:tcPr>
          <w:p>
            <w:pPr>
              <w:jc w:val="right"/>
              <w:ind w:right="540"/>
              <w:spacing w:after="0" w:line="142" w:lineRule="exact"/>
              <w:rPr>
                <w:sz w:val="20"/>
                <w:szCs w:val="20"/>
                <w:color w:val="auto"/>
              </w:rPr>
            </w:pPr>
            <w:r>
              <w:rPr>
                <w:rFonts w:ascii="Arial" w:cs="Arial" w:eastAsia="Arial" w:hAnsi="Arial"/>
                <w:sz w:val="14"/>
                <w:szCs w:val="14"/>
                <w:b w:val="1"/>
                <w:bCs w:val="1"/>
                <w:color w:val="auto"/>
                <w:w w:val="99"/>
              </w:rPr>
              <w:t>(in millions,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6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199.2</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1,714.3</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1,379.6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Computer equipment, software, furniture and leasehold improvements, net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554.1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2,787.6</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76.8</w:t>
            </w:r>
          </w:p>
        </w:tc>
        <w:tc>
          <w:tcPr>
            <w:tcW w:w="5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91.7</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Long term income taxes payable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77.7</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4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shares authorized 2.0; none issued or outstanding at January 31,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2011 and 2010</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Common stock and additional paid-in capital, $0.01 par value; shares authorized 750.0; 227.0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640"/>
              <w:spacing w:after="0"/>
              <w:rPr>
                <w:sz w:val="20"/>
                <w:szCs w:val="20"/>
                <w:color w:val="auto"/>
              </w:rPr>
            </w:pPr>
            <w:r>
              <w:rPr>
                <w:rFonts w:ascii="Arial" w:cs="Arial" w:eastAsia="Arial" w:hAnsi="Arial"/>
                <w:sz w:val="18"/>
                <w:szCs w:val="18"/>
                <w:color w:val="auto"/>
              </w:rPr>
              <w:t>outstanding at January 31, 2011 and 228.9 outstanding at January 31, 2010</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1,267.2</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1,609.3</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2,787.6</w:t>
            </w:r>
          </w:p>
        </w:tc>
        <w:tc>
          <w:tcPr>
            <w:tcW w:w="5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10"/>
          </w:tcPr>
          <w:p>
            <w:pPr>
              <w:jc w:val="right"/>
              <w:ind w:right="540"/>
              <w:spacing w:after="0"/>
              <w:rPr>
                <w:sz w:val="20"/>
                <w:szCs w:val="20"/>
                <w:color w:val="auto"/>
              </w:rPr>
            </w:pPr>
            <w:r>
              <w:rPr>
                <w:rFonts w:ascii="Arial" w:cs="Arial" w:eastAsia="Arial" w:hAnsi="Arial"/>
                <w:sz w:val="14"/>
                <w:szCs w:val="14"/>
                <w:b w:val="1"/>
                <w:bCs w:val="1"/>
                <w:color w:val="auto"/>
              </w:rPr>
              <w:t>Fiscal 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212.0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58.0</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Charge for acquired in-process research and development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80.7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goodwill and intangibles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Restructuring charges, net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71.5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540.8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246.8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(507.2)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(568.9)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marketable securities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Maturities of marketable securities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275.4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328.7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 combinations, net of cash acquired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equity investment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(142.3)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(283.0)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net of issuance costs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(280.3)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Draws on line of credit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line of credit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(860.3)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(159.4)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(114.4)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236.4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fiscal year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838.7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917.6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917.9</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fiscal year</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1,075.1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838.7</w:t>
            </w:r>
          </w:p>
        </w:tc>
        <w:tc>
          <w:tcPr>
            <w:tcW w:w="26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Net cash paid during the year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42.1</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Supplemental non-cash investing activity: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Increase in goodwill and corresponding change in other accrued liabilities resulting from adjustments to</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640"/>
              <w:spacing w:after="0"/>
              <w:rPr>
                <w:sz w:val="20"/>
                <w:szCs w:val="20"/>
                <w:color w:val="auto"/>
              </w:rPr>
            </w:pPr>
            <w:r>
              <w:rPr>
                <w:rFonts w:ascii="Arial" w:cs="Arial" w:eastAsia="Arial" w:hAnsi="Arial"/>
                <w:sz w:val="18"/>
                <w:szCs w:val="18"/>
                <w:color w:val="auto"/>
              </w:rPr>
              <w:t>purchase accounting estimates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3"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AUTODESK, INC.</w:t>
      </w:r>
    </w:p>
    <w:p>
      <w:pPr>
        <w:spacing w:after="0" w:line="63" w:lineRule="exact"/>
        <w:rPr>
          <w:sz w:val="20"/>
          <w:szCs w:val="20"/>
          <w:color w:val="auto"/>
        </w:rPr>
      </w:pPr>
    </w:p>
    <w:p>
      <w:pPr>
        <w:jc w:val="right"/>
        <w:ind w:right="30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380"/>
          </w:cols>
          <w:pgMar w:left="240" w:top="459" w:right="27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30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00" w:type="dxa"/>
            <w:vAlign w:val="bottom"/>
            <w:gridSpan w:val="7"/>
          </w:tcPr>
          <w:p>
            <w:pPr>
              <w:jc w:val="right"/>
              <w:ind w:right="240"/>
              <w:spacing w:after="0" w:line="149" w:lineRule="exact"/>
              <w:rPr>
                <w:sz w:val="20"/>
                <w:szCs w:val="20"/>
                <w:color w:val="auto"/>
              </w:rPr>
            </w:pPr>
            <w:r>
              <w:rPr>
                <w:rFonts w:ascii="Arial" w:cs="Arial" w:eastAsia="Arial" w:hAnsi="Arial"/>
                <w:sz w:val="14"/>
                <w:szCs w:val="14"/>
                <w:b w:val="1"/>
                <w:bCs w:val="1"/>
                <w:color w:val="auto"/>
              </w:rPr>
              <w:t>and additional</w:t>
            </w: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130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rPr>
              <w:t>paid-in capital</w:t>
            </w:r>
          </w:p>
        </w:tc>
        <w:tc>
          <w:tcPr>
            <w:tcW w:w="0" w:type="dxa"/>
            <w:vAlign w:val="bottom"/>
          </w:tcPr>
          <w:p>
            <w:pPr>
              <w:spacing w:after="0"/>
              <w:rPr>
                <w:sz w:val="1"/>
                <w:szCs w:val="1"/>
                <w:color w:val="auto"/>
              </w:rPr>
            </w:pPr>
          </w:p>
        </w:tc>
      </w:tr>
      <w:tr>
        <w:trPr>
          <w:trHeight w:val="142"/>
        </w:trPr>
        <w:tc>
          <w:tcPr>
            <w:tcW w:w="5500" w:type="dxa"/>
            <w:vAlign w:val="bottom"/>
            <w:vMerge w:val="restart"/>
          </w:tcPr>
          <w:p>
            <w:pPr>
              <w:spacing w:after="0"/>
              <w:rPr>
                <w:sz w:val="20"/>
                <w:szCs w:val="20"/>
                <w:color w:val="auto"/>
              </w:rPr>
            </w:pPr>
            <w:r>
              <w:rPr>
                <w:rFonts w:ascii="Arial" w:cs="Arial" w:eastAsia="Arial" w:hAnsi="Arial"/>
                <w:sz w:val="14"/>
                <w:szCs w:val="14"/>
                <w:color w:val="auto"/>
              </w:rPr>
              <w:t>Balances, January 31, 2008</w:t>
            </w:r>
          </w:p>
        </w:tc>
        <w:tc>
          <w:tcPr>
            <w:tcW w:w="60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500" w:type="dxa"/>
            <w:vAlign w:val="bottom"/>
            <w:vMerge w:val="continue"/>
          </w:tcPr>
          <w:p>
            <w:pPr>
              <w:spacing w:after="0"/>
              <w:rPr>
                <w:sz w:val="11"/>
                <w:szCs w:val="11"/>
                <w:color w:val="auto"/>
              </w:rPr>
            </w:pPr>
          </w:p>
        </w:tc>
        <w:tc>
          <w:tcPr>
            <w:tcW w:w="4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230.0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998.3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Common shares issued under stock award and stock purchase plans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Compensation expense related to stock options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Tax benefits from employee stock plans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ind w:left="440"/>
              <w:spacing w:after="0" w:line="149" w:lineRule="exact"/>
              <w:rPr>
                <w:sz w:val="20"/>
                <w:szCs w:val="20"/>
                <w:color w:val="auto"/>
              </w:rPr>
            </w:pPr>
            <w:r>
              <w:rPr>
                <w:rFonts w:ascii="Arial" w:cs="Arial" w:eastAsia="Arial" w:hAnsi="Arial"/>
                <w:sz w:val="14"/>
                <w:szCs w:val="14"/>
                <w:color w:val="auto"/>
              </w:rPr>
              <w:t>Net loss on derivative instruments,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ind w:left="440"/>
              <w:spacing w:after="0" w:line="149" w:lineRule="exact"/>
              <w:rPr>
                <w:sz w:val="20"/>
                <w:szCs w:val="20"/>
                <w:color w:val="auto"/>
              </w:rPr>
            </w:pPr>
            <w:r>
              <w:rPr>
                <w:rFonts w:ascii="Arial" w:cs="Arial" w:eastAsia="Arial" w:hAnsi="Arial"/>
                <w:sz w:val="14"/>
                <w:szCs w:val="14"/>
                <w:color w:val="auto"/>
              </w:rPr>
              <w:t>Change in net unrealized gain on marketable securities,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500" w:type="dxa"/>
            <w:vAlign w:val="bottom"/>
          </w:tcPr>
          <w:p>
            <w:pPr>
              <w:ind w:left="440"/>
              <w:spacing w:after="0"/>
              <w:rPr>
                <w:sz w:val="20"/>
                <w:szCs w:val="20"/>
                <w:color w:val="auto"/>
              </w:rPr>
            </w:pPr>
            <w:r>
              <w:rPr>
                <w:rFonts w:ascii="Arial" w:cs="Arial" w:eastAsia="Arial" w:hAnsi="Arial"/>
                <w:sz w:val="14"/>
                <w:szCs w:val="14"/>
                <w:color w:val="auto"/>
              </w:rPr>
              <w:t>Net change in cumulative foreign currency translation loss</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440"/>
              <w:spacing w:after="0"/>
              <w:rPr>
                <w:sz w:val="20"/>
                <w:szCs w:val="20"/>
                <w:color w:val="auto"/>
              </w:rPr>
            </w:pPr>
            <w:r>
              <w:rPr>
                <w:rFonts w:ascii="Arial" w:cs="Arial" w:eastAsia="Arial" w:hAnsi="Arial"/>
                <w:sz w:val="14"/>
                <w:szCs w:val="14"/>
                <w:color w:val="auto"/>
              </w:rPr>
              <w:t>Other comprehensive income (loss)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880"/>
              <w:spacing w:after="0"/>
              <w:rPr>
                <w:sz w:val="20"/>
                <w:szCs w:val="20"/>
                <w:color w:val="auto"/>
              </w:rPr>
            </w:pPr>
            <w:r>
              <w:rPr>
                <w:rFonts w:ascii="Arial" w:cs="Arial" w:eastAsia="Arial" w:hAnsi="Arial"/>
                <w:sz w:val="14"/>
                <w:szCs w:val="14"/>
                <w:color w:val="auto"/>
              </w:rPr>
              <w:t>Comprehensive income</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00" w:type="dxa"/>
            <w:vAlign w:val="bottom"/>
          </w:tcPr>
          <w:p>
            <w:pPr>
              <w:spacing w:after="0"/>
              <w:rPr>
                <w:sz w:val="20"/>
                <w:szCs w:val="20"/>
                <w:color w:val="auto"/>
              </w:rPr>
            </w:pPr>
            <w:r>
              <w:rPr>
                <w:rFonts w:ascii="Arial" w:cs="Arial" w:eastAsia="Arial" w:hAnsi="Arial"/>
                <w:sz w:val="14"/>
                <w:szCs w:val="14"/>
                <w:color w:val="auto"/>
              </w:rPr>
              <w:t>Repurchase and retirement of common shares</w:t>
            </w: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(8.0)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145"/>
        </w:trPr>
        <w:tc>
          <w:tcPr>
            <w:tcW w:w="5500" w:type="dxa"/>
            <w:vAlign w:val="bottom"/>
          </w:tcPr>
          <w:p>
            <w:pPr>
              <w:spacing w:after="0" w:line="145" w:lineRule="exact"/>
              <w:rPr>
                <w:sz w:val="20"/>
                <w:szCs w:val="20"/>
                <w:color w:val="auto"/>
              </w:rPr>
            </w:pPr>
            <w:r>
              <w:rPr>
                <w:rFonts w:ascii="Arial" w:cs="Arial" w:eastAsia="Arial" w:hAnsi="Arial"/>
                <w:sz w:val="14"/>
                <w:szCs w:val="14"/>
                <w:color w:val="auto"/>
              </w:rPr>
              <w:t>Balances, January 31, 2009</w:t>
            </w:r>
          </w:p>
        </w:tc>
        <w:tc>
          <w:tcPr>
            <w:tcW w:w="420" w:type="dxa"/>
            <w:vAlign w:val="bottom"/>
            <w:tcBorders>
              <w:top w:val="single" w:sz="8" w:color="auto"/>
            </w:tcBorders>
            <w:gridSpan w:val="2"/>
          </w:tcPr>
          <w:p>
            <w:pPr>
              <w:jc w:val="right"/>
              <w:ind w:right="20"/>
              <w:spacing w:after="0" w:line="145" w:lineRule="exact"/>
              <w:rPr>
                <w:sz w:val="20"/>
                <w:szCs w:val="20"/>
                <w:color w:val="auto"/>
              </w:rPr>
            </w:pPr>
            <w:r>
              <w:rPr>
                <w:rFonts w:ascii="Arial" w:cs="Arial" w:eastAsia="Arial" w:hAnsi="Arial"/>
                <w:sz w:val="14"/>
                <w:szCs w:val="14"/>
                <w:color w:val="auto"/>
              </w:rPr>
              <w:t>226.4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w w:val="85"/>
              </w:rPr>
              <w:t>1,080.4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Common shares issued under stock award and stock purchase plans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Compensation expense related to stock options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Tax benefits from employee stock plans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ind w:left="440"/>
              <w:spacing w:after="0" w:line="149" w:lineRule="exact"/>
              <w:rPr>
                <w:sz w:val="20"/>
                <w:szCs w:val="20"/>
                <w:color w:val="auto"/>
              </w:rPr>
            </w:pPr>
            <w:r>
              <w:rPr>
                <w:rFonts w:ascii="Arial" w:cs="Arial" w:eastAsia="Arial" w:hAnsi="Arial"/>
                <w:sz w:val="14"/>
                <w:szCs w:val="14"/>
                <w:color w:val="auto"/>
              </w:rPr>
              <w:t>Net gain on derivative instruments,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ind w:left="440"/>
              <w:spacing w:after="0" w:line="149" w:lineRule="exact"/>
              <w:rPr>
                <w:sz w:val="20"/>
                <w:szCs w:val="20"/>
                <w:color w:val="auto"/>
              </w:rPr>
            </w:pPr>
            <w:r>
              <w:rPr>
                <w:rFonts w:ascii="Arial" w:cs="Arial" w:eastAsia="Arial" w:hAnsi="Arial"/>
                <w:sz w:val="14"/>
                <w:szCs w:val="14"/>
                <w:color w:val="auto"/>
              </w:rPr>
              <w:t>Change in net unrealized gain on marketable securities,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ind w:left="440"/>
              <w:spacing w:after="0" w:line="149" w:lineRule="exact"/>
              <w:rPr>
                <w:sz w:val="20"/>
                <w:szCs w:val="20"/>
                <w:color w:val="auto"/>
              </w:rPr>
            </w:pPr>
            <w:r>
              <w:rPr>
                <w:rFonts w:ascii="Arial" w:cs="Arial" w:eastAsia="Arial" w:hAnsi="Arial"/>
                <w:sz w:val="14"/>
                <w:szCs w:val="14"/>
                <w:color w:val="auto"/>
              </w:rPr>
              <w:t>Change in unfunded portion of pension plans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500" w:type="dxa"/>
            <w:vAlign w:val="bottom"/>
          </w:tcPr>
          <w:p>
            <w:pPr>
              <w:ind w:left="440"/>
              <w:spacing w:after="0"/>
              <w:rPr>
                <w:sz w:val="20"/>
                <w:szCs w:val="20"/>
                <w:color w:val="auto"/>
              </w:rPr>
            </w:pPr>
            <w:r>
              <w:rPr>
                <w:rFonts w:ascii="Arial" w:cs="Arial" w:eastAsia="Arial" w:hAnsi="Arial"/>
                <w:sz w:val="14"/>
                <w:szCs w:val="14"/>
                <w:color w:val="auto"/>
              </w:rPr>
              <w:t>Net change in cumulative foreign currency translation gain</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440"/>
              <w:spacing w:after="0"/>
              <w:rPr>
                <w:sz w:val="20"/>
                <w:szCs w:val="20"/>
                <w:color w:val="auto"/>
              </w:rPr>
            </w:pPr>
            <w:r>
              <w:rPr>
                <w:rFonts w:ascii="Arial" w:cs="Arial" w:eastAsia="Arial" w:hAnsi="Arial"/>
                <w:sz w:val="14"/>
                <w:szCs w:val="14"/>
                <w:color w:val="auto"/>
              </w:rPr>
              <w:t>Other comprehensive income (loss)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880"/>
              <w:spacing w:after="0"/>
              <w:rPr>
                <w:sz w:val="20"/>
                <w:szCs w:val="20"/>
                <w:color w:val="auto"/>
              </w:rPr>
            </w:pPr>
            <w:r>
              <w:rPr>
                <w:rFonts w:ascii="Arial" w:cs="Arial" w:eastAsia="Arial" w:hAnsi="Arial"/>
                <w:sz w:val="14"/>
                <w:szCs w:val="14"/>
                <w:color w:val="auto"/>
              </w:rPr>
              <w:t>Comprehensive income</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00" w:type="dxa"/>
            <w:vAlign w:val="bottom"/>
          </w:tcPr>
          <w:p>
            <w:pPr>
              <w:spacing w:after="0"/>
              <w:rPr>
                <w:sz w:val="20"/>
                <w:szCs w:val="20"/>
                <w:color w:val="auto"/>
              </w:rPr>
            </w:pPr>
            <w:r>
              <w:rPr>
                <w:rFonts w:ascii="Arial" w:cs="Arial" w:eastAsia="Arial" w:hAnsi="Arial"/>
                <w:sz w:val="14"/>
                <w:szCs w:val="14"/>
                <w:color w:val="auto"/>
              </w:rPr>
              <w:t>Repurchase and retirement of common shares</w:t>
            </w: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45"/>
        </w:trPr>
        <w:tc>
          <w:tcPr>
            <w:tcW w:w="5500" w:type="dxa"/>
            <w:vAlign w:val="bottom"/>
          </w:tcPr>
          <w:p>
            <w:pPr>
              <w:spacing w:after="0" w:line="145" w:lineRule="exact"/>
              <w:rPr>
                <w:sz w:val="20"/>
                <w:szCs w:val="20"/>
                <w:color w:val="auto"/>
              </w:rPr>
            </w:pPr>
            <w:r>
              <w:rPr>
                <w:rFonts w:ascii="Arial" w:cs="Arial" w:eastAsia="Arial" w:hAnsi="Arial"/>
                <w:sz w:val="14"/>
                <w:szCs w:val="14"/>
                <w:color w:val="auto"/>
              </w:rPr>
              <w:t>Balances, January 31, 2010</w:t>
            </w:r>
          </w:p>
        </w:tc>
        <w:tc>
          <w:tcPr>
            <w:tcW w:w="420" w:type="dxa"/>
            <w:vAlign w:val="bottom"/>
            <w:tcBorders>
              <w:top w:val="single" w:sz="8" w:color="auto"/>
            </w:tcBorders>
            <w:gridSpan w:val="2"/>
          </w:tcPr>
          <w:p>
            <w:pPr>
              <w:jc w:val="right"/>
              <w:ind w:right="20"/>
              <w:spacing w:after="0" w:line="145" w:lineRule="exact"/>
              <w:rPr>
                <w:sz w:val="20"/>
                <w:szCs w:val="20"/>
                <w:color w:val="auto"/>
              </w:rPr>
            </w:pPr>
            <w:r>
              <w:rPr>
                <w:rFonts w:ascii="Arial" w:cs="Arial" w:eastAsia="Arial" w:hAnsi="Arial"/>
                <w:sz w:val="14"/>
                <w:szCs w:val="14"/>
                <w:color w:val="auto"/>
              </w:rPr>
              <w:t>228.9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w w:val="85"/>
              </w:rPr>
              <w:t>1,204.3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Common shares issued under stock award and stock purchase plans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Compensation expense related to stock options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Tax benefits from employee stock plans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ind w:left="440"/>
              <w:spacing w:after="0" w:line="149" w:lineRule="exact"/>
              <w:rPr>
                <w:sz w:val="20"/>
                <w:szCs w:val="20"/>
                <w:color w:val="auto"/>
              </w:rPr>
            </w:pPr>
            <w:r>
              <w:rPr>
                <w:rFonts w:ascii="Arial" w:cs="Arial" w:eastAsia="Arial" w:hAnsi="Arial"/>
                <w:sz w:val="14"/>
                <w:szCs w:val="14"/>
                <w:color w:val="auto"/>
              </w:rPr>
              <w:t>Net loss on derivative instruments,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ind w:left="440"/>
              <w:spacing w:after="0" w:line="149" w:lineRule="exact"/>
              <w:rPr>
                <w:sz w:val="20"/>
                <w:szCs w:val="20"/>
                <w:color w:val="auto"/>
              </w:rPr>
            </w:pPr>
            <w:r>
              <w:rPr>
                <w:rFonts w:ascii="Arial" w:cs="Arial" w:eastAsia="Arial" w:hAnsi="Arial"/>
                <w:sz w:val="14"/>
                <w:szCs w:val="14"/>
                <w:color w:val="auto"/>
              </w:rPr>
              <w:t>Change in net unrealized gain on marketable securities, net of 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ind w:left="440"/>
              <w:spacing w:after="0" w:line="149" w:lineRule="exact"/>
              <w:rPr>
                <w:sz w:val="20"/>
                <w:szCs w:val="20"/>
                <w:color w:val="auto"/>
              </w:rPr>
            </w:pPr>
            <w:r>
              <w:rPr>
                <w:rFonts w:ascii="Arial" w:cs="Arial" w:eastAsia="Arial" w:hAnsi="Arial"/>
                <w:sz w:val="14"/>
                <w:szCs w:val="14"/>
                <w:color w:val="auto"/>
              </w:rPr>
              <w:t>Change in unfunded portion of pension plans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500" w:type="dxa"/>
            <w:vAlign w:val="bottom"/>
          </w:tcPr>
          <w:p>
            <w:pPr>
              <w:ind w:left="440"/>
              <w:spacing w:after="0"/>
              <w:rPr>
                <w:sz w:val="20"/>
                <w:szCs w:val="20"/>
                <w:color w:val="auto"/>
              </w:rPr>
            </w:pPr>
            <w:r>
              <w:rPr>
                <w:rFonts w:ascii="Arial" w:cs="Arial" w:eastAsia="Arial" w:hAnsi="Arial"/>
                <w:sz w:val="14"/>
                <w:szCs w:val="14"/>
                <w:color w:val="auto"/>
              </w:rPr>
              <w:t>Net change in cumulative foreign currency translation gain</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440"/>
              <w:spacing w:after="0"/>
              <w:rPr>
                <w:sz w:val="20"/>
                <w:szCs w:val="20"/>
                <w:color w:val="auto"/>
              </w:rPr>
            </w:pPr>
            <w:r>
              <w:rPr>
                <w:rFonts w:ascii="Arial" w:cs="Arial" w:eastAsia="Arial" w:hAnsi="Arial"/>
                <w:sz w:val="14"/>
                <w:szCs w:val="14"/>
                <w:color w:val="auto"/>
              </w:rPr>
              <w:t>Other comprehensive income (loss)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880"/>
              <w:spacing w:after="0"/>
              <w:rPr>
                <w:sz w:val="20"/>
                <w:szCs w:val="20"/>
                <w:color w:val="auto"/>
              </w:rPr>
            </w:pPr>
            <w:r>
              <w:rPr>
                <w:rFonts w:ascii="Arial" w:cs="Arial" w:eastAsia="Arial" w:hAnsi="Arial"/>
                <w:sz w:val="14"/>
                <w:szCs w:val="14"/>
                <w:color w:val="auto"/>
              </w:rPr>
              <w:t>Comprehensive income (loss)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00" w:type="dxa"/>
            <w:vAlign w:val="bottom"/>
          </w:tcPr>
          <w:p>
            <w:pPr>
              <w:spacing w:after="0"/>
              <w:rPr>
                <w:sz w:val="20"/>
                <w:szCs w:val="20"/>
                <w:color w:val="auto"/>
              </w:rPr>
            </w:pPr>
            <w:r>
              <w:rPr>
                <w:rFonts w:ascii="Arial" w:cs="Arial" w:eastAsia="Arial" w:hAnsi="Arial"/>
                <w:sz w:val="14"/>
                <w:szCs w:val="14"/>
                <w:color w:val="auto"/>
              </w:rPr>
              <w:t>Repurchase and retirement of common shares</w:t>
            </w: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(9.0)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99"/>
              </w:rPr>
              <w:t>(138.3)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4"/>
                <w:szCs w:val="14"/>
                <w:color w:val="auto"/>
              </w:rPr>
              <w:t>Balances, January 31, 2011</w:t>
            </w:r>
          </w:p>
        </w:tc>
        <w:tc>
          <w:tcPr>
            <w:tcW w:w="4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00" w:type="dxa"/>
            <w:vAlign w:val="bottom"/>
            <w:vMerge w:val="continue"/>
          </w:tcPr>
          <w:p>
            <w:pPr>
              <w:spacing w:after="0"/>
              <w:rPr>
                <w:sz w:val="13"/>
                <w:szCs w:val="13"/>
                <w:color w:val="auto"/>
              </w:rPr>
            </w:pPr>
          </w:p>
        </w:tc>
        <w:tc>
          <w:tcPr>
            <w:tcW w:w="4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227.0</w:t>
            </w:r>
          </w:p>
        </w:tc>
        <w:tc>
          <w:tcPr>
            <w:tcW w:w="180" w:type="dxa"/>
            <w:vAlign w:val="bottom"/>
          </w:tcPr>
          <w:p>
            <w:pPr>
              <w:spacing w:after="0"/>
              <w:rPr>
                <w:sz w:val="13"/>
                <w:szCs w:val="13"/>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85"/>
              </w:rPr>
              <w:t>1,267.2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-4244340</wp:posOffset>
            </wp:positionV>
            <wp:extent cx="7246620"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-4055745</wp:posOffset>
            </wp:positionV>
            <wp:extent cx="7246620"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-3867150</wp:posOffset>
            </wp:positionV>
            <wp:extent cx="7246620"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-3678555</wp:posOffset>
            </wp:positionV>
            <wp:extent cx="7246620"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-3489960</wp:posOffset>
            </wp:positionV>
            <wp:extent cx="7246620" cy="94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-3284220</wp:posOffset>
            </wp:positionV>
            <wp:extent cx="7246620" cy="94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-3043555</wp:posOffset>
            </wp:positionV>
            <wp:extent cx="7246620" cy="9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-2837815</wp:posOffset>
            </wp:positionV>
            <wp:extent cx="7246620"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-2649220</wp:posOffset>
            </wp:positionV>
            <wp:extent cx="7246620" cy="94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-2460625</wp:posOffset>
            </wp:positionV>
            <wp:extent cx="724662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-2272030</wp:posOffset>
            </wp:positionV>
            <wp:extent cx="7246620" cy="94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-2083435</wp:posOffset>
            </wp:positionV>
            <wp:extent cx="7246620"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-1637030</wp:posOffset>
            </wp:positionV>
            <wp:extent cx="7246620" cy="94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-1431290</wp:posOffset>
            </wp:positionV>
            <wp:extent cx="7246620"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246620"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-1054100</wp:posOffset>
            </wp:positionV>
            <wp:extent cx="724662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24662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24662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1"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6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stockholders'</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Income</w:t>
            </w: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1"/>
              </w:rPr>
              <w:t>income (loss)</w:t>
            </w:r>
          </w:p>
        </w:tc>
        <w:tc>
          <w:tcPr>
            <w:tcW w:w="1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31"/>
        </w:trPr>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Borders>
              <w:top w:val="single" w:sz="8" w:color="auto"/>
            </w:tcBorders>
          </w:tcPr>
          <w:p>
            <w:pPr>
              <w:jc w:val="right"/>
              <w:ind w:right="57"/>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13.8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5"/>
              </w:rPr>
              <w:t>$   218.4</w:t>
            </w:r>
          </w:p>
        </w:tc>
        <w:tc>
          <w:tcPr>
            <w:tcW w:w="360" w:type="dxa"/>
            <w:vAlign w:val="bottom"/>
          </w:tcPr>
          <w:p>
            <w:pPr>
              <w:spacing w:after="0"/>
              <w:rPr>
                <w:sz w:val="11"/>
                <w:szCs w:val="11"/>
                <w:color w:val="auto"/>
              </w:rPr>
            </w:pPr>
          </w:p>
        </w:tc>
        <w:tc>
          <w:tcPr>
            <w:tcW w:w="1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1,230.5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97"/>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183.6</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color w:val="auto"/>
              </w:rPr>
              <w:t>183.6</w:t>
            </w:r>
          </w:p>
        </w:tc>
        <w:tc>
          <w:tcPr>
            <w:tcW w:w="1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273"/>
        </w:trPr>
        <w:tc>
          <w:tcPr>
            <w:tcW w:w="160" w:type="dxa"/>
            <w:vAlign w:val="bottom"/>
          </w:tcPr>
          <w:p>
            <w:pPr>
              <w:spacing w:after="0"/>
              <w:rPr>
                <w:sz w:val="23"/>
                <w:szCs w:val="23"/>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0" w:type="dxa"/>
            <w:vAlign w:val="bottom"/>
          </w:tcPr>
          <w:p>
            <w:pPr>
              <w:spacing w:after="0"/>
              <w:rPr>
                <w:sz w:val="13"/>
                <w:szCs w:val="13"/>
                <w:color w:val="auto"/>
              </w:rPr>
            </w:pPr>
          </w:p>
        </w:tc>
        <w:tc>
          <w:tcPr>
            <w:tcW w:w="11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(25.2)</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(25.0)</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11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(25.0)</w:t>
            </w:r>
          </w:p>
        </w:tc>
        <w:tc>
          <w:tcPr>
            <w:tcW w:w="1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601" w:hanging="601"/>
        <w:spacing w:after="0"/>
        <w:tabs>
          <w:tab w:leader="none" w:pos="601" w:val="left"/>
        </w:tabs>
        <w:numPr>
          <w:ilvl w:val="0"/>
          <w:numId w:val="28"/>
        </w:numPr>
        <w:rPr>
          <w:rFonts w:ascii="Arial" w:cs="Arial" w:eastAsia="Arial" w:hAnsi="Arial"/>
          <w:sz w:val="14"/>
          <w:szCs w:val="14"/>
          <w:color w:val="auto"/>
        </w:rPr>
      </w:pPr>
      <w:r>
        <w:rPr>
          <w:rFonts w:ascii="Arial" w:cs="Arial" w:eastAsia="Arial" w:hAnsi="Arial"/>
          <w:sz w:val="14"/>
          <w:szCs w:val="14"/>
          <w:color w:val="auto"/>
        </w:rPr>
        <w:t>158.6</w:t>
      </w:r>
    </w:p>
    <w:tbl>
      <w:tblPr>
        <w:tblLayout w:type="fixed"/>
        <w:tblInd w:w="1" w:type="dxa"/>
        <w:tblCellMar>
          <w:top w:w="0" w:type="dxa"/>
          <w:left w:w="0" w:type="dxa"/>
          <w:bottom w:w="0" w:type="dxa"/>
          <w:right w:w="0" w:type="dxa"/>
        </w:tblCellMar>
      </w:tblPr>
      <w:tr>
        <w:trPr>
          <w:trHeight w:val="183"/>
        </w:trPr>
        <w:tc>
          <w:tcPr>
            <w:tcW w:w="3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(160.5)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(256.6)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(11.2)</w:t>
            </w:r>
          </w:p>
        </w:tc>
        <w:tc>
          <w:tcPr>
            <w:tcW w:w="90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241.5</w:t>
            </w:r>
          </w:p>
        </w:tc>
        <w:tc>
          <w:tcPr>
            <w:tcW w:w="8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1,310.7</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97"/>
        </w:trPr>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58.0</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58.0</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273"/>
        </w:trPr>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w:t>
            </w: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(5.9)</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9.6</w:t>
            </w: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w:t>
            </w:r>
          </w:p>
        </w:tc>
        <w:tc>
          <w:tcPr>
            <w:tcW w:w="380" w:type="dxa"/>
            <w:vAlign w:val="bottom"/>
          </w:tcPr>
          <w:p>
            <w:pPr>
              <w:spacing w:after="0"/>
              <w:rPr>
                <w:sz w:val="13"/>
                <w:szCs w:val="13"/>
                <w:color w:val="auto"/>
              </w:rPr>
            </w:pPr>
          </w:p>
        </w:tc>
        <w:tc>
          <w:tcPr>
            <w:tcW w:w="12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7.7</w:t>
            </w: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56"/>
        </w:trPr>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65.7</w:t>
            </w: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(26.8)</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line="20" w:lineRule="exact"/>
              <w:rPr>
                <w:sz w:val="1"/>
                <w:szCs w:val="1"/>
                <w:color w:val="auto"/>
              </w:rPr>
            </w:pPr>
          </w:p>
        </w:tc>
      </w:tr>
      <w:tr>
        <w:trPr>
          <w:trHeight w:val="143"/>
        </w:trPr>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(3.5)</w:t>
            </w:r>
          </w:p>
        </w:tc>
        <w:tc>
          <w:tcPr>
            <w:tcW w:w="90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272.7</w:t>
            </w:r>
          </w:p>
        </w:tc>
        <w:tc>
          <w:tcPr>
            <w:tcW w:w="8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1,473.5</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97"/>
        </w:trPr>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212.0</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212.0</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212.0</w:t>
            </w:r>
          </w:p>
        </w:tc>
        <w:tc>
          <w:tcPr>
            <w:tcW w:w="0" w:type="dxa"/>
            <w:vAlign w:val="bottom"/>
          </w:tcPr>
          <w:p>
            <w:pPr>
              <w:spacing w:after="0"/>
              <w:rPr>
                <w:sz w:val="1"/>
                <w:szCs w:val="1"/>
                <w:color w:val="auto"/>
              </w:rPr>
            </w:pPr>
          </w:p>
        </w:tc>
      </w:tr>
      <w:tr>
        <w:trPr>
          <w:trHeight w:val="273"/>
        </w:trPr>
        <w:tc>
          <w:tcPr>
            <w:tcW w:w="340" w:type="dxa"/>
            <w:vAlign w:val="bottom"/>
          </w:tcPr>
          <w:p>
            <w:pPr>
              <w:spacing w:after="0"/>
              <w:rPr>
                <w:sz w:val="23"/>
                <w:szCs w:val="23"/>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(3.1)</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(3.9)</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9.0</w:t>
            </w: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w:t>
            </w:r>
          </w:p>
        </w:tc>
        <w:tc>
          <w:tcPr>
            <w:tcW w:w="380" w:type="dxa"/>
            <w:vAlign w:val="bottom"/>
          </w:tcPr>
          <w:p>
            <w:pPr>
              <w:spacing w:after="0"/>
              <w:rPr>
                <w:sz w:val="13"/>
                <w:szCs w:val="13"/>
                <w:color w:val="auto"/>
              </w:rPr>
            </w:pPr>
          </w:p>
        </w:tc>
        <w:tc>
          <w:tcPr>
            <w:tcW w:w="12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2.9</w:t>
            </w: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601" w:hanging="601"/>
        <w:spacing w:after="0"/>
        <w:tabs>
          <w:tab w:leader="none" w:pos="601" w:val="left"/>
        </w:tabs>
        <w:numPr>
          <w:ilvl w:val="0"/>
          <w:numId w:val="29"/>
        </w:numPr>
        <w:rPr>
          <w:rFonts w:ascii="Arial" w:cs="Arial" w:eastAsia="Arial" w:hAnsi="Arial"/>
          <w:sz w:val="14"/>
          <w:szCs w:val="14"/>
          <w:color w:val="auto"/>
        </w:rPr>
      </w:pPr>
      <w:r>
        <w:rPr>
          <w:rFonts w:ascii="Arial" w:cs="Arial" w:eastAsia="Arial" w:hAnsi="Arial"/>
          <w:sz w:val="14"/>
          <w:szCs w:val="14"/>
          <w:color w:val="auto"/>
        </w:rPr>
        <w:t>214.9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5746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15875</wp:posOffset>
            </wp:positionV>
            <wp:extent cx="5746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 w:lineRule="exact"/>
        <w:rPr>
          <w:sz w:val="20"/>
          <w:szCs w:val="20"/>
          <w:color w:val="auto"/>
        </w:rPr>
      </w:pPr>
    </w:p>
    <w:tbl>
      <w:tblPr>
        <w:tblLayout w:type="fixed"/>
        <w:tblInd w:w="1281"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(142.0)</w:t>
            </w:r>
          </w:p>
        </w:tc>
        <w:tc>
          <w:tcPr>
            <w:tcW w:w="2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(280.3)</w:t>
            </w:r>
          </w:p>
        </w:tc>
      </w:tr>
      <w:tr>
        <w:trPr>
          <w:trHeight w:val="20"/>
        </w:trPr>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(0.6)</w:t>
            </w:r>
          </w:p>
        </w:tc>
        <w:tc>
          <w:tcPr>
            <w:tcW w:w="1060" w:type="dxa"/>
            <w:vAlign w:val="bottom"/>
            <w:gridSpan w:val="3"/>
          </w:tcPr>
          <w:p>
            <w:pPr>
              <w:jc w:val="right"/>
              <w:ind w:right="360"/>
              <w:spacing w:after="0" w:line="155" w:lineRule="exact"/>
              <w:rPr>
                <w:sz w:val="20"/>
                <w:szCs w:val="20"/>
                <w:color w:val="auto"/>
              </w:rPr>
            </w:pPr>
            <w:r>
              <w:rPr>
                <w:rFonts w:ascii="Arial" w:cs="Arial" w:eastAsia="Arial" w:hAnsi="Arial"/>
                <w:sz w:val="14"/>
                <w:szCs w:val="14"/>
                <w:color w:val="auto"/>
              </w:rPr>
              <w:t>$   342.7</w:t>
            </w:r>
          </w:p>
        </w:tc>
        <w:tc>
          <w:tcPr>
            <w:tcW w:w="220" w:type="dxa"/>
            <w:vAlign w:val="bottom"/>
          </w:tcPr>
          <w:p>
            <w:pPr>
              <w:jc w:val="right"/>
              <w:ind w:right="72"/>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1,609.3</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6800" w:space="339"/>
            <w:col w:w="4241"/>
          </w:cols>
          <w:pgMar w:left="240" w:top="459" w:right="27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56</w:t>
      </w:r>
    </w:p>
    <w:p>
      <w:pPr>
        <w:sectPr>
          <w:pgSz w:w="11900" w:h="16838" w:orient="portrait"/>
          <w:cols w:equalWidth="0" w:num="1">
            <w:col w:w="11380"/>
          </w:cols>
          <w:pgMar w:left="240" w:top="459" w:right="27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January 31, 2011</w:t>
      </w:r>
    </w:p>
    <w:p>
      <w:pPr>
        <w:spacing w:after="0" w:line="2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(Tables in millions of dollars, except per share data, unless otherwise indicated)</w:t>
      </w:r>
    </w:p>
    <w:p>
      <w:pPr>
        <w:spacing w:after="0" w:line="1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Business and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Autodesk, Inc. (“Autodesk” or the “Company”) is a world leading design software and services company, offering customers productive business solutions through powerful technology products and services. The Company serves customers in the architecture, engineering and construction; manufacturing; and digital media and entertainment markets. The Company’s sophisticated software products enable its customers to experience their ideas before they are real by allowing them to create and document their designs and to visualize, simulate and analyze real-world performance early in the design process by creating digital prototypes. These capabilities allow Autodesk’s customers to optimize and improve their designs, help save time and money, improve quality and foster innovation. Autodesk software products are sold globally, both directly to customers and through a network of resellers and distributors.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Autodesk and its wholly-owned and majority-owned subsidiaries. All significant intercompany accounts and transactions have been eliminated.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During the first quarter of fiscal 2011, Autodesk reclassified certain costs of revenue, which primarily included reclassifying shipping and fulfillment expenses from “Cost of license and other revenue” to “Cost of maintenance revenue,” due to a change in the Company’s cost allocation methodology. These expenses have been reclassified in the Consolidated Statements of Operations for the fiscal years ended January 31, 2010 and 2009, to conform to the current period presentation as follows:</w:t>
      </w:r>
    </w:p>
    <w:p>
      <w:pPr>
        <w:spacing w:after="0" w:line="17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2010</w:t>
            </w:r>
          </w:p>
        </w:tc>
        <w:tc>
          <w:tcPr>
            <w:tcW w:w="24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to Expense</w:t>
            </w: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Cost of license and other revenue</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$(7.9)</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maintenance revenue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Examples of significant estimates and assumptions made by management involve the determination of the fair value of goodwill, financial instruments, long-lived assets and other intangible assets, the realizability of deferred tax assets and the fair value of stock awards (see “Stock-Based Compensation Expense” within this Note 1 and Note 4 “Employee and Director Stock Plans,” for further discussion). We also make assumptions, judgments and estimates in determining the accruals for uncertain tax positions, variable compensation, partner incentive programs, product returns reserves, allowances for doubtful accounts, asset retirement obligations and legal contingencies.</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Translation</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assets and liabilities of Autodesk’s foreign subsidiaries are translated from their respective functional currencies into U.S. dollars at the rates in effect at the balance sheet date, and revenue and expense amounts are translated at weighted average rates during the period. Foreign currency translation adjustments are recorded as other comprehensive income (loss).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Gains and losses realized from foreign currency transactions, those transactions denominated in currencies other than the foreign subsidiary’s functional currency, are included in interest and other income, net.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and Canadian dollars. These instruments have maturities between one to 12 months in the future. Autodesk does not enter into any derivative instruments for trading or speculative purposes.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Autodesk utilizes foreign currency contracts to reduce the exchange rate impact on a portion of the net revenue or operating expense of certain anticipated transactions. These contracts, which are designated and documented as cash flow hedges, qualify for hedge accounting treatment.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income (loss)” to “Interest and other income, net” in the Company’s Consolidated Financial Statements at that time.</w:t>
      </w:r>
    </w:p>
    <w:p>
      <w:pPr>
        <w:spacing w:after="0" w:line="11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addition to the cash flow hedges described above, contracts which are not designated as hedging instruments are marked-to-market at the end of each fiscal quarter, with gains and losses recognized as other income or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Autodesk considers all highly liquid investments with insignificant interest rate risk and remaining maturities of three months or less at the date of purchase to be cash equivalents. Cash equivalents are recorded at cost, which approximates fair value.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Marketable securities are stated at fair value. Marketable securities maturing within one year that are not restricted are classified as current assets. Auction rate securities with an estimated fair value of $4.2 million at January 31, 2011 are classified as non-current marketable securities; for additional information see Note 2, “Financial Instruments and Hedging Activities.”</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Autodesk determines the appropriate classification of its marketable securities at the time of purchase and re-evaluates such classification as of each balance sheet date. Autodesk carries all “available-for-sale securities” at fair value, with unrealized gains and losses, net of tax, reported in stockholders’ equity until disposition or maturity. Autodesk carries all “trading securities” at fair value, with unrealized gains and losses, recorded in “Interest and other income, net” in the Company’s Consolidated Statements of Operations.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All of Autodesk’s marketable securities are subject to a periodic impairment review. The Company recognizes an impairment charge when a decline in the fair value of its investments below the cost basis is judged to be other-than-temporary. Autodesk considers various factors in determining whether to recognize an impairment charge, including the length of time and extent to which the fair value has been less than Autodesk’s cost basis, the financial condition and near-term prospects of the investee, and Autodesk’s intent and ability to hold the investment for a period of time sufficient to allow for any anticipated recovery in the market value. Autodesk did not record any other-than temporary impairment charges during fiscal 2011 and fiscal 2010. For additional information, see “Concentration of Credit Risk” within this Note 1 and Note 2, “Financial Instruments and Hedging Activities.”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net, consisted of the following as of January 31:</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$363.0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$316.5</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640" w:type="dxa"/>
            <w:vAlign w:val="bottom"/>
            <w:gridSpan w:val="3"/>
          </w:tcPr>
          <w:p>
            <w:pPr>
              <w:jc w:val="right"/>
              <w:ind w:right="200"/>
              <w:spacing w:after="0"/>
              <w:rPr>
                <w:sz w:val="20"/>
                <w:szCs w:val="20"/>
                <w:color w:val="auto"/>
              </w:rPr>
            </w:pPr>
            <w:r>
              <w:rPr>
                <w:rFonts w:ascii="Arial" w:cs="Arial" w:eastAsia="Arial" w:hAnsi="Arial"/>
                <w:sz w:val="18"/>
                <w:szCs w:val="18"/>
                <w:color w:val="auto"/>
              </w:rPr>
              <w:t>(4.2)</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5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Product returns reserve</w:t>
            </w:r>
          </w:p>
        </w:tc>
        <w:tc>
          <w:tcPr>
            <w:tcW w:w="2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r>
      <w:tr>
        <w:trPr>
          <w:trHeight w:val="216"/>
        </w:trPr>
        <w:tc>
          <w:tcPr>
            <w:tcW w:w="5120" w:type="dxa"/>
            <w:vAlign w:val="bottom"/>
          </w:tcPr>
          <w:p>
            <w:pPr>
              <w:ind w:left="480"/>
              <w:spacing w:after="0"/>
              <w:rPr>
                <w:sz w:val="20"/>
                <w:szCs w:val="20"/>
                <w:color w:val="auto"/>
              </w:rPr>
            </w:pPr>
            <w:r>
              <w:rPr>
                <w:rFonts w:ascii="Arial" w:cs="Arial" w:eastAsia="Arial" w:hAnsi="Arial"/>
                <w:sz w:val="18"/>
                <w:szCs w:val="18"/>
                <w:color w:val="auto"/>
              </w:rPr>
              <w:t>Partner programs and other obligations</w:t>
            </w:r>
          </w:p>
        </w:tc>
        <w:tc>
          <w:tcPr>
            <w:tcW w:w="18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(29.8)</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(22.7)</w:t>
            </w:r>
          </w:p>
        </w:tc>
      </w:tr>
      <w:tr>
        <w:trPr>
          <w:trHeight w:val="27"/>
        </w:trPr>
        <w:tc>
          <w:tcPr>
            <w:tcW w:w="5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318.4</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277.4</w:t>
            </w:r>
          </w:p>
        </w:tc>
      </w:tr>
      <w:tr>
        <w:trPr>
          <w:trHeight w:val="20"/>
        </w:trPr>
        <w:tc>
          <w:tcPr>
            <w:tcW w:w="5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Allowances for uncollectible trade receivables are based upon historical loss patterns, the number of days that billings are past due and an evaluation of the potential risk of loss associated with problem accounts.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product returns reserves are based on historical experience of actual product returns, estimated channel inventory levels, the timing of new product introductions, channel sell-in for applicable markets and other factors.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Partner program and other obligations are primarily related to partner incentives that use quarterly attainment monetary rewards to motivate distributors and resellers to achieve mutually agreed upon business goals in a specified time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 of Credit Risk</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financial institutions with high credit ratings and limits the amounts invested with any one institution, type of security and issuer.</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Geographical concentrations of consolidated cash, cash equivalents and marketable securities held by Autodesk as of January 31:</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2011</w:t>
            </w:r>
          </w:p>
        </w:tc>
        <w:tc>
          <w:tcPr>
            <w:tcW w:w="60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2010</w:t>
            </w:r>
          </w:p>
        </w:tc>
        <w:tc>
          <w:tcPr>
            <w:tcW w:w="200" w:type="dxa"/>
            <w:vAlign w:val="bottom"/>
          </w:tcPr>
          <w:p>
            <w:pPr>
              <w:spacing w:after="0"/>
              <w:rPr>
                <w:sz w:val="14"/>
                <w:szCs w:val="14"/>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Other Americas</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and Africa (“EMEA”)</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22"/>
        </w:trPr>
        <w:tc>
          <w:tcPr>
            <w:tcW w:w="7220" w:type="dxa"/>
            <w:vAlign w:val="bottom"/>
          </w:tcPr>
          <w:p>
            <w:pPr>
              <w:spacing w:after="0"/>
              <w:rPr>
                <w:sz w:val="20"/>
                <w:szCs w:val="20"/>
                <w:color w:val="auto"/>
              </w:rPr>
            </w:pPr>
            <w:r>
              <w:rPr>
                <w:rFonts w:ascii="Arial" w:cs="Arial" w:eastAsia="Arial" w:hAnsi="Arial"/>
                <w:sz w:val="18"/>
                <w:szCs w:val="18"/>
                <w:color w:val="auto"/>
              </w:rPr>
              <w:t>Asia Pacific (“APAC”)</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36%</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bl>
    <w:p>
      <w:pPr>
        <w:spacing w:after="0" w:line="14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Autodesk’s primary commercial banking relationship is with Citibank and its global affiliates (“Citibank”). The Company’s cash and cash equivalents are held by diversified financial institutions globally. Citicorp USA, Inc., an affiliate of Citibank, is the lead lender and agent in the syndicate of Autodesk’s $250.0 million U.S. line of credit facility.</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At January 31, 2011, Autodesk’s investment portfolio included auction rate securities with an estimated fair value of $4.2 million. See Note 2, “Financial Instruments and Hedging Activities,” for further discussion of Autodesk’s financial instruments including its auction rate securities.</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Autodesk’s accounts receivable are derived from sales to a large number of resellers, distributors and direct customers in the Americas; EMEA; and APAC geographies. Autodesk performs ongoing evaluations of its customers’ financial condition and limits the amount of credit extended when deemed necessary, but generally does not require collateral from such parties. Total sales to the distributor Tech Data Corporation, and its global affiliates (“Tech Data”), accounted for 16% of Autodesk’s consolidated net revenue in fiscal year ended 2011 and 14% for the fiscal years ended 2010 and 2009. The majority of the net revenue from sales to Tech Data relates to Autodesk’s Platform Solutions and Emerging Business segment and is for sales made outside of the United States. In addition, Tech Data accounted for 16% and 15% of trade accounts receivable at January 31, 2011 and 2010, respectively. Autodesk believes its business is not substantially dependent on Tech Data. Autodesk’s actual customers through Tech Data are the resellers and end users who purchase Autodesk’s software licenses and services. Should any of the agreements between Autodesk and Tech Data be terminated for any reason, Autodesk believes that arrangements could be made so that the resellers and end users who currently purchase Autodesk’s products through Tech Data would be able to continue to do so under substantially the same terms from one of the many other distributors of Autodesk without substantial disruption to Autodesk.</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Computer Equipment, Software, Furniture and Leasehold Improvements, Net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Computer equipment, software and furniture are depreciated using the straight-line method over the estimated useful lives of the assets, which range from two to five years. Leasehold improvements are amortized on a straight-line basis over the shorter of their estimated useful lives or the lease term. Depreciation expense was $47.6 million in fiscal 2011, $50.4 million in fiscal 2010 and $46.2 million in fiscal 2009.</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60</w:t>
      </w:r>
    </w:p>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Computer equipment, software, furniture, leasehold improvements and the related accumulated depreciation at January 31 were as follows:</w:t>
      </w:r>
    </w:p>
    <w:p>
      <w:pPr>
        <w:spacing w:after="0" w:line="2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at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129.4</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$ 127.3</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Computer hardware, at cost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123.7</w:t>
            </w:r>
          </w:p>
        </w:tc>
        <w:tc>
          <w:tcPr>
            <w:tcW w:w="2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108.5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land and buildings, at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121.3</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Furniture and equipment, at cost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392.4</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(333.5)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(290.8)</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hardware, leasehold improvements, furniture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$ 101.6</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if material, and immediately expensed for preliminary project activities and post-implementation activities. These capitalized costs are amortized over the software’s expected useful life, which is generally three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Software Development Costs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Software development costs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 technological feasibility through the period of general market availability of the products are capitalized and generally amortized over a one year period, if material. Autodesk had no capitalized software development costs at January 31, 2011 and January 31, 2010.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Intangible Assets, Net</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Other intangible assets include purchased technologies, customer relationships, trade names and the related accumulated amortization. These assets are shown as “Purchased technologies, net” and as part of “Other assets” in the Consolidated Balance Sheet. The majority of Autodesk’s other intangible assets are amortized to expense over the estimated economic life of the product, which ranges from two to seven years. Amortization expense for purchased technologies, customer relationships and trade names, which is included as a component of cost of revenue, was $57.8 million in fiscal 2011, $61.2 million in fiscal 2010 and $41.5 million in fiscal 2009.</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intangible assets and related accumulated amortization at January 31 were as follows: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at cost(1)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$ 313.1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311.5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Customer relationships and trade names, at cost(2)</w:t>
            </w:r>
          </w:p>
        </w:tc>
        <w:tc>
          <w:tcPr>
            <w:tcW w:w="560" w:type="dxa"/>
            <w:vAlign w:val="bottom"/>
          </w:tcPr>
          <w:p>
            <w:pPr>
              <w:jc w:val="right"/>
              <w:spacing w:after="0"/>
              <w:rPr>
                <w:sz w:val="20"/>
                <w:szCs w:val="20"/>
                <w:color w:val="auto"/>
              </w:rPr>
            </w:pPr>
            <w:r>
              <w:rPr>
                <w:rFonts w:ascii="Arial" w:cs="Arial" w:eastAsia="Arial" w:hAnsi="Arial"/>
                <w:sz w:val="18"/>
                <w:szCs w:val="18"/>
                <w:color w:val="auto"/>
              </w:rPr>
              <w:t>179.1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176.5</w:t>
            </w:r>
          </w:p>
        </w:tc>
      </w:tr>
      <w:tr>
        <w:trPr>
          <w:trHeight w:val="27"/>
        </w:trPr>
        <w:tc>
          <w:tcPr>
            <w:tcW w:w="6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488.0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(373.4)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(314.9)</w:t>
            </w:r>
          </w:p>
        </w:tc>
      </w:tr>
      <w:tr>
        <w:trPr>
          <w:trHeight w:val="27"/>
        </w:trPr>
        <w:tc>
          <w:tcPr>
            <w:tcW w:w="6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173.1</w:t>
            </w:r>
          </w:p>
        </w:tc>
      </w:tr>
      <w:tr>
        <w:trPr>
          <w:trHeight w:val="20"/>
        </w:trPr>
        <w:tc>
          <w:tcPr>
            <w:tcW w:w="6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34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Purchased technologies include zero and $4.3 million of in-process research and development technology as of January 31, 2011 and January 31, 2010, respectively. During fiscal 2011, $4.3 million of in-process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right="100"/>
        <w:spacing w:after="0" w:line="283" w:lineRule="auto"/>
        <w:rPr>
          <w:sz w:val="20"/>
          <w:szCs w:val="20"/>
          <w:color w:val="auto"/>
        </w:rPr>
      </w:pPr>
      <w:r>
        <w:rPr>
          <w:rFonts w:ascii="Arial" w:cs="Arial" w:eastAsia="Arial" w:hAnsi="Arial"/>
          <w:sz w:val="16"/>
          <w:szCs w:val="16"/>
          <w:color w:val="auto"/>
        </w:rPr>
        <w:t>research and development assets reached the stage of fully developed technology and began being amortized to expense. In-process research and development is an indefinite lived asset that is held and tested at least annually for impairment until such time that it becomes fully developed technology. Once completed, the technology is amortized to expense over an applicable useful life. Prior to February 1, 2009, Autodesk expensed in-process research and development to research and development expense in the period it was acquired.</w:t>
      </w:r>
    </w:p>
    <w:p>
      <w:pPr>
        <w:spacing w:after="0" w:line="3"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Customer relationships and trade names are included in “Other assets” in the Consolidated Balance Sheet.</w:t>
      </w:r>
    </w:p>
    <w:p>
      <w:pPr>
        <w:spacing w:after="0" w:line="16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The weighted average amortization period for purchased technologies, customer relationships and trade names during fiscal 2011 was 3.2 years. Expected future amortization expense for purchased technologies, customer relationships and trade names for each of the fiscal years ended thereafter is as follows:</w:t>
      </w:r>
    </w:p>
    <w:p>
      <w:pPr>
        <w:spacing w:after="0" w:line="8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880" w:type="dxa"/>
            <w:vAlign w:val="bottom"/>
            <w:gridSpan w:val="4"/>
          </w:tcPr>
          <w:p>
            <w:pPr>
              <w:ind w:left="4100"/>
              <w:spacing w:after="0"/>
              <w:rPr>
                <w:sz w:val="20"/>
                <w:szCs w:val="20"/>
                <w:color w:val="auto"/>
              </w:rPr>
            </w:pPr>
            <w:r>
              <w:rPr>
                <w:rFonts w:ascii="Arial" w:cs="Arial" w:eastAsia="Arial" w:hAnsi="Arial"/>
                <w:sz w:val="14"/>
                <w:szCs w:val="14"/>
                <w:b w:val="1"/>
                <w:bCs w:val="1"/>
                <w:color w:val="auto"/>
                <w:w w:val="94"/>
              </w:rPr>
              <w:t>Year ending</w:t>
            </w: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January 31,</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28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2013</w:t>
            </w: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2015</w:t>
            </w: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Thereafter</w:t>
            </w:r>
          </w:p>
        </w:tc>
        <w:tc>
          <w:tcPr>
            <w:tcW w:w="4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8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circumstances indicate a potential impairment. When assessing goodwill for impairment, Autodesk uses discounted cash flow models that include assumptions regarding reportable segments’ projected cash flows (“Income Approach”) and corroborates it with the estimated consideration that the Company would receive if there were to be a sale of the reporting segment (“Market Approach”).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 There was no impairment of goodwill during the year ended January 31, 2011. A hypothetical 10% decrease in the fair value of Autodesk’s Platform Solutions and Emerging Business; Manufacturing; Architecture, Engineering and Construction; or Media and Entertainment reporting units would not have an impact on the carrying value, nor result in an impairment, of goodwill shown on Autodesk’s balance sheet as of January 31, 2011 for the respective reporting units.</w:t>
      </w:r>
    </w:p>
    <w:p>
      <w:pPr>
        <w:spacing w:after="0" w:line="12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fiscal year ended 2010, Autodesk recorded an impairment charge of $21.0 million, representing the entire goodwill balance of the Media and Entertainment (“M&amp;E”) segment as of April 30, 2009. During the fiscal year ended January 31, 2009, the carrying value of M&amp;E was deemed to exceed the allocated fair value and Autodesk recorded a $128.2 million goodwill impairment charge. Should our revenue and cash flow projections decline significantly in the future, additional impairment charges may be recorded to goodwill.</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62</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carrying amount of goodwill during the year ended January 31, 2011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Platform</w:t>
            </w:r>
          </w:p>
        </w:tc>
        <w:tc>
          <w:tcPr>
            <w:tcW w:w="6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Architecture,</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Solutions and</w:t>
            </w:r>
          </w:p>
        </w:tc>
        <w:tc>
          <w:tcPr>
            <w:tcW w:w="660" w:type="dxa"/>
            <w:vAlign w:val="bottom"/>
          </w:tcPr>
          <w:p>
            <w:pPr>
              <w:spacing w:after="0"/>
              <w:rPr>
                <w:sz w:val="12"/>
                <w:szCs w:val="12"/>
                <w:color w:val="auto"/>
              </w:rPr>
            </w:pPr>
          </w:p>
        </w:tc>
        <w:tc>
          <w:tcPr>
            <w:tcW w:w="14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Engineering</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Emerging</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and</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Media and</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80"/>
              </w:rPr>
              <w:t>Business</w:t>
            </w:r>
          </w:p>
        </w:tc>
        <w:tc>
          <w:tcPr>
            <w:tcW w:w="6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Construction</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Manufacturing</w:t>
            </w:r>
          </w:p>
        </w:tc>
        <w:tc>
          <w:tcPr>
            <w:tcW w:w="3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Entertainment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2010</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40.2</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224.8</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277.9</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149.2</w:t>
            </w:r>
          </w:p>
        </w:tc>
        <w:tc>
          <w:tcPr>
            <w:tcW w:w="3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$ 692.1</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(149.2)</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(149.2)</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224.8</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277.9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542.9</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acquired during the year</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Effect of foreign currency translation, purchase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4720" w:type="dxa"/>
            <w:vAlign w:val="bottom"/>
          </w:tcPr>
          <w:p>
            <w:pPr>
              <w:ind w:left="640"/>
              <w:spacing w:after="0"/>
              <w:rPr>
                <w:sz w:val="20"/>
                <w:szCs w:val="20"/>
                <w:color w:val="auto"/>
              </w:rPr>
            </w:pPr>
            <w:r>
              <w:rPr>
                <w:rFonts w:ascii="Arial" w:cs="Arial" w:eastAsia="Arial" w:hAnsi="Arial"/>
                <w:sz w:val="18"/>
                <w:szCs w:val="18"/>
                <w:color w:val="auto"/>
              </w:rPr>
              <w:t>accounting adjustments and other</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2011</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224.2</w:t>
            </w:r>
          </w:p>
        </w:tc>
        <w:tc>
          <w:tcPr>
            <w:tcW w:w="3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279.1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154.7</w:t>
            </w:r>
          </w:p>
        </w:tc>
        <w:tc>
          <w:tcPr>
            <w:tcW w:w="3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703.3</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(149.2)</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(149.2)</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45.3</w:t>
            </w: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224.</w:t>
            </w:r>
            <w:r>
              <w:rPr>
                <w:rFonts w:ascii="Arial" w:cs="Arial" w:eastAsia="Arial" w:hAnsi="Arial"/>
                <w:sz w:val="18"/>
                <w:szCs w:val="18"/>
                <w:u w:val="single" w:color="auto"/>
                <w:color w:val="auto"/>
              </w:rPr>
              <w:t>2</w:t>
            </w:r>
          </w:p>
        </w:tc>
        <w:tc>
          <w:tcPr>
            <w:tcW w:w="68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279.1</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$ 554.1</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carrying amount of goodwill during the year ended January 31, 2010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Platform</w:t>
            </w:r>
          </w:p>
        </w:tc>
        <w:tc>
          <w:tcPr>
            <w:tcW w:w="3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7"/>
              </w:rPr>
              <w:t>Architecture,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1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Solutions and</w:t>
            </w:r>
          </w:p>
        </w:tc>
        <w:tc>
          <w:tcPr>
            <w:tcW w:w="3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Engineering</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Emerging</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rPr>
              <w:t>and</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Media and</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0"/>
              </w:rPr>
              <w:t>Business</w:t>
            </w:r>
          </w:p>
        </w:tc>
        <w:tc>
          <w:tcPr>
            <w:tcW w:w="3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7"/>
              </w:rPr>
              <w:t>Construction</w:t>
            </w:r>
          </w:p>
        </w:tc>
        <w:tc>
          <w:tcPr>
            <w:tcW w:w="6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Manufacturing</w:t>
            </w:r>
          </w:p>
        </w:tc>
        <w:tc>
          <w:tcPr>
            <w:tcW w:w="3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Entertainment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2009</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36.3</w:t>
            </w:r>
          </w:p>
        </w:tc>
        <w:tc>
          <w:tcPr>
            <w:tcW w:w="36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209.4</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275.8</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149.2</w:t>
            </w:r>
          </w:p>
        </w:tc>
        <w:tc>
          <w:tcPr>
            <w:tcW w:w="3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$ 670.7</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(128.2)</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(128.2)</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209.4</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275.8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w:t>
            </w:r>
          </w:p>
        </w:tc>
        <w:tc>
          <w:tcPr>
            <w:tcW w:w="38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542.5</w:t>
            </w:r>
          </w:p>
        </w:tc>
      </w:tr>
      <w:tr>
        <w:trPr>
          <w:trHeight w:val="28"/>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Goodwill acquired during the year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 of assets between segments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Effect of foreign currency translation, purchase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4720" w:type="dxa"/>
            <w:vAlign w:val="bottom"/>
          </w:tcPr>
          <w:p>
            <w:pPr>
              <w:ind w:left="640"/>
              <w:spacing w:after="0"/>
              <w:rPr>
                <w:sz w:val="20"/>
                <w:szCs w:val="20"/>
                <w:color w:val="auto"/>
              </w:rPr>
            </w:pPr>
            <w:r>
              <w:rPr>
                <w:rFonts w:ascii="Arial" w:cs="Arial" w:eastAsia="Arial" w:hAnsi="Arial"/>
                <w:sz w:val="18"/>
                <w:szCs w:val="18"/>
                <w:color w:val="auto"/>
              </w:rPr>
              <w:t>accounting adjustments and other</w:t>
            </w:r>
          </w:p>
        </w:tc>
        <w:tc>
          <w:tcPr>
            <w:tcW w:w="10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2010</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224.8</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277.9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149.2</w:t>
            </w:r>
          </w:p>
        </w:tc>
        <w:tc>
          <w:tcPr>
            <w:tcW w:w="3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692.1</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(149.2)</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(149.2)</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224.</w:t>
            </w:r>
            <w:r>
              <w:rPr>
                <w:rFonts w:ascii="Arial" w:cs="Arial" w:eastAsia="Arial" w:hAnsi="Arial"/>
                <w:sz w:val="18"/>
                <w:szCs w:val="18"/>
                <w:u w:val="single" w:color="auto"/>
                <w:color w:val="auto"/>
              </w:rPr>
              <w:t>8</w:t>
            </w:r>
          </w:p>
        </w:tc>
        <w:tc>
          <w:tcPr>
            <w:tcW w:w="6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277.9</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$ 542.9</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Purchase accounting adjustments reflect revisions made to the Company’s preliminary purchase price allocation during fiscal 2011 and 2010.</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At least annually or more frequently as circumstances dictate, Autodesk assesses the recoverability of its long-lived assets by comparing the estimated fair value of such assets against their respective carrying values. Fair value is estimated using the future undiscounted net cash flows associated with the assets. Impairment, if any, is based on the excess of the carrying value over the fair value. There was no impairment of long-lived assets during the years ended January 31, 2011 and 2010.</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Tax Assets</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Deferred tax assets arise primarily from tax credits, net operating losses, and timing differences for reserves, accrued liabilities, stock options, purchased technologies and capitalized intangibles, partially offset by the establishment of U.S. deferred tax liabilities on unremitted earnings from certain foreign subsidiaries, deferred tax liabilities associated with tax method change on advance payments, and a valuation allowance against California and Canadian deferred tax assets. They are measured using enacted tax rates expected to apply to taxable income in the years in which those temporary differences are expected to reverse. Valuation allowances are established when necessary to reduce gross deferred tax assets to the amount “more likely than not” expected to be realized.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Autodesk recognizes revenue when persuasive evidence of an arrangement exists, delivery has occurred or services have been rendered, the price is fixed or determinable, and collection is probable. For multiple element arrangements that include software products, Autodesk allocates the sales price among each of the deliverables using the residual method, under which revenue is allocated to undelivered elements based on their vendor-specific objective evidence (“VSOE”) of fair value. VSOE is the price charged when an element is sold separately or a price set by management with the relevant authority. If Autodesk does not have VSOE of an undelivered software license, revenue recognition is deferred on the entire sales arrangement until all elements for which Autodesk does not have VSOE are delivered. If Autodesk does not have VSOE for undelivered maintenance or services, the revenue for the arrangement is recognized over the longest contractual period in the arrangement. Revenue recognition for significant lines of business is discussed further below.</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Autodesk’s assessment of likelihood of collection is also a critical element in determining the timing of revenue recognition. If collection is not probable, the revenue will be deferred until the earlier of when collection is deemed probable or cash is received.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License and other revenue are comprised of two components: (1) all forms of product license revenue and (2) other revenue: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All Forms of Product License Revenue</w:t>
      </w:r>
    </w:p>
    <w:p>
      <w:pPr>
        <w:spacing w:after="0" w:line="90" w:lineRule="exact"/>
        <w:rPr>
          <w:sz w:val="20"/>
          <w:szCs w:val="20"/>
          <w:color w:val="auto"/>
        </w:rPr>
      </w:pPr>
    </w:p>
    <w:p>
      <w:pPr>
        <w:ind w:left="920" w:right="60" w:firstLine="420"/>
        <w:spacing w:after="0" w:line="294" w:lineRule="auto"/>
        <w:rPr>
          <w:sz w:val="20"/>
          <w:szCs w:val="20"/>
          <w:color w:val="auto"/>
        </w:rPr>
      </w:pPr>
      <w:r>
        <w:rPr>
          <w:rFonts w:ascii="Arial" w:cs="Arial" w:eastAsia="Arial" w:hAnsi="Arial"/>
          <w:sz w:val="16"/>
          <w:szCs w:val="16"/>
          <w:color w:val="auto"/>
        </w:rPr>
        <w:t>Product license revenue includes: software license revenue from the sale of new seat licenses, upgrades and crossgrades, product revenue for Creative Finishing sales wherein software is bundled with hardware components, and revenue from on-demand collaboration software and services. Autodesk’s existing customers who are using a currently supported version of a product can upgrade to the latest release of the product by paying a separate fee at current available prices. An existing customer also has the option to upgrade to a vertical design or model-based design product, which generally has a higher price, for a premium fee; this is referred to as a crossgrade.</w:t>
      </w:r>
    </w:p>
    <w:p>
      <w:pPr>
        <w:spacing w:after="0" w:line="35" w:lineRule="exact"/>
        <w:rPr>
          <w:sz w:val="20"/>
          <w:szCs w:val="20"/>
          <w:color w:val="auto"/>
        </w:rPr>
      </w:pPr>
    </w:p>
    <w:p>
      <w:pPr>
        <w:ind w:left="920" w:right="100" w:firstLine="420"/>
        <w:spacing w:after="0" w:line="268" w:lineRule="auto"/>
        <w:rPr>
          <w:sz w:val="20"/>
          <w:szCs w:val="20"/>
          <w:color w:val="auto"/>
        </w:rPr>
      </w:pPr>
      <w:r>
        <w:rPr>
          <w:rFonts w:ascii="Arial" w:cs="Arial" w:eastAsia="Arial" w:hAnsi="Arial"/>
          <w:sz w:val="18"/>
          <w:szCs w:val="18"/>
          <w:color w:val="auto"/>
        </w:rPr>
        <w:t>Autodesk’s product license revenue from distributors and resellers is generally recognized at the time title to Autodesk’s product passes to the distributor or reseller, provided all other criteria for revenue recognition are met.</w:t>
      </w:r>
    </w:p>
    <w:p>
      <w:pPr>
        <w:spacing w:after="0" w:line="51" w:lineRule="exact"/>
        <w:rPr>
          <w:sz w:val="20"/>
          <w:szCs w:val="20"/>
          <w:color w:val="auto"/>
        </w:rPr>
      </w:pPr>
    </w:p>
    <w:p>
      <w:pPr>
        <w:ind w:left="920" w:right="80" w:firstLine="420"/>
        <w:spacing w:after="0" w:line="268" w:lineRule="auto"/>
        <w:rPr>
          <w:sz w:val="20"/>
          <w:szCs w:val="20"/>
          <w:color w:val="auto"/>
        </w:rPr>
      </w:pPr>
      <w:r>
        <w:rPr>
          <w:rFonts w:ascii="Arial" w:cs="Arial" w:eastAsia="Arial" w:hAnsi="Arial"/>
          <w:sz w:val="18"/>
          <w:szCs w:val="18"/>
          <w:color w:val="auto"/>
        </w:rPr>
        <w:t>Autodesk establishes reserves for product returns based on historical experience of actual product returns, estimated channel inventory levels, the timing of new product introductions, channel sell-in for</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64</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applicable markets and other factors. These reserves are recorded as a direct reduction of revenue and accounts receivable at the time the related revenue is recognized.</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 Other Revenue</w:t>
      </w:r>
    </w:p>
    <w:p>
      <w:pPr>
        <w:spacing w:after="0" w:line="90" w:lineRule="exact"/>
        <w:rPr>
          <w:sz w:val="20"/>
          <w:szCs w:val="20"/>
          <w:color w:val="auto"/>
        </w:rPr>
      </w:pPr>
    </w:p>
    <w:p>
      <w:pPr>
        <w:ind w:left="920" w:right="400" w:firstLine="420"/>
        <w:spacing w:after="0" w:line="268" w:lineRule="auto"/>
        <w:rPr>
          <w:sz w:val="20"/>
          <w:szCs w:val="20"/>
          <w:color w:val="auto"/>
        </w:rPr>
      </w:pPr>
      <w:r>
        <w:rPr>
          <w:rFonts w:ascii="Arial" w:cs="Arial" w:eastAsia="Arial" w:hAnsi="Arial"/>
          <w:sz w:val="18"/>
          <w:szCs w:val="18"/>
          <w:color w:val="auto"/>
        </w:rPr>
        <w:t>Other revenue includes revenue from consulting, training, Autodesk Developers Network and Creative Finishing customer support, and is recognized over time, as the services are performed.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Maintenance Revenue</w:t>
      </w:r>
    </w:p>
    <w:p>
      <w:pPr>
        <w:spacing w:after="0" w:line="90" w:lineRule="exact"/>
        <w:rPr>
          <w:sz w:val="20"/>
          <w:szCs w:val="20"/>
          <w:color w:val="auto"/>
        </w:rPr>
      </w:pPr>
    </w:p>
    <w:p>
      <w:pPr>
        <w:ind w:left="920" w:right="100" w:firstLine="420"/>
        <w:spacing w:after="0" w:line="259" w:lineRule="auto"/>
        <w:rPr>
          <w:sz w:val="20"/>
          <w:szCs w:val="20"/>
          <w:color w:val="auto"/>
        </w:rPr>
      </w:pPr>
      <w:r>
        <w:rPr>
          <w:rFonts w:ascii="Arial" w:cs="Arial" w:eastAsia="Arial" w:hAnsi="Arial"/>
          <w:sz w:val="18"/>
          <w:szCs w:val="18"/>
          <w:color w:val="auto"/>
        </w:rPr>
        <w:t>Maintenance revenue consists of revenue from the Company’s maintenance program. Under this program, customers are eligible to receive unspecified upgrades when-and-if-available, downloadable training courses and on-line support. Autodesk recognizes maintenance revenue from its maintenance program ratably over the maintenance service contract periods.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Taxes Collected from Customers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Autodesk nets taxes collected from customers against those remitted to government authorities in our financial statements. Accordingly, taxes collected from customers are not reported as revenue.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Shipping and Handling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included in cost of revenue for all periods presented.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the date of grant, Autodesk measures the fair value of all stock-based payments (including grants of stock options, employee stock purchases related to the employee stock purchase plan (“ESP Plan”), and restricted stock) to employees and directors and records the related expense in Autodesk’s Consolidated Statements of Operations. The estimated fair value of stock-based awards is amortized to expense on a straight-line basis over the awards’ vesting period. The following table summarizes stock-based compensation expense for fiscal 2011, 2010 and 2009, respectively,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7"/>
              </w:rPr>
              <w:t>Fiscal Year Ended January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2011</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2010</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Cost of license and other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Marketing and sales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19"/>
                <w:szCs w:val="19"/>
                <w:color w:val="auto"/>
              </w:rPr>
            </w:pP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w w:val="97"/>
              </w:rPr>
              <w:t>(22.0)</w:t>
            </w:r>
          </w:p>
        </w:tc>
        <w:tc>
          <w:tcPr>
            <w:tcW w:w="10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fiscal 2010, Autodesk identified errors in the calculation of stock-based compensation expense. The Company had been incorrectly calculating stock-based compensation expense by applying a weighted average forfeiture rate to the vested portion of stock option awards until the grant’s final vest date rather than calculating stock based compensation expense based upon the actual vested portion of the grant date fair value, resulting in an understatement of stock-based compensation expense in certain periods prior to the grant’s vest date. The</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cumulative error from the understatement of stock-based compensation expense related to the periods prior to fiscal 2010 totaled $6.8 million, net of tax effects. Accordingly, additional expenses of $0.4 million for Cost of license and other revenue, $4.4 million for Marketing and sales, $2.9 million for Research and development, $2.1 million for General and Administrative and $3.0 million for additional tax benefit are included in the stock-based compensation expenses in the table above for the fiscal year ended January 31, 2010.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Autodesk uses the Black-Scholes-Merton option-pricing model to estimate the fair value of stock-based awards based on the following assumptions: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4"/>
          </w:tcPr>
          <w:p>
            <w:pPr>
              <w:jc w:val="center"/>
              <w:ind w:right="292"/>
              <w:spacing w:after="0"/>
              <w:rPr>
                <w:sz w:val="20"/>
                <w:szCs w:val="20"/>
                <w:color w:val="auto"/>
              </w:rPr>
            </w:pPr>
            <w:r>
              <w:rPr>
                <w:rFonts w:ascii="Arial" w:cs="Arial" w:eastAsia="Arial" w:hAnsi="Arial"/>
                <w:sz w:val="14"/>
                <w:szCs w:val="14"/>
                <w:b w:val="1"/>
                <w:bCs w:val="1"/>
                <w:color w:val="auto"/>
                <w:w w:val="87"/>
              </w:rPr>
              <w:t>Fiscal Year Ended</w:t>
            </w:r>
          </w:p>
        </w:tc>
        <w:tc>
          <w:tcPr>
            <w:tcW w:w="220" w:type="dxa"/>
            <w:vAlign w:val="bottom"/>
          </w:tcPr>
          <w:p>
            <w:pPr>
              <w:spacing w:after="0"/>
              <w:rPr>
                <w:sz w:val="14"/>
                <w:szCs w:val="14"/>
                <w:color w:val="auto"/>
              </w:rPr>
            </w:pP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Fiscal Year Ended</w:t>
            </w:r>
          </w:p>
        </w:tc>
        <w:tc>
          <w:tcPr>
            <w:tcW w:w="220" w:type="dxa"/>
            <w:vAlign w:val="bottom"/>
          </w:tcPr>
          <w:p>
            <w:pPr>
              <w:spacing w:after="0"/>
              <w:rPr>
                <w:sz w:val="14"/>
                <w:szCs w:val="14"/>
                <w:color w:val="auto"/>
              </w:rPr>
            </w:pPr>
          </w:p>
        </w:tc>
        <w:tc>
          <w:tcPr>
            <w:tcW w:w="2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Fiscal Year Ended</w:t>
            </w:r>
          </w:p>
        </w:tc>
      </w:tr>
      <w:tr>
        <w:trPr>
          <w:trHeight w:val="161"/>
        </w:trPr>
        <w:tc>
          <w:tcPr>
            <w:tcW w:w="4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199"/>
              <w:spacing w:after="0"/>
              <w:rPr>
                <w:sz w:val="20"/>
                <w:szCs w:val="20"/>
                <w:color w:val="auto"/>
              </w:rPr>
            </w:pPr>
            <w:r>
              <w:rPr>
                <w:rFonts w:ascii="Arial" w:cs="Arial" w:eastAsia="Arial" w:hAnsi="Arial"/>
                <w:sz w:val="14"/>
                <w:szCs w:val="14"/>
                <w:b w:val="1"/>
                <w:bCs w:val="1"/>
                <w:color w:val="auto"/>
                <w:w w:val="87"/>
              </w:rPr>
              <w:t>January 31, 2011</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January 31, 2010</w:t>
            </w:r>
          </w:p>
        </w:tc>
        <w:tc>
          <w:tcPr>
            <w:tcW w:w="220" w:type="dxa"/>
            <w:vAlign w:val="bottom"/>
          </w:tcPr>
          <w:p>
            <w:pPr>
              <w:spacing w:after="0"/>
              <w:rPr>
                <w:sz w:val="14"/>
                <w:szCs w:val="14"/>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January 31, 2009</w:t>
            </w:r>
          </w:p>
        </w:tc>
      </w:tr>
      <w:tr>
        <w:trPr>
          <w:trHeight w:val="129"/>
        </w:trPr>
        <w:tc>
          <w:tcPr>
            <w:tcW w:w="4100" w:type="dxa"/>
            <w:vAlign w:val="bottom"/>
          </w:tcPr>
          <w:p>
            <w:pPr>
              <w:spacing w:after="0"/>
              <w:rPr>
                <w:sz w:val="11"/>
                <w:szCs w:val="11"/>
                <w:color w:val="auto"/>
              </w:rPr>
            </w:pPr>
          </w:p>
        </w:tc>
        <w:tc>
          <w:tcPr>
            <w:tcW w:w="10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1"/>
        </w:trPr>
        <w:tc>
          <w:tcPr>
            <w:tcW w:w="410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Plans</w:t>
            </w:r>
          </w:p>
        </w:tc>
        <w:tc>
          <w:tcPr>
            <w:tcW w:w="220" w:type="dxa"/>
            <w:vAlign w:val="bottom"/>
          </w:tcPr>
          <w:p>
            <w:pPr>
              <w:spacing w:after="0"/>
              <w:rPr>
                <w:sz w:val="14"/>
                <w:szCs w:val="14"/>
                <w:color w:val="auto"/>
              </w:rPr>
            </w:pPr>
          </w:p>
        </w:tc>
        <w:tc>
          <w:tcPr>
            <w:tcW w:w="10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ESP Plan</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Plans</w:t>
            </w:r>
          </w:p>
        </w:tc>
        <w:tc>
          <w:tcPr>
            <w:tcW w:w="200" w:type="dxa"/>
            <w:vAlign w:val="bottom"/>
          </w:tcPr>
          <w:p>
            <w:pPr>
              <w:spacing w:after="0"/>
              <w:rPr>
                <w:sz w:val="14"/>
                <w:szCs w:val="14"/>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ESP Plan</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220" w:type="dxa"/>
            <w:vAlign w:val="bottom"/>
          </w:tcPr>
          <w:p>
            <w:pPr>
              <w:spacing w:after="0"/>
              <w:rPr>
                <w:sz w:val="14"/>
                <w:szCs w:val="14"/>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- 45%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- 47%</w:t>
            </w:r>
          </w:p>
        </w:tc>
        <w:tc>
          <w:tcPr>
            <w:tcW w:w="12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43 - 55%</w:t>
            </w:r>
          </w:p>
        </w:tc>
        <w:tc>
          <w:tcPr>
            <w:tcW w:w="124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8"/>
              </w:rPr>
              <w:t>43 - 73%</w:t>
            </w:r>
          </w:p>
        </w:tc>
        <w:tc>
          <w:tcPr>
            <w:tcW w:w="12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37 - 55%</w:t>
            </w:r>
          </w:p>
        </w:tc>
        <w:tc>
          <w:tcPr>
            <w:tcW w:w="12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36 - 41%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1040" w:type="dxa"/>
            <w:vAlign w:val="bottom"/>
            <w:gridSpan w:val="2"/>
          </w:tcPr>
          <w:p>
            <w:pPr>
              <w:jc w:val="right"/>
              <w:ind w:right="139"/>
              <w:spacing w:after="0"/>
              <w:rPr>
                <w:sz w:val="20"/>
                <w:szCs w:val="20"/>
                <w:color w:val="auto"/>
              </w:rPr>
            </w:pPr>
            <w:r>
              <w:rPr>
                <w:rFonts w:ascii="Arial" w:cs="Arial" w:eastAsia="Arial" w:hAnsi="Arial"/>
                <w:sz w:val="18"/>
                <w:szCs w:val="18"/>
                <w:color w:val="auto"/>
              </w:rPr>
              <w:t>2.6 - 4.4</w:t>
            </w:r>
          </w:p>
        </w:tc>
        <w:tc>
          <w:tcPr>
            <w:tcW w:w="1260" w:type="dxa"/>
            <w:vAlign w:val="bottom"/>
            <w:gridSpan w:val="3"/>
          </w:tcPr>
          <w:p>
            <w:pPr>
              <w:jc w:val="right"/>
              <w:ind w:right="152"/>
              <w:spacing w:after="0"/>
              <w:rPr>
                <w:sz w:val="20"/>
                <w:szCs w:val="20"/>
                <w:color w:val="auto"/>
              </w:rPr>
            </w:pPr>
            <w:r>
              <w:rPr>
                <w:rFonts w:ascii="Arial" w:cs="Arial" w:eastAsia="Arial" w:hAnsi="Arial"/>
                <w:sz w:val="18"/>
                <w:szCs w:val="18"/>
                <w:color w:val="auto"/>
              </w:rPr>
              <w:t>0.5 - 2.0</w:t>
            </w:r>
          </w:p>
        </w:tc>
        <w:tc>
          <w:tcPr>
            <w:tcW w:w="12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2.7 - 4.0</w:t>
            </w:r>
          </w:p>
        </w:tc>
        <w:tc>
          <w:tcPr>
            <w:tcW w:w="124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0.5 - 2.0</w:t>
            </w:r>
          </w:p>
        </w:tc>
        <w:tc>
          <w:tcPr>
            <w:tcW w:w="126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2.6 - 4.0</w:t>
            </w:r>
          </w:p>
        </w:tc>
        <w:tc>
          <w:tcPr>
            <w:tcW w:w="126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0.5 - 2.0</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w w:val="92"/>
              </w:rPr>
              <w:t>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2"/>
              </w:rPr>
              <w:t>0%</w:t>
            </w:r>
          </w:p>
        </w:tc>
        <w:tc>
          <w:tcPr>
            <w:tcW w:w="12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4"/>
              </w:rPr>
              <w:t>0%</w:t>
            </w:r>
          </w:p>
        </w:tc>
        <w:tc>
          <w:tcPr>
            <w:tcW w:w="12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0%</w:t>
            </w:r>
          </w:p>
        </w:tc>
        <w:tc>
          <w:tcPr>
            <w:tcW w:w="12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2"/>
              </w:rPr>
              <w:t>0%</w:t>
            </w:r>
          </w:p>
        </w:tc>
        <w:tc>
          <w:tcPr>
            <w:tcW w:w="12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2"/>
              </w:rPr>
              <w:t>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380" w:type="dxa"/>
            <w:vAlign w:val="bottom"/>
          </w:tcPr>
          <w:p>
            <w:pPr>
              <w:jc w:val="right"/>
              <w:spacing w:after="0"/>
              <w:rPr>
                <w:sz w:val="20"/>
                <w:szCs w:val="20"/>
                <w:color w:val="auto"/>
              </w:rPr>
            </w:pPr>
            <w:r>
              <w:rPr>
                <w:rFonts w:ascii="Arial" w:cs="Arial" w:eastAsia="Arial" w:hAnsi="Arial"/>
                <w:sz w:val="18"/>
                <w:szCs w:val="18"/>
                <w:color w:val="auto"/>
              </w:rPr>
              <w:t>0.84</w:t>
            </w:r>
          </w:p>
        </w:tc>
        <w:tc>
          <w:tcPr>
            <w:tcW w:w="660" w:type="dxa"/>
            <w:vAlign w:val="bottom"/>
          </w:tcPr>
          <w:p>
            <w:pPr>
              <w:ind w:left="40"/>
              <w:spacing w:after="0"/>
              <w:rPr>
                <w:sz w:val="20"/>
                <w:szCs w:val="20"/>
                <w:color w:val="auto"/>
              </w:rPr>
            </w:pPr>
            <w:r>
              <w:rPr>
                <w:rFonts w:ascii="Arial" w:cs="Arial" w:eastAsia="Arial" w:hAnsi="Arial"/>
                <w:sz w:val="18"/>
                <w:szCs w:val="18"/>
                <w:color w:val="auto"/>
                <w:w w:val="96"/>
              </w:rPr>
              <w:t>- 1.85%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660" w:type="dxa"/>
            <w:vAlign w:val="bottom"/>
          </w:tcPr>
          <w:p>
            <w:pPr>
              <w:ind w:left="40"/>
              <w:spacing w:after="0"/>
              <w:rPr>
                <w:sz w:val="20"/>
                <w:szCs w:val="20"/>
                <w:color w:val="auto"/>
              </w:rPr>
            </w:pPr>
            <w:r>
              <w:rPr>
                <w:rFonts w:ascii="Arial" w:cs="Arial" w:eastAsia="Arial" w:hAnsi="Arial"/>
                <w:sz w:val="18"/>
                <w:szCs w:val="18"/>
                <w:color w:val="auto"/>
                <w:w w:val="96"/>
              </w:rPr>
              <w:t>- 1.05%</w:t>
            </w:r>
          </w:p>
        </w:tc>
        <w:tc>
          <w:tcPr>
            <w:tcW w:w="126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1.02 - 2.42%</w:t>
            </w:r>
          </w:p>
        </w:tc>
        <w:tc>
          <w:tcPr>
            <w:tcW w:w="124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0.20 - 0.98%</w:t>
            </w:r>
          </w:p>
        </w:tc>
        <w:tc>
          <w:tcPr>
            <w:tcW w:w="126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1.01 - 3.40%</w:t>
            </w:r>
          </w:p>
        </w:tc>
        <w:tc>
          <w:tcPr>
            <w:tcW w:w="126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1.29 - 1.85%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- 13.5%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- 13.5%</w:t>
            </w:r>
          </w:p>
        </w:tc>
        <w:tc>
          <w:tcPr>
            <w:tcW w:w="12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0"/>
              </w:rPr>
              <w:t>13.5%</w:t>
            </w:r>
          </w:p>
        </w:tc>
        <w:tc>
          <w:tcPr>
            <w:tcW w:w="12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13.5%</w:t>
            </w:r>
          </w:p>
        </w:tc>
        <w:tc>
          <w:tcPr>
            <w:tcW w:w="12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0"/>
              </w:rPr>
              <w:t>13.6%</w:t>
            </w:r>
          </w:p>
        </w:tc>
        <w:tc>
          <w:tcPr>
            <w:tcW w:w="12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6"/>
              </w:rPr>
              <w:t>13.6%</w:t>
            </w: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Autodesk did not pay cash dividends in fiscal 2011, 2010 or 2009 and does not anticipate paying any cash dividends in the foreseeable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Consequently, an expected dividend yield of zero is used in the Black-Scholes-Merton option pricing model.</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risk-free interest rate used in the Black-Scholes-Merton option pricing model for stock-based awards is the historical yield on U.S. Treasury securities with equivalent remaining lives.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Expenses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Advertising costs are expensed as incurred. Total advertising expenses incurred were $18.8 million in fiscal 2011, $18.4 million in fiscal 2010 and $16.4 million in fiscal 2009.</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Per Share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Basic net income per share is computed based on the weighted average number of shares of common stock outstanding for the period, including restricted stock awards and excluding stock options and restricted stock units. Diluted net income per share is computed based upon the weighted average shares of common shares outstanding for the period and potentially dilutive common shares, including the effect of stock options and restricted stock units under the treasury stock method.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Standards Adopted in Fiscal 2011</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With the exception of those discussed below, there have been no recent accounting pronouncements or changes in accounting pronouncements during the fiscal year ended January 31, 2011 that are of significance or potential significance to the Company.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December 2010, the Financial Accounting Standards Board (“FASB”) issued Accounting Standard Update (“ASU”) 2010-29 regarding Accounting Standards Codification (“ASC”) Topic 805 “Business Combinations.” This ASU updates accounting guidance to clarify that pro forma disclosures should be presented as if a business combination occurred at the beginning of the prior annual period for purposes of preparing both the current reporting period and the prior reporting period pro forma financial information. These disclosures should be accompanied by a narrative description about the nature and amount of material, nonrecurring pro forma adjustments. The new accounting guidance is effective for business combinations consummated in periods beginning after December 15, 2010, and should be applied prospectively as of the date of adoption. Early adoption is permitted. Autodesk will adopt the new disclosures under ASU 2010-29 effective February 1, 2011. Autodesk believes that the adoption of this guidance will not have a material impact on its consolidated statements of financial position, results of operations or cash flows. The impact of ASU 2010-29 on Autodesk’s disclosures will be dependent on the size of the business combinations that it consummates subsequent to the adoption of the standard.</w:t>
      </w:r>
    </w:p>
    <w:p>
      <w:pPr>
        <w:spacing w:after="0" w:line="12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December 2010, the FASB issued ASU 2010-28 regarding ASC Topic 350 “Intangibles – Goodwill and Other.” This ASU updates accounting guidance related to the calculation of the carrying amount of a reporting unit when performing the first step of a goodwill impairment test. More specifically, this update will require an entity to use an equity premise when performing the first step of a goodwill impairment test and if a reporting unit has a zero or negative carrying amount, the entity must assess and consider qualitative factors and whether it is more likely than not that a goodwill impairment exists. The new accounting guidance is effective for public entities, for impairment tests performed during entities’ fiscal years (and interim periods within those years) that begin after December 15, 2010. Autodesk will adopt the changes under ASU 2010-28 effective February 1, 2011. Autodesk believes that the adoption of this guidance will not have a material impact on its consolidated statements of financial position, results of operations or cash flows.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January 2010, the FASB issued ASU 2010-06 regarding ASC Topic 820 “Fair Value Measurements and Disclosures.” This ASU requires additional disclosure regarding significant transfers in and out of Levels 1 and 2 fair value measurements and the reasons for the transfers. In addition, this ASU requires the Company to present separately information about purchases, sales, issuances, and settlements (on a gross basis rather than as one net number) in the reconciliation for fair value measurements using significant unobservable inputs (Level 3). ASU 2010-06 clarifies existing disclosures regarding fair value measurement for each class of assets and liabilities and the valuation techniques and inputs used to measure fair value for recurring and nonrecurring fair value measurements that fall in either Level 2 or Level 3. This update also includes conforming amendments to the guidance on employers’ disclosures about postretirement benefit plan asset (Subtopic 715-20). The changes</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under ASU 2010-06 were effective for Autodesk’s fiscal year beginning February 1, 2010, except for the disclosures about purchases, sales, issuances and settlements in the roll forward of activity in Level 3 fair value measurements, which are effective for Autodesk’s fiscal year beginning February 1, 2011. The adoption of the portion of this ASU that was effective as of February 1, 2010 did not have a material impact on Autodesk’s consolidated statements of financial position, results of operations or cash flows. Autodesk believes that the adoption of the remaining portion of the ASU that is effective for Autodesk’s fiscal year beginning February 1, 2011 will not have a material impact on its consolidated statements of financial position, results of operations or cash flows.</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October 2009, the FASB issued ASU 2009-13 regarding ASC Subtopic 605-25 “Revenue Recognition—Multiple-element Arrangements.” This ASU addresses criteria for separating the consideration in multiple-element arrangements. ASU 2009-13 will require companies to allocate the overall consideration to each deliverable by using a best estimate of the selling price of individual deliverables in the arrangement in the absence of vendor-specific objective evidence or other third-party evidence of the selling price. In October 2009, the FASB also issued ASU 2009-14 regarding ASC Topic 985 “Software: Certain Revenue Arrangements That Include Software Elements.” This ASU modifies the scope of ASC Subtopic 985-605, “Software Revenue Recognition,” to exclude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 The changes under ASU 2009-13 and 2009-14 will be effective prospectively for revenue arrangements entered into or materially modified in fiscal years beginning on or after June 15, 2010. Autodesk will adopt the changes under ASU 2009-13 and 2009-14 effective February 1, 2011. Autodesk believes that the adoption of ASU 2009-13 and 2009-14 will not have a material impact on its consolidated statements of financial position, results of operations or cash flows.</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Financial Instruments and Hedging Activities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Instruments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Market values were determined for each individual security in the investment portfolio. The cost and fair value of Autodesk’s financial instruments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January 31, 2011</w:t>
            </w:r>
          </w:p>
        </w:tc>
        <w:tc>
          <w:tcPr>
            <w:tcW w:w="200" w:type="dxa"/>
            <w:vAlign w:val="bottom"/>
          </w:tcPr>
          <w:p>
            <w:pPr>
              <w:spacing w:after="0"/>
              <w:rPr>
                <w:sz w:val="14"/>
                <w:szCs w:val="14"/>
                <w:color w:val="auto"/>
              </w:rPr>
            </w:pPr>
          </w:p>
        </w:tc>
        <w:tc>
          <w:tcPr>
            <w:tcW w:w="1640" w:type="dxa"/>
            <w:vAlign w:val="bottom"/>
            <w:gridSpan w:val="4"/>
          </w:tcPr>
          <w:p>
            <w:pPr>
              <w:ind w:left="280"/>
              <w:spacing w:after="0"/>
              <w:rPr>
                <w:sz w:val="20"/>
                <w:szCs w:val="20"/>
                <w:color w:val="auto"/>
              </w:rPr>
            </w:pPr>
            <w:r>
              <w:rPr>
                <w:rFonts w:ascii="Arial" w:cs="Arial" w:eastAsia="Arial" w:hAnsi="Arial"/>
                <w:sz w:val="14"/>
                <w:szCs w:val="14"/>
                <w:b w:val="1"/>
                <w:bCs w:val="1"/>
                <w:color w:val="auto"/>
              </w:rPr>
              <w:t>January 31, 2010</w:t>
            </w:r>
          </w:p>
        </w:tc>
      </w:tr>
      <w:tr>
        <w:trPr>
          <w:trHeight w:val="129"/>
        </w:trPr>
        <w:tc>
          <w:tcPr>
            <w:tcW w:w="55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Amortized</w:t>
            </w:r>
          </w:p>
        </w:tc>
        <w:tc>
          <w:tcPr>
            <w:tcW w:w="4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Amortized</w:t>
            </w:r>
          </w:p>
        </w:tc>
        <w:tc>
          <w:tcPr>
            <w:tcW w:w="4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61"/>
        </w:trPr>
        <w:tc>
          <w:tcPr>
            <w:tcW w:w="5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4"/>
                <w:szCs w:val="1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838.7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Marketable securities—short-term</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197.5</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199.2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164.8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securities—long-term</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8"/>
                <w:szCs w:val="18"/>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Foreign currency forward and option contracts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3.9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 Foreign currency forward and options contracts are included in “Prepaid expenses and other current assets” in the Consolidated Balance Sheets.</w:t>
      </w:r>
    </w:p>
    <w:p>
      <w:pPr>
        <w:spacing w:after="0" w:line="143"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Autodesk has marketable securities that are classified as either “available-for-sale” or “trading securities.” At January 31, 2011 and January 31, 2010, Autodesk’s short-term investment portfolio included $31.3 million and $26.3 million, respectively, of “trading securities” invested in a defined set of mutual funds directed by the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participants in the Company’s Deferred Compensation Plan. At January 31, 2011, these securities had net unrealized gains of $1.6 million and a cost basis of $29.7 million. At January 31, 2010, these securities had net unrealized losses of $3.1 million and a cost basis of $29.4 million (see Note 6, “Deferred Compensation”).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Marketable securities classified as “available-for-sale securities” include the following securities at January 31, 2011 and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January 31, 2011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34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1"/>
              </w:rPr>
              <w:t>gains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47.6</w:t>
            </w:r>
          </w:p>
        </w:tc>
        <w:tc>
          <w:tcPr>
            <w:tcW w:w="340" w:type="dxa"/>
            <w:vAlign w:val="bottom"/>
          </w:tcPr>
          <w:p>
            <w:pPr>
              <w:spacing w:after="0"/>
              <w:rPr>
                <w:sz w:val="18"/>
                <w:szCs w:val="18"/>
                <w:color w:val="auto"/>
              </w:rPr>
            </w:pPr>
          </w:p>
        </w:tc>
        <w:tc>
          <w:tcPr>
            <w:tcW w:w="460" w:type="dxa"/>
            <w:vAlign w:val="bottom"/>
            <w:gridSpan w:val="3"/>
          </w:tcPr>
          <w:p>
            <w:pPr>
              <w:ind w:left="340"/>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60"/>
              <w:spacing w:after="0"/>
              <w:rPr>
                <w:sz w:val="20"/>
                <w:szCs w:val="20"/>
                <w:color w:val="auto"/>
              </w:rPr>
            </w:pPr>
            <w:r>
              <w:rPr>
                <w:rFonts w:ascii="Arial" w:cs="Arial" w:eastAsia="Arial" w:hAnsi="Arial"/>
                <w:sz w:val="18"/>
                <w:szCs w:val="18"/>
                <w:color w:val="auto"/>
                <w:w w:val="79"/>
              </w:rPr>
              <w:t>0.1</w:t>
            </w:r>
          </w:p>
        </w:tc>
        <w:tc>
          <w:tcPr>
            <w:tcW w:w="320" w:type="dxa"/>
            <w:vAlign w:val="bottom"/>
          </w:tcPr>
          <w:p>
            <w:pPr>
              <w:spacing w:after="0"/>
              <w:rPr>
                <w:sz w:val="18"/>
                <w:szCs w:val="18"/>
                <w:color w:val="auto"/>
              </w:rPr>
            </w:pPr>
          </w:p>
        </w:tc>
        <w:tc>
          <w:tcPr>
            <w:tcW w:w="460" w:type="dxa"/>
            <w:vAlign w:val="bottom"/>
            <w:gridSpan w:val="3"/>
          </w:tcPr>
          <w:p>
            <w:pPr>
              <w:ind w:left="3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Sovereign debt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0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79"/>
              </w:rPr>
              <w:t>0.1</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Long-term available-for-sale securities: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0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79"/>
              </w:rPr>
              <w:t>1.5</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w w:val="79"/>
              </w:rPr>
              <w:t>0.2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Taxable auction-rate securities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79"/>
              </w:rPr>
              <w:t>0.1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440"/>
              <w:spacing w:after="0"/>
              <w:rPr>
                <w:sz w:val="20"/>
                <w:szCs w:val="20"/>
                <w:color w:val="auto"/>
              </w:rPr>
            </w:pPr>
            <w:r>
              <w:rPr>
                <w:rFonts w:ascii="Arial" w:cs="Arial" w:eastAsia="Arial" w:hAnsi="Arial"/>
                <w:sz w:val="18"/>
                <w:szCs w:val="18"/>
                <w:color w:val="auto"/>
              </w:rPr>
              <w:t>Sovereign debt</w:t>
            </w: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79"/>
              </w:rPr>
              <w:t>0.1</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0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79"/>
              </w:rPr>
              <w:t>1.9</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January 31, 2010</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Amortized</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Cost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gains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88.8</w:t>
            </w:r>
          </w:p>
        </w:tc>
        <w:tc>
          <w:tcPr>
            <w:tcW w:w="460" w:type="dxa"/>
            <w:vAlign w:val="bottom"/>
            <w:gridSpan w:val="3"/>
          </w:tcPr>
          <w:p>
            <w:pPr>
              <w:ind w:left="3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0.2</w:t>
            </w:r>
          </w:p>
        </w:tc>
        <w:tc>
          <w:tcPr>
            <w:tcW w:w="460" w:type="dxa"/>
            <w:vAlign w:val="bottom"/>
            <w:gridSpan w:val="3"/>
          </w:tcPr>
          <w:p>
            <w:pPr>
              <w:ind w:left="3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135.4</w:t>
            </w:r>
          </w:p>
        </w:tc>
        <w:tc>
          <w:tcPr>
            <w:tcW w:w="460" w:type="dxa"/>
            <w:vAlign w:val="bottom"/>
            <w:gridSpan w:val="3"/>
          </w:tcPr>
          <w:p>
            <w:pPr>
              <w:ind w:left="3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0.2</w:t>
            </w:r>
          </w:p>
        </w:tc>
        <w:tc>
          <w:tcPr>
            <w:tcW w:w="460" w:type="dxa"/>
            <w:vAlign w:val="bottom"/>
            <w:gridSpan w:val="3"/>
          </w:tcPr>
          <w:p>
            <w:pPr>
              <w:ind w:left="3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Long-term available-for-sale securities: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94.9</w:t>
            </w:r>
          </w:p>
        </w:tc>
        <w:tc>
          <w:tcPr>
            <w:tcW w:w="460" w:type="dxa"/>
            <w:vAlign w:val="bottom"/>
            <w:gridSpan w:val="3"/>
          </w:tcPr>
          <w:p>
            <w:pPr>
              <w:ind w:left="3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1.0</w:t>
            </w:r>
          </w:p>
        </w:tc>
        <w:tc>
          <w:tcPr>
            <w:tcW w:w="460" w:type="dxa"/>
            <w:vAlign w:val="bottom"/>
            <w:gridSpan w:val="3"/>
          </w:tcPr>
          <w:p>
            <w:pPr>
              <w:ind w:left="3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Taxable auction-rate securities</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124.4</w:t>
            </w: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1.2</w:t>
            </w: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sales or redemptions of “available-for-sale securities” in fiscal 2011 resulted in a gain of $1.7 million. The sales or redemptions of “available-for-sale securities” for fiscal 2010 and 2009 resulted in no gains or losses. The cost of securities sold is based on the specific identification method. Proceeds from the sale and maturity of marketable securities were $410.7 million in fiscal 2011, $355.1 million in fiscal 2010 and $83.4 million in fiscal 2009.</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At January 31, 2010, Autodesk was invested in The Reserve International Liquidity Fund (the “International Fund”) with an estimated fair value of $10.0 million. In mid-September of 2008, the International Fund ceased redemptions after net asset values of the funds decreased below $1 per share. This occurred as a result of the International Fund revaluing their holdings of debt securities issued by Lehman Brothers Holdings, Inc. (“Lehman Brothers”), which filed for Chapter 11 bankruptcy on September 15, 2008, and the resulting unusually high redemption requests on the International Fund. A third party court supervisor was appointed to oversee the accounting and payment administration of the International Fund. On November 30, 2010 a judge entered an order accepting a Settlement Agreement directing the distribution of the remaining funds. On January 20, 2011, Autodesk received substantially all of its holdings from the International Fund.</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At January 31, 2011 and January 31, 2010, Autodesk owned auction rate securities with an estimated fair value of $4.2 million and $7.6 million respectively. During the fiscal year ended January 31, 2011, Autodesk redeemed one of its two auction rate securities with a fair value of $3.4 million. Autodesk’s remaining auction rate security is a variable rate debt instrument that has underlying securities with contractual maturities greater than ten years and interest rates that were structured to reset at auction every twenty-eight days. The security, which met Autodesk’s investment guidelines at the time the investment was made, has failed to settle in auction since August 2007 and has earned a premium interest rate since that time. While Autodesk expects to recover substantially all of its current holdings, net of reserves, in the auction rate security, it cannot predict when this will occur or the amount the Company will receive. Due to the lack of liquidity of this investment in an active market, it is included in non-current “Marketable securities” on the accompanying Consolidated Balance Sheets. The Company will continue to evaluate its accounting for this investment quarterly.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estimated fair value of our “available-for-sale securities” classified by the contractual maturity date of the security:</w:t>
      </w:r>
    </w:p>
    <w:p>
      <w:pPr>
        <w:spacing w:after="0" w:line="2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700" w:type="dxa"/>
            <w:vAlign w:val="bottom"/>
            <w:gridSpan w:val="5"/>
          </w:tcPr>
          <w:p>
            <w:pPr>
              <w:ind w:left="320"/>
              <w:spacing w:after="0"/>
              <w:rPr>
                <w:sz w:val="20"/>
                <w:szCs w:val="20"/>
                <w:color w:val="auto"/>
              </w:rPr>
            </w:pPr>
            <w:r>
              <w:rPr>
                <w:rFonts w:ascii="Arial" w:cs="Arial" w:eastAsia="Arial" w:hAnsi="Arial"/>
                <w:sz w:val="14"/>
                <w:szCs w:val="14"/>
                <w:b w:val="1"/>
                <w:bCs w:val="1"/>
                <w:color w:val="auto"/>
              </w:rPr>
              <w:t>January 31, 2011</w:t>
            </w:r>
          </w:p>
        </w:tc>
      </w:tr>
      <w:tr>
        <w:trPr>
          <w:trHeight w:val="142"/>
        </w:trPr>
        <w:tc>
          <w:tcPr>
            <w:tcW w:w="68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Cost</w:t>
            </w:r>
          </w:p>
        </w:tc>
        <w:tc>
          <w:tcPr>
            <w:tcW w:w="5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Fair Value</w:t>
            </w:r>
          </w:p>
        </w:tc>
        <w:tc>
          <w:tcPr>
            <w:tcW w:w="80" w:type="dxa"/>
            <w:vAlign w:val="bottom"/>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Due in 1 year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$167.8</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167.9</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Due in 1 year through 5 years</w:t>
            </w:r>
          </w:p>
        </w:tc>
        <w:tc>
          <w:tcPr>
            <w:tcW w:w="500" w:type="dxa"/>
            <w:vAlign w:val="bottom"/>
          </w:tcPr>
          <w:p>
            <w:pPr>
              <w:jc w:val="right"/>
              <w:spacing w:after="0"/>
              <w:rPr>
                <w:sz w:val="20"/>
                <w:szCs w:val="20"/>
                <w:color w:val="auto"/>
              </w:rPr>
            </w:pPr>
            <w:r>
              <w:rPr>
                <w:rFonts w:ascii="Arial" w:cs="Arial" w:eastAsia="Arial" w:hAnsi="Arial"/>
                <w:sz w:val="18"/>
                <w:szCs w:val="18"/>
                <w:color w:val="auto"/>
              </w:rPr>
              <w:t>186.6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188.4</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Due in 5 years through 10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Due after 10 years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358.6</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360.5</w:t>
            </w:r>
          </w:p>
        </w:tc>
        <w:tc>
          <w:tcPr>
            <w:tcW w:w="80" w:type="dxa"/>
            <w:vAlign w:val="bottom"/>
            <w:shd w:val="clear" w:color="auto" w:fill="CCEEFF"/>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January 31, 2011 and 2010, Autodesk did not have any securities in a continuous unrealized loss position for greater than twelve months.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and Canadian dollars. These instruments have maturities between one to twelve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months in the future. Autodesk does not enter into any transactions for derivative instruments for trading or speculative purposes.</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does not have any master netting arrangements in place with collateral features.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 Hedges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Autodesk utilizes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income (loss)” to “Interest and other income (expense), net” in the Company’s Consolidated Financial Statements at that time.</w:t>
      </w:r>
    </w:p>
    <w:p>
      <w:pPr>
        <w:spacing w:after="0" w:line="11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notional amount of these contracts was $345.5 million at January 31, 2011 and $239.1 million at January 31, 2010. Outstanding contracts are recognized as either assets or liabilities on the balance sheet at fair value. The entire net loss of $0.8 million remaining in “Accumulated Other Comprehensive Income (Loss)” as of January 31, 2011 is expected to be recognized into earnings within the next twelve months.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Balance Sheet Hedges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the cash flow hedges described above, Autodesk uses contracts which are not designated as hedging instruments to reduce the exchange rate risk associated primarily with foreign currency denominated receivables and payables. Forward contracts are marked-to-market at the end of each fiscal quarter with gains and losses recognized as “Interest and other income,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notional amounts of foreign currency contracts were $56.1 million at January 31, 2011 and $19.6 million at January 31, 2010.</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of derivative instruments in Autodesk’s Consolidated Balance Sheets were as follows as of January 31, 2011 and January 31, 2010:</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Assets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Foreign currency contracts designated as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flow hedges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29"/>
        </w:trPr>
        <w:tc>
          <w:tcPr>
            <w:tcW w:w="23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Balance Sheet Location</w:t>
            </w:r>
          </w:p>
        </w:tc>
        <w:tc>
          <w:tcPr>
            <w:tcW w:w="6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January 31,</w:t>
            </w:r>
          </w:p>
        </w:tc>
        <w:tc>
          <w:tcPr>
            <w:tcW w:w="7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61"/>
        </w:trPr>
        <w:tc>
          <w:tcPr>
            <w:tcW w:w="2300" w:type="dxa"/>
            <w:vAlign w:val="bottom"/>
            <w:tcBorders>
              <w:bottom w:val="single" w:sz="8" w:color="auto"/>
            </w:tcBorders>
            <w:vMerge w:val="continue"/>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72"/>
              <w:spacing w:after="0"/>
              <w:rPr>
                <w:sz w:val="20"/>
                <w:szCs w:val="20"/>
                <w:color w:val="auto"/>
              </w:rPr>
            </w:pPr>
            <w:r>
              <w:rPr>
                <w:rFonts w:ascii="Arial" w:cs="Arial" w:eastAsia="Arial" w:hAnsi="Arial"/>
                <w:sz w:val="18"/>
                <w:szCs w:val="18"/>
                <w:color w:val="auto"/>
              </w:rPr>
              <w:t>5.1</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242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20" w:lineRule="exact"/>
        <w:rPr>
          <w:sz w:val="20"/>
          <w:szCs w:val="20"/>
          <w:color w:val="auto"/>
        </w:rPr>
      </w:pPr>
    </w:p>
    <w:p>
      <w:pPr>
        <w:sectPr>
          <w:pgSz w:w="11900" w:h="16838" w:orient="portrait"/>
          <w:cols w:equalWidth="0" w:num="2">
            <w:col w:w="5640" w:space="720"/>
            <w:col w:w="50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Derivatives not designated as hedging instruments</w:t>
            </w:r>
          </w:p>
        </w:tc>
        <w:tc>
          <w:tcPr>
            <w:tcW w:w="3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860"/>
              <w:spacing w:after="0"/>
              <w:rPr>
                <w:sz w:val="20"/>
                <w:szCs w:val="20"/>
                <w:color w:val="auto"/>
              </w:rPr>
            </w:pPr>
            <w:r>
              <w:rPr>
                <w:rFonts w:ascii="Arial" w:cs="Arial" w:eastAsia="Arial" w:hAnsi="Arial"/>
                <w:sz w:val="18"/>
                <w:szCs w:val="18"/>
                <w:color w:val="auto"/>
              </w:rPr>
              <w:t>Total derivative assets</w:t>
            </w:r>
          </w:p>
        </w:tc>
        <w:tc>
          <w:tcPr>
            <w:tcW w:w="3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7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544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i w:val="1"/>
                <w:iCs w:val="1"/>
                <w:color w:val="auto"/>
              </w:rPr>
              <w:t>Derivative Liabilities</w:t>
            </w:r>
          </w:p>
        </w:tc>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contracts designated as cash flow hedges</w:t>
            </w:r>
          </w:p>
        </w:tc>
        <w:tc>
          <w:tcPr>
            <w:tcW w:w="38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Other accrued liabilities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Derivatives not designated as hedging instruments</w:t>
            </w:r>
          </w:p>
        </w:tc>
        <w:tc>
          <w:tcPr>
            <w:tcW w:w="3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derivative liabilities</w:t>
            </w:r>
          </w:p>
        </w:tc>
        <w:tc>
          <w:tcPr>
            <w:tcW w:w="38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effects of derivatives designated as hedging instruments on Autodesk’s Consolidated Statements of Operations were as follows for the fiscal years ended January 31, 2011 and 2010, respectively (amounts presented include any income tax effects):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Foreign Currency Contracts</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7"/>
              </w:rPr>
              <w:t>Fiscal Year Ended</w:t>
            </w: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0"/>
              </w:rPr>
              <w:t>January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2011</w:t>
            </w:r>
          </w:p>
        </w:tc>
        <w:tc>
          <w:tcPr>
            <w:tcW w:w="1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 Gain (Loss) Recognized in Accumulated OCI on Derivatives (Effective Portion)</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Amount and Location of Gain (Loss) Reclassified from Accumulated OCI into Income (Effective Portion)</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8480" w:type="dxa"/>
            <w:vAlign w:val="bottom"/>
            <w:gridSpan w:val="2"/>
          </w:tcPr>
          <w:p>
            <w:pPr>
              <w:ind w:left="4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1"/>
              </w:rPr>
              <w:t>Amount and Location of Gain (Loss) Recognized in Income on Derivatives (Ineffective Portion and Amount Excluded</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4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80" w:type="dxa"/>
            <w:vAlign w:val="bottom"/>
            <w:gridSpan w:val="2"/>
          </w:tcPr>
          <w:p>
            <w:pPr>
              <w:ind w:left="220"/>
              <w:spacing w:after="0"/>
              <w:rPr>
                <w:sz w:val="20"/>
                <w:szCs w:val="20"/>
                <w:color w:val="auto"/>
              </w:rPr>
            </w:pPr>
            <w:r>
              <w:rPr>
                <w:rFonts w:ascii="Arial" w:cs="Arial" w:eastAsia="Arial" w:hAnsi="Arial"/>
                <w:sz w:val="18"/>
                <w:szCs w:val="18"/>
                <w:i w:val="1"/>
                <w:iCs w:val="1"/>
                <w:color w:val="auto"/>
              </w:rPr>
              <w:t>from Effectiveness Testing)(1)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and other income (expense), net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$1.0 million net gain recognized for the fiscal year ended January 31, 2010 due to previously forecasted transactions that did not occur within the originally specified time period or the additional period of time allowed.</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72</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effects of derivatives not designated as hedging instruments on Autodesk’s Consolidated Statements of Operations were as follows for the fiscal years ended January 31, 2011 and 2010, respectively (amounts presented include any income tax effects):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Foreign Exchange</w:t>
            </w:r>
          </w:p>
        </w:tc>
      </w:tr>
      <w:tr>
        <w:trPr>
          <w:trHeight w:val="161"/>
        </w:trPr>
        <w:tc>
          <w:tcPr>
            <w:tcW w:w="7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Contracts</w:t>
            </w:r>
          </w:p>
        </w:tc>
      </w:tr>
      <w:tr>
        <w:trPr>
          <w:trHeight w:val="129"/>
        </w:trPr>
        <w:tc>
          <w:tcPr>
            <w:tcW w:w="73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7"/>
              </w:rPr>
              <w:t>Fiscal Year Ended</w:t>
            </w:r>
          </w:p>
        </w:tc>
        <w:tc>
          <w:tcPr>
            <w:tcW w:w="100" w:type="dxa"/>
            <w:vAlign w:val="bottom"/>
          </w:tcPr>
          <w:p>
            <w:pPr>
              <w:spacing w:after="0"/>
              <w:rPr>
                <w:sz w:val="11"/>
                <w:szCs w:val="11"/>
                <w:color w:val="auto"/>
              </w:rPr>
            </w:pPr>
          </w:p>
        </w:tc>
      </w:tr>
      <w:tr>
        <w:trPr>
          <w:trHeight w:val="161"/>
        </w:trPr>
        <w:tc>
          <w:tcPr>
            <w:tcW w:w="7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7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Amount and Location of Gain (Loss) Recognized in Income on Derivative</w:t>
            </w:r>
          </w:p>
        </w:tc>
        <w:tc>
          <w:tcPr>
            <w:tcW w:w="2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7380" w:type="dxa"/>
            <w:vAlign w:val="bottom"/>
          </w:tcPr>
          <w:p>
            <w:pPr>
              <w:ind w:left="440"/>
              <w:spacing w:after="0"/>
              <w:rPr>
                <w:sz w:val="20"/>
                <w:szCs w:val="20"/>
                <w:color w:val="auto"/>
              </w:rPr>
            </w:pPr>
            <w:r>
              <w:rPr>
                <w:rFonts w:ascii="Arial" w:cs="Arial" w:eastAsia="Arial" w:hAnsi="Arial"/>
                <w:sz w:val="18"/>
                <w:szCs w:val="18"/>
                <w:color w:val="auto"/>
              </w:rPr>
              <w:t>Interest and other income, net</w:t>
            </w:r>
          </w:p>
        </w:tc>
        <w:tc>
          <w:tcPr>
            <w:tcW w:w="254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Fair Value Measurements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a recurring basis, Autodesk measures the fair value of certain financial assets and liabilities, which consist of cash equivalents, marketable securities and foreign currency contracts. Autodesk uses a three-tier value hierarchy, which prioritizes the inputs used in measuring fair value as follows: (Level 1) observable inputs such as quoted prices in active markets; (Level 2) inputs other than the quoted prices in active markets that are observable either directly or indirectly in active markets;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A financial asset or liability’s classification within the hierarchy is determined based on the lowest level input that is significant to the fair value measurement. There have been no transfers between fair value measurement levels during the year ended January 31, 2011.</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January 31,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5"/>
              </w:rPr>
              <w:t>Fair Value Measurements at January 31, 2011 Using</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0"/>
              </w:rPr>
              <w:t>Quoted Prices</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 Active</w:t>
            </w:r>
          </w:p>
        </w:tc>
        <w:tc>
          <w:tcPr>
            <w:tcW w:w="6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Identical</w:t>
            </w:r>
          </w:p>
        </w:tc>
        <w:tc>
          <w:tcPr>
            <w:tcW w:w="6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6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Assets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Inputs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7"/>
              </w:rPr>
              <w:t>(Level 1)</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(Level 3)</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Cash equivalents(1):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ind w:left="88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331.0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Commercial paper and corporate securities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ind w:left="880"/>
              <w:spacing w:after="0"/>
              <w:rPr>
                <w:sz w:val="20"/>
                <w:szCs w:val="20"/>
                <w:color w:val="auto"/>
              </w:rPr>
            </w:pPr>
            <w:r>
              <w:rPr>
                <w:rFonts w:ascii="Arial" w:cs="Arial" w:eastAsia="Arial" w:hAnsi="Arial"/>
                <w:sz w:val="18"/>
                <w:szCs w:val="18"/>
                <w:color w:val="auto"/>
              </w:rPr>
              <w:t>U.S. government agency securities</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ind w:left="880"/>
              <w:spacing w:after="0"/>
              <w:rPr>
                <w:sz w:val="20"/>
                <w:szCs w:val="20"/>
                <w:color w:val="auto"/>
              </w:rPr>
            </w:pPr>
            <w:r>
              <w:rPr>
                <w:rFonts w:ascii="Arial" w:cs="Arial" w:eastAsia="Arial" w:hAnsi="Arial"/>
                <w:sz w:val="18"/>
                <w:szCs w:val="18"/>
                <w:color w:val="auto"/>
              </w:rPr>
              <w:t>Sovereign debt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Municipal securities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ind w:left="880"/>
              <w:spacing w:after="0"/>
              <w:rPr>
                <w:sz w:val="20"/>
                <w:szCs w:val="20"/>
                <w:color w:val="auto"/>
              </w:rPr>
            </w:pPr>
            <w:r>
              <w:rPr>
                <w:rFonts w:ascii="Arial" w:cs="Arial" w:eastAsia="Arial" w:hAnsi="Arial"/>
                <w:sz w:val="18"/>
                <w:szCs w:val="18"/>
                <w:color w:val="auto"/>
              </w:rPr>
              <w:t>Taxable auction-rate securities</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Foreign currency derivative contracts(2)</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458.4</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derivative contracts(3)</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4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“Cash and cash equivalents” in the accompanying Consolidated Balance Sheets.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“Prepaid expenses and other current assets” in the accompanying Consolidated Balance Sheets.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“Other accrued liabilities” in the accompanying Consolidated Balance Sheets.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January 31,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w w:val="98"/>
              </w:rPr>
              <w:t>Fair Value Measurements at January 31, 2010 Using</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6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in Active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6"/>
              </w:rPr>
              <w:t>Other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6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64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Identical Assets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34"/>
              <w:spacing w:after="0"/>
              <w:rPr>
                <w:sz w:val="20"/>
                <w:szCs w:val="20"/>
                <w:color w:val="auto"/>
              </w:rPr>
            </w:pPr>
            <w:r>
              <w:rPr>
                <w:rFonts w:ascii="Arial" w:cs="Arial" w:eastAsia="Arial" w:hAnsi="Arial"/>
                <w:sz w:val="14"/>
                <w:szCs w:val="14"/>
                <w:b w:val="1"/>
                <w:bCs w:val="1"/>
                <w:color w:val="auto"/>
                <w:w w:val="85"/>
              </w:rPr>
              <w:t>Inputs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7"/>
              </w:rPr>
              <w:t>(Level 1)</w:t>
            </w:r>
          </w:p>
        </w:tc>
        <w:tc>
          <w:tcPr>
            <w:tcW w:w="66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(Level 2)</w:t>
            </w:r>
          </w:p>
        </w:tc>
        <w:tc>
          <w:tcPr>
            <w:tcW w:w="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8"/>
              </w:rPr>
              <w:t>(Level 3)</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440"/>
              <w:spacing w:after="0"/>
              <w:rPr>
                <w:sz w:val="20"/>
                <w:szCs w:val="20"/>
                <w:color w:val="auto"/>
              </w:rPr>
            </w:pPr>
            <w:r>
              <w:rPr>
                <w:rFonts w:ascii="Arial" w:cs="Arial" w:eastAsia="Arial" w:hAnsi="Arial"/>
                <w:sz w:val="18"/>
                <w:szCs w:val="18"/>
                <w:color w:val="auto"/>
              </w:rPr>
              <w:t>Cash equivalents(1):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299.5</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Commercial paper and corporate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U.S. treasury securities and sovereign debt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derivative contracts(2)</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261.1</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635.6</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17.6</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ind w:left="440"/>
              <w:spacing w:after="0"/>
              <w:rPr>
                <w:sz w:val="20"/>
                <w:szCs w:val="20"/>
                <w:color w:val="auto"/>
              </w:rPr>
            </w:pPr>
            <w:r>
              <w:rPr>
                <w:rFonts w:ascii="Arial" w:cs="Arial" w:eastAsia="Arial" w:hAnsi="Arial"/>
                <w:sz w:val="18"/>
                <w:szCs w:val="18"/>
                <w:color w:val="auto"/>
              </w:rPr>
              <w:t>Foreign currency derivative contracts(3)</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Included in “Cash and cash equivalents” in the accompanying Consolidated Balance Sheets.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Included in “Prepaid expenses and other current assets” in the accompanying Consolidated Balance Sheets.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Included in “Other accrued liabilities” in the accompanying Consolidated Balance Sheets.</w:t>
      </w:r>
    </w:p>
    <w:p>
      <w:pPr>
        <w:spacing w:after="0" w:line="165"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Autodesk’s cash equivalents and marketable securities are primarily classified within Level 1 or Level 2 of the fair value hierarchy because they are valued primarily using quoted market prices, or alternative pricing sources and models utilizing market observable inputs with reasonable levels of price transparency. The Company’s investments held in the International Fund at January 31, 2010 and in auction rate securities at January 31, 2011 and 2010 are designated as Level</w:t>
      </w:r>
    </w:p>
    <w:p>
      <w:pPr>
        <w:spacing w:after="0" w:line="1" w:lineRule="exact"/>
        <w:rPr>
          <w:sz w:val="20"/>
          <w:szCs w:val="20"/>
          <w:color w:val="auto"/>
        </w:rPr>
      </w:pPr>
    </w:p>
    <w:p>
      <w:pPr>
        <w:ind w:firstLine="8"/>
        <w:spacing w:after="0" w:line="288" w:lineRule="auto"/>
        <w:tabs>
          <w:tab w:leader="none" w:pos="17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conducted its fair value assessment of the International Fund using Level 1 and Level 3 inputs. At January 31, 2010, management reviewed the International Fund’s underlying portfolio, which was substantially comprised of cash deposited into the U.S. District Court’s Registry at the Federal Reserve Bank of New York. Normally, the Company would have classified such investments within Level 1 of the fair value hierarchy. Management evaluated the fair value of its unit interest in the International Fund, considering risk of collection, timing and other factors. These assumptions are inherently subjective and involve significant management judgment. As a result, the Company classified its holdings in the International Fund within Level 3 of the fair value hierarchy. Autodesk’s investments in auction rate securities are classified within Level 3 because they are valued using a discounted cash flow model, and some of the inputs to this model are unobservable in the market.</w:t>
      </w:r>
    </w:p>
    <w:p>
      <w:pPr>
        <w:spacing w:after="0" w:line="105"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change in Autodesk’s Level 3 items for the fiscal years ended January 31, 2011 and 2010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6"/>
          </w:tcPr>
          <w:p>
            <w:pPr>
              <w:jc w:val="center"/>
              <w:ind w:left="397"/>
              <w:spacing w:after="0"/>
              <w:rPr>
                <w:sz w:val="20"/>
                <w:szCs w:val="20"/>
                <w:color w:val="auto"/>
              </w:rPr>
            </w:pPr>
            <w:r>
              <w:rPr>
                <w:rFonts w:ascii="Arial" w:cs="Arial" w:eastAsia="Arial" w:hAnsi="Arial"/>
                <w:sz w:val="14"/>
                <w:szCs w:val="14"/>
                <w:b w:val="1"/>
                <w:bCs w:val="1"/>
                <w:color w:val="auto"/>
                <w:w w:val="86"/>
              </w:rPr>
              <w:t>Fair Value Measurements Using</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center"/>
              <w:ind w:left="377"/>
              <w:spacing w:after="0"/>
              <w:rPr>
                <w:sz w:val="20"/>
                <w:szCs w:val="20"/>
                <w:color w:val="auto"/>
              </w:rPr>
            </w:pPr>
            <w:r>
              <w:rPr>
                <w:rFonts w:ascii="Arial" w:cs="Arial" w:eastAsia="Arial" w:hAnsi="Arial"/>
                <w:sz w:val="14"/>
                <w:szCs w:val="14"/>
                <w:b w:val="1"/>
                <w:bCs w:val="1"/>
                <w:color w:val="auto"/>
                <w:w w:val="86"/>
              </w:rPr>
              <w:t>Significant Unobservable Inputs</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center"/>
              <w:ind w:right="580"/>
              <w:spacing w:after="0" w:line="142" w:lineRule="exact"/>
              <w:rPr>
                <w:sz w:val="20"/>
                <w:szCs w:val="20"/>
                <w:color w:val="auto"/>
              </w:rPr>
            </w:pPr>
            <w:r>
              <w:rPr>
                <w:rFonts w:ascii="Arial" w:cs="Arial" w:eastAsia="Arial" w:hAnsi="Arial"/>
                <w:sz w:val="14"/>
                <w:szCs w:val="14"/>
                <w:b w:val="1"/>
                <w:bCs w:val="1"/>
                <w:color w:val="auto"/>
                <w:w w:val="87"/>
              </w:rPr>
              <w:t>(Level 3)</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4"/>
              </w:rPr>
              <w:t>Taxable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Auction-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Money Market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Rate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Funds</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31,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Transfers into (out of) Level 3</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Redemptions(1)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Total realized/unrealized gains (losses) included in earnings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31, 2010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Transfers into (out of) Level 3</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Redemptions(1)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Total realized/unrealized gains (losses) included in earnings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31, 2011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redemptions of $10.0 million and $23.3 million for fiscal years ended January 31, 2011 and 2010, respectively, are from the International Fund.</w:t>
      </w:r>
    </w:p>
    <w:p>
      <w:pPr>
        <w:spacing w:after="0" w:line="2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Employee and Director Stock Plans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Plans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January 31, 2011, Autodesk maintained two active stock option plans for the purpose of granting equity awards to employees and to non-employee members of Autodesk’s Board of Directors: the 2008 Employee Stock Plan, as amended and restated (“2008 Plan”), which is available only to employees, and the 2010 Outside Directors’ Option Plan, as amended (“2010 Plan”), which is available only to non-employee directors. Additionally, there are seven expired or terminated plans with options outstanding. The exercise price of all stock options granted under these plans was equal to the fair market value of the stock on the grant date.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2008 Plan was originally approved by Autodesk’s stockholders in November 2007. On June 10, 2010, Autodesk’s stockholders approved amendments to the 2008 Plan, which increased the number of shares reserved for issuance under the plan by 15.5 million shares in addition to 0.5 million shares that remained available for issuance under the plan prior to the amendment, and extended the term of the plan to June 2013. The 2008 Plan permits the grant of stock options, restricted stock units and restricted stock awards; however, no more than 2.5 million of the shares reserved for issuance under the 2008 Plan may be issued pursuant to awards of restricted stock units. Options and restricted stock units granted under the 2008 Plan vest over periods ranging from immediately upon grant to over a four year period and options expire within four to ten years from the date of grant. At January 31, 2011, 15.1 million shares were available for future issuance under the 2008 Plan.</w:t>
      </w:r>
    </w:p>
    <w:p>
      <w:pPr>
        <w:spacing w:after="0" w:line="11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2010 Plan, which was approved by the stockholders in June 2009 and replaced the 2000 Directors’ Option Plan (“2000 Plan”), became effective March 16, 2010. The 2010 Plan permits the grant of stock options and restricted stock awards to non-employee members of Autodesk’s Board of Directors. Options and awards granted under the 2010 Plan vest over periods ranging from one year to over a four year period and options expire within seven years from the date of grant. The 2010 Plan reserved 2.5 million shares of Autodesk common stock, plus 0.5 million shares that remained available for issuance under the 2000 Plan. At January 31, 2011, 2.8 million shares were available for future issuance. The 2010 Plan will expire in March 2020.</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fiscal year ended January 31, 2011 is as follows:</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w w:val="92"/>
              </w:rPr>
              <w:t>exercise 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Shares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31, 2010</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Granted</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202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31, 2011</w:t>
            </w:r>
          </w:p>
        </w:tc>
        <w:tc>
          <w:tcPr>
            <w:tcW w:w="20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January 31, 2011</w:t>
            </w:r>
          </w:p>
        </w:tc>
        <w:tc>
          <w:tcPr>
            <w:tcW w:w="2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vMerge w:val="restart"/>
          </w:tcPr>
          <w:p>
            <w:pPr>
              <w:ind w:left="360"/>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31.26</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gridSpan w:val="2"/>
            <w:vMerge w:val="continue"/>
          </w:tcPr>
          <w:p>
            <w:pPr>
              <w:spacing w:after="0"/>
              <w:rPr>
                <w:sz w:val="18"/>
                <w:szCs w:val="18"/>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4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 at January 31, 2011</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January 31, 2011, total compensation cost of $59.2 million related to non-vested options is expected to be recognized over a weighted average period of 1.9 years. The following table summarizes information about the pre-tax intrinsic value of options exercised, and the weighted average grant date fair value per share of options granted, during the fiscal years ended January 31, 2011, 2010 and 2009. The intrinsic value of options exercised is calculated as the difference between the exercise price of the option and the market value of the stock on the date of exercise. The weighted average grant date fair value of stock options granted is calculated, as of the stock option grant date, using the Black-Scholes-Merton option pricing model.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85"/>
              </w:rPr>
              <w:t>Fiscal year ended</w:t>
            </w:r>
          </w:p>
        </w:tc>
      </w:tr>
      <w:tr>
        <w:trPr>
          <w:trHeight w:val="161"/>
        </w:trPr>
        <w:tc>
          <w:tcPr>
            <w:tcW w:w="1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1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440" w:type="dxa"/>
            <w:vAlign w:val="bottom"/>
            <w:tcBorders>
              <w:top w:val="single" w:sz="8" w:color="auto"/>
            </w:tcBorders>
            <w:gridSpan w:val="2"/>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Pre-tax intrinsic value of options exercised</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center"/>
              <w:ind w:left="952"/>
              <w:spacing w:after="0"/>
              <w:rPr>
                <w:sz w:val="20"/>
                <w:szCs w:val="20"/>
                <w:color w:val="auto"/>
              </w:rPr>
            </w:pPr>
            <w:r>
              <w:rPr>
                <w:rFonts w:ascii="Arial" w:cs="Arial" w:eastAsia="Arial" w:hAnsi="Arial"/>
                <w:sz w:val="18"/>
                <w:szCs w:val="18"/>
                <w:color w:val="auto"/>
                <w:w w:val="93"/>
              </w:rPr>
              <w:t>$61.9</w:t>
            </w:r>
          </w:p>
        </w:tc>
        <w:tc>
          <w:tcPr>
            <w:tcW w:w="820" w:type="dxa"/>
            <w:vAlign w:val="bottom"/>
            <w:gridSpan w:val="3"/>
            <w:shd w:val="clear" w:color="auto" w:fill="CCEEFF"/>
          </w:tcPr>
          <w:p>
            <w:pPr>
              <w:jc w:val="center"/>
              <w:ind w:left="341"/>
              <w:spacing w:after="0"/>
              <w:rPr>
                <w:sz w:val="20"/>
                <w:szCs w:val="20"/>
                <w:color w:val="auto"/>
              </w:rPr>
            </w:pPr>
            <w:r>
              <w:rPr>
                <w:rFonts w:ascii="Arial" w:cs="Arial" w:eastAsia="Arial" w:hAnsi="Arial"/>
                <w:sz w:val="18"/>
                <w:szCs w:val="18"/>
                <w:color w:val="auto"/>
                <w:w w:val="88"/>
              </w:rPr>
              <w:t>$18.8</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r>
      <w:tr>
        <w:trPr>
          <w:trHeight w:val="222"/>
        </w:trPr>
        <w:tc>
          <w:tcPr>
            <w:tcW w:w="5280" w:type="dxa"/>
            <w:vAlign w:val="bottom"/>
            <w:gridSpan w:val="6"/>
          </w:tcPr>
          <w:p>
            <w:pPr>
              <w:spacing w:after="0"/>
              <w:rPr>
                <w:sz w:val="20"/>
                <w:szCs w:val="20"/>
                <w:color w:val="auto"/>
              </w:rPr>
            </w:pPr>
            <w:r>
              <w:rPr>
                <w:rFonts w:ascii="Arial" w:cs="Arial" w:eastAsia="Arial" w:hAnsi="Arial"/>
                <w:sz w:val="18"/>
                <w:szCs w:val="18"/>
                <w:color w:val="auto"/>
                <w:w w:val="89"/>
              </w:rPr>
              <w:t>Weighted average grant date fair value per share of stock options granted</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gridSpan w:val="4"/>
          </w:tcPr>
          <w:p>
            <w:pPr>
              <w:jc w:val="center"/>
              <w:ind w:left="952"/>
              <w:spacing w:after="0"/>
              <w:rPr>
                <w:sz w:val="20"/>
                <w:szCs w:val="20"/>
                <w:color w:val="auto"/>
              </w:rPr>
            </w:pPr>
            <w:r>
              <w:rPr>
                <w:rFonts w:ascii="Arial" w:cs="Arial" w:eastAsia="Arial" w:hAnsi="Arial"/>
                <w:sz w:val="18"/>
                <w:szCs w:val="18"/>
                <w:color w:val="auto"/>
                <w:w w:val="93"/>
              </w:rPr>
              <w:t>$9.30</w:t>
            </w:r>
          </w:p>
        </w:tc>
        <w:tc>
          <w:tcPr>
            <w:tcW w:w="820" w:type="dxa"/>
            <w:vAlign w:val="bottom"/>
            <w:gridSpan w:val="3"/>
          </w:tcPr>
          <w:p>
            <w:pPr>
              <w:jc w:val="center"/>
              <w:ind w:left="341"/>
              <w:spacing w:after="0"/>
              <w:rPr>
                <w:sz w:val="20"/>
                <w:szCs w:val="20"/>
                <w:color w:val="auto"/>
              </w:rPr>
            </w:pPr>
            <w:r>
              <w:rPr>
                <w:rFonts w:ascii="Arial" w:cs="Arial" w:eastAsia="Arial" w:hAnsi="Arial"/>
                <w:sz w:val="18"/>
                <w:szCs w:val="18"/>
                <w:color w:val="auto"/>
                <w:w w:val="88"/>
              </w:rPr>
              <w:t>$6.13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r>
      <w:tr>
        <w:trPr>
          <w:trHeight w:val="370"/>
        </w:trPr>
        <w:tc>
          <w:tcPr>
            <w:tcW w:w="8200" w:type="dxa"/>
            <w:vAlign w:val="bottom"/>
            <w:gridSpan w:val="12"/>
          </w:tcPr>
          <w:p>
            <w:pPr>
              <w:ind w:left="460"/>
              <w:spacing w:after="0"/>
              <w:rPr>
                <w:sz w:val="20"/>
                <w:szCs w:val="20"/>
                <w:color w:val="auto"/>
              </w:rPr>
            </w:pPr>
            <w:r>
              <w:rPr>
                <w:rFonts w:ascii="Arial" w:cs="Arial" w:eastAsia="Arial" w:hAnsi="Arial"/>
                <w:sz w:val="18"/>
                <w:szCs w:val="18"/>
                <w:color w:val="auto"/>
                <w:w w:val="90"/>
              </w:rPr>
              <w:t>The following table summarizes information about options outstanding and exercisable at January 31, 2011:</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1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Options Exercisable</w:t>
            </w:r>
          </w:p>
        </w:tc>
        <w:tc>
          <w:tcPr>
            <w:tcW w:w="7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11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Weighted</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Aggregate</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8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1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Number of</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4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intrinsic</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40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8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8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49"/>
        </w:trPr>
        <w:tc>
          <w:tcPr>
            <w:tcW w:w="1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Shares</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life</w:t>
            </w:r>
          </w:p>
        </w:tc>
        <w:tc>
          <w:tcPr>
            <w:tcW w:w="14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78"/>
              </w:rPr>
              <w:t>exercise</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value(1)</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life</w:t>
            </w:r>
          </w:p>
        </w:tc>
        <w:tc>
          <w:tcPr>
            <w:tcW w:w="8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78"/>
              </w:rPr>
              <w:t>exercise</w:t>
            </w:r>
          </w:p>
        </w:tc>
        <w:tc>
          <w:tcPr>
            <w:tcW w:w="140" w:type="dxa"/>
            <w:vAlign w:val="bottom"/>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value(1)</w:t>
            </w:r>
          </w:p>
        </w:tc>
      </w:tr>
      <w:tr>
        <w:trPr>
          <w:trHeight w:val="161"/>
        </w:trPr>
        <w:tc>
          <w:tcPr>
            <w:tcW w:w="1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(in millions)</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(in years)</w:t>
            </w:r>
          </w:p>
        </w:tc>
        <w:tc>
          <w:tcPr>
            <w:tcW w:w="14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price</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(in millions)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(in millions)</w:t>
            </w:r>
          </w:p>
        </w:tc>
        <w:tc>
          <w:tcPr>
            <w:tcW w:w="400" w:type="dxa"/>
            <w:vAlign w:val="bottom"/>
          </w:tcPr>
          <w:p>
            <w:pPr>
              <w:spacing w:after="0"/>
              <w:rPr>
                <w:sz w:val="14"/>
                <w:szCs w:val="14"/>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(in years)</w:t>
            </w: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3"/>
              </w:rPr>
              <w:t>price</w:t>
            </w:r>
          </w:p>
        </w:tc>
        <w:tc>
          <w:tcPr>
            <w:tcW w:w="1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(in millions)</w:t>
            </w:r>
          </w:p>
        </w:tc>
      </w:tr>
      <w:tr>
        <w:trPr>
          <w:trHeight w:val="210"/>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Range of per-share exercise prices:</w:t>
            </w: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ind w:left="440"/>
              <w:spacing w:after="0"/>
              <w:rPr>
                <w:sz w:val="20"/>
                <w:szCs w:val="20"/>
                <w:color w:val="auto"/>
              </w:rPr>
            </w:pPr>
            <w:r>
              <w:rPr>
                <w:rFonts w:ascii="Arial" w:cs="Arial" w:eastAsia="Arial" w:hAnsi="Arial"/>
                <w:sz w:val="18"/>
                <w:szCs w:val="18"/>
                <w:color w:val="auto"/>
              </w:rPr>
              <w:t>$0.61 – $16.53</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$ 11.30</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89"/>
              </w:rPr>
              <w:t>$ 13.10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$17.37 – $29.49</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23.89</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27.10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ind w:left="440"/>
              <w:spacing w:after="0"/>
              <w:rPr>
                <w:sz w:val="20"/>
                <w:szCs w:val="20"/>
                <w:color w:val="auto"/>
              </w:rPr>
            </w:pPr>
            <w:r>
              <w:rPr>
                <w:rFonts w:ascii="Arial" w:cs="Arial" w:eastAsia="Arial" w:hAnsi="Arial"/>
                <w:sz w:val="18"/>
                <w:szCs w:val="18"/>
                <w:color w:val="auto"/>
              </w:rPr>
              <w:t>$29.50 – $35.00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32.21</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31.77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$35.30 – $45.29</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41.53</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41.60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240" w:type="dxa"/>
            <w:vAlign w:val="bottom"/>
            <w:gridSpan w:val="2"/>
          </w:tcPr>
          <w:p>
            <w:pPr>
              <w:ind w:left="440"/>
              <w:spacing w:after="0"/>
              <w:rPr>
                <w:sz w:val="20"/>
                <w:szCs w:val="20"/>
                <w:color w:val="auto"/>
              </w:rPr>
            </w:pPr>
            <w:r>
              <w:rPr>
                <w:rFonts w:ascii="Arial" w:cs="Arial" w:eastAsia="Arial" w:hAnsi="Arial"/>
                <w:sz w:val="18"/>
                <w:szCs w:val="18"/>
                <w:color w:val="auto"/>
              </w:rPr>
              <w:t>$47.24 – $49.80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48.59</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48.61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$ 31.26</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   187.9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3.7</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9"/>
              </w:rPr>
              <w:t>$ 28.93</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380.9</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32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total pre-tax intrinsic value, based on Autodesk’s closing stock price of $40.68 per share as of January 31, 2011, which would have been received by the option holders had all option holders exercised their options as of that date.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options will expire if not exercised at specific dates ranging through December 2017.</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award and restricted stock unit activity for the fiscal year ended January 31, 2011 is as follows:</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Unreleased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Restricted</w:t>
            </w:r>
          </w:p>
        </w:tc>
        <w:tc>
          <w:tcPr>
            <w:tcW w:w="38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4"/>
              </w:rPr>
              <w:t>average grant</w:t>
            </w: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Stock</w:t>
            </w:r>
          </w:p>
        </w:tc>
        <w:tc>
          <w:tcPr>
            <w:tcW w:w="13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date fair value</w:t>
            </w: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Unreleased restricted stock at January 31, 2010</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Awarded</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Released</w:t>
            </w:r>
          </w:p>
        </w:tc>
        <w:tc>
          <w:tcPr>
            <w:tcW w:w="3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9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24.17</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Unreleased restricted stock at January 31, 2011</w:t>
            </w:r>
          </w:p>
        </w:tc>
        <w:tc>
          <w:tcPr>
            <w:tcW w:w="19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the fiscal year ended January 31, 2011, Autodesk granted approximately 605,000 restricted stock units under the 2008 Plan. The restricted stock units vest over periods ranging from immediately upon grant to the third anniversary of the date of grant. Restricted stock units are not considered outstanding stock at the time of grant, as the holders of these units are not entitled to any of the rights of a stockholder, including voting rights. The fair value of the restricted stock units are expensed ratably over the vesting period. Autodesk recorded stock-based compensation expense related to restricted stock units of $8.9 million and $1.9 million during fiscal years ended January 31, 2011 and 2010, respectively. As of January 31, 2011, total compensation cost not yet recognized of $22.5 million related to non-vested awards, is expected to be recognized over a weighted average period of 1.3 years. At January 31, 2011, the number of units granted but unreleased was 1,404,000.</w:t>
      </w:r>
    </w:p>
    <w:p>
      <w:pPr>
        <w:spacing w:after="0" w:line="147"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During the fiscal year ended January 31, 2011, Autodesk granted approximately 23,000 restricted stock awards under the 2010 Plan. Restricted stock awards granted under the 2010 Plan vest on the first anniversary of the date of grant. Restricted stock awards are considered outstanding at the time of grant, as the stock award holders are entitled to many of the rights of a stockholder, including voting rights. The fair value of the restricted stock awards are expensed ratably over the vesting period. Autodesk recorded stock-based compensation expense related to restricted stock awards of $0.7 million during each of the fiscal years ended January 31, 2011 and 2010, respectively. As of January 31, 2011, total compensation cost not yet recognized of $0.2 million related to non-vested awards, is expected to be recognized over a weighted average period of 0.4 years. At January 31, 2011, the number of awards granted but unreleased was 23,000.</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January 31, 2011, a total of 27.8 million shares were available for future issuance. This amount automatically increases on the first trading day of each fiscal year by an amount equal to the lesser of 10.0 million shares or 2.0%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Autodesk issued 3.2 million shares under the ESP Plan at an average price of $14.77 per share in fiscal 2011, 3.1 million shares at an average price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$14.41 per share in fiscal 2010, and 2.1 million shares at an average price of $27.32 per share in fiscal 2009. The weighted average grant date fair value of awards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granted under the ESP Plan during fiscal 2011, 2010 and 2009, calculated as of the award grant date using the Black-Scholes-Merton option pricing model,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$7.22, $7.19 and $10.40 per share, respectively. Autodesk recorded $18.2 million, $26.6 million and $23.1 million of compensation expense associated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ESP Plan in fiscal 2011, 2010 and 2009, respectively.</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Compensation Plan Information</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number of outstanding options granted to employees and directors, as well as the number of securities remaining available for future issuance under these plans as of January 31, 2011 (number of securities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(a)</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25"/>
              <w:spacing w:after="0"/>
              <w:rPr>
                <w:sz w:val="20"/>
                <w:szCs w:val="20"/>
                <w:color w:val="auto"/>
              </w:rPr>
            </w:pPr>
            <w:r>
              <w:rPr>
                <w:rFonts w:ascii="Arial" w:cs="Arial" w:eastAsia="Arial" w:hAnsi="Arial"/>
                <w:sz w:val="14"/>
                <w:szCs w:val="14"/>
                <w:b w:val="1"/>
                <w:bCs w:val="1"/>
                <w:color w:val="auto"/>
                <w:w w:val="89"/>
              </w:rPr>
              <w:t>(b)</w:t>
            </w:r>
          </w:p>
        </w:tc>
        <w:tc>
          <w:tcPr>
            <w:tcW w:w="1300" w:type="dxa"/>
            <w:vAlign w:val="bottom"/>
          </w:tcPr>
          <w:p>
            <w:pPr>
              <w:spacing w:after="0"/>
              <w:rPr>
                <w:sz w:val="14"/>
                <w:szCs w:val="14"/>
                <w:color w:val="auto"/>
              </w:rPr>
            </w:pPr>
          </w:p>
        </w:tc>
        <w:tc>
          <w:tcPr>
            <w:tcW w:w="2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(c)</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3"/>
              </w:rPr>
              <w:t>average</w:t>
            </w:r>
          </w:p>
        </w:tc>
        <w:tc>
          <w:tcPr>
            <w:tcW w:w="1300" w:type="dxa"/>
            <w:vAlign w:val="bottom"/>
          </w:tcPr>
          <w:p>
            <w:pPr>
              <w:spacing w:after="0"/>
              <w:rPr>
                <w:sz w:val="12"/>
                <w:szCs w:val="12"/>
                <w:color w:val="auto"/>
              </w:rPr>
            </w:pPr>
          </w:p>
        </w:tc>
        <w:tc>
          <w:tcPr>
            <w:tcW w:w="2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Number of securities remaining</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78"/>
              </w:rPr>
              <w:t>exercise</w:t>
            </w:r>
          </w:p>
        </w:tc>
        <w:tc>
          <w:tcPr>
            <w:tcW w:w="1300" w:type="dxa"/>
            <w:vAlign w:val="bottom"/>
          </w:tcPr>
          <w:p>
            <w:pPr>
              <w:spacing w:after="0"/>
              <w:rPr>
                <w:sz w:val="12"/>
                <w:szCs w:val="12"/>
                <w:color w:val="auto"/>
              </w:rPr>
            </w:pPr>
          </w:p>
        </w:tc>
        <w:tc>
          <w:tcPr>
            <w:tcW w:w="2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available for future issuance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6"/>
              </w:rPr>
              <w:t>price of</w:t>
            </w:r>
          </w:p>
        </w:tc>
        <w:tc>
          <w:tcPr>
            <w:tcW w:w="1300" w:type="dxa"/>
            <w:vAlign w:val="bottom"/>
          </w:tcPr>
          <w:p>
            <w:pPr>
              <w:spacing w:after="0"/>
              <w:rPr>
                <w:sz w:val="12"/>
                <w:szCs w:val="12"/>
                <w:color w:val="auto"/>
              </w:rPr>
            </w:pPr>
          </w:p>
        </w:tc>
        <w:tc>
          <w:tcPr>
            <w:tcW w:w="2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under equity compensation</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6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300" w:type="dxa"/>
            <w:vAlign w:val="bottom"/>
          </w:tcPr>
          <w:p>
            <w:pPr>
              <w:spacing w:after="0"/>
              <w:rPr>
                <w:sz w:val="12"/>
                <w:szCs w:val="12"/>
                <w:color w:val="auto"/>
              </w:rPr>
            </w:pPr>
          </w:p>
        </w:tc>
        <w:tc>
          <w:tcPr>
            <w:tcW w:w="2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plans (excluding securities</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Plan category</w:t>
            </w:r>
          </w:p>
        </w:tc>
        <w:tc>
          <w:tcPr>
            <w:tcW w:w="26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outstanding options</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2"/>
              </w:rPr>
              <w:t>options</w:t>
            </w:r>
          </w:p>
        </w:tc>
        <w:tc>
          <w:tcPr>
            <w:tcW w:w="130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reflected in column (a))</w:t>
            </w:r>
          </w:p>
        </w:tc>
        <w:tc>
          <w:tcPr>
            <w:tcW w:w="26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48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48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3380" w:type="dxa"/>
            <w:vAlign w:val="bottom"/>
            <w:gridSpan w:val="3"/>
            <w:shd w:val="clear" w:color="auto" w:fill="CCEEFF"/>
          </w:tcPr>
          <w:p>
            <w:pPr>
              <w:ind w:left="2820"/>
              <w:spacing w:after="0"/>
              <w:rPr>
                <w:sz w:val="20"/>
                <w:szCs w:val="20"/>
                <w:color w:val="auto"/>
              </w:rPr>
            </w:pPr>
            <w:r>
              <w:rPr>
                <w:rFonts w:ascii="Arial" w:cs="Arial" w:eastAsia="Arial" w:hAnsi="Arial"/>
                <w:sz w:val="18"/>
                <w:szCs w:val="18"/>
                <w:color w:val="auto"/>
                <w:w w:val="94"/>
              </w:rPr>
              <w:t>45.7(1)</w:t>
            </w:r>
          </w:p>
        </w:tc>
      </w:tr>
      <w:tr>
        <w:trPr>
          <w:trHeight w:val="208"/>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security</w:t>
            </w: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4840" w:type="dxa"/>
            <w:vAlign w:val="bottom"/>
            <w:gridSpan w:val="4"/>
          </w:tcPr>
          <w:p>
            <w:pPr>
              <w:ind w:left="200"/>
              <w:spacing w:after="0"/>
              <w:rPr>
                <w:sz w:val="20"/>
                <w:szCs w:val="20"/>
                <w:color w:val="auto"/>
              </w:rPr>
            </w:pPr>
            <w:r>
              <w:rPr>
                <w:rFonts w:ascii="Arial" w:cs="Arial" w:eastAsia="Arial" w:hAnsi="Arial"/>
                <w:sz w:val="18"/>
                <w:szCs w:val="18"/>
                <w:color w:val="auto"/>
              </w:rPr>
              <w:t>holders(2)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10.39</w:t>
            </w:r>
          </w:p>
        </w:tc>
        <w:tc>
          <w:tcPr>
            <w:tcW w:w="1300" w:type="dxa"/>
            <w:vAlign w:val="bottom"/>
          </w:tcPr>
          <w:p>
            <w:pPr>
              <w:spacing w:after="0"/>
              <w:rPr>
                <w:sz w:val="20"/>
                <w:szCs w:val="20"/>
                <w:color w:val="auto"/>
              </w:rPr>
            </w:pPr>
          </w:p>
        </w:tc>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3380" w:type="dxa"/>
            <w:vAlign w:val="bottom"/>
            <w:gridSpan w:val="3"/>
            <w:shd w:val="clear" w:color="auto" w:fill="CCEEFF"/>
          </w:tcPr>
          <w:p>
            <w:pPr>
              <w:ind w:left="2820"/>
              <w:spacing w:after="0"/>
              <w:rPr>
                <w:sz w:val="20"/>
                <w:szCs w:val="20"/>
                <w:color w:val="auto"/>
              </w:rPr>
            </w:pPr>
            <w:r>
              <w:rPr>
                <w:rFonts w:ascii="Arial" w:cs="Arial" w:eastAsia="Arial" w:hAnsi="Arial"/>
                <w:sz w:val="18"/>
                <w:szCs w:val="18"/>
                <w:color w:val="auto"/>
              </w:rPr>
              <w:t>45.7</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Included in this amount are 27.8 million securities available for future issuance under Autodesk’s ESP Plan.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correspond to Autodesk’s Nonstatutory Stock Option Plan, which was terminated by the Board of Directors in December 2004.</w:t>
      </w:r>
    </w:p>
    <w:p>
      <w:pPr>
        <w:spacing w:after="0" w:line="2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Fiscal year ended January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2011</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2010</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12.3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r>
      <w:tr>
        <w:trPr>
          <w:trHeight w:val="222"/>
        </w:trPr>
        <w:tc>
          <w:tcPr>
            <w:tcW w:w="8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5"/>
        </w:trPr>
        <w:tc>
          <w:tcPr>
            <w:tcW w:w="8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79</w:t>
            </w: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Pursuant to accounting standards related to stock-based compensation, the Company has unrecorded excess stock option tax benefits of $160.6 million as of January 31, 2011. These amounts will be credited to additional paid-in-capital when such amounts reduce cash taxes payable. Foreign pretax income was $321.1 million in fiscal 2011, $253.9 million in fiscal 2010 and $298.5 million in fiscal 2009.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differences between the U.S. statutory rate and the aggregate income tax provision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87"/>
              </w:rPr>
              <w:t>Fiscal year ended January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2011</w:t>
            </w:r>
          </w:p>
        </w:tc>
        <w:tc>
          <w:tcPr>
            <w:tcW w:w="640" w:type="dxa"/>
            <w:vAlign w:val="bottom"/>
          </w:tcPr>
          <w:p>
            <w:pPr>
              <w:spacing w:after="0"/>
              <w:rPr>
                <w:sz w:val="12"/>
                <w:szCs w:val="12"/>
                <w:color w:val="auto"/>
              </w:rPr>
            </w:pPr>
          </w:p>
        </w:tc>
        <w:tc>
          <w:tcPr>
            <w:tcW w:w="540" w:type="dxa"/>
            <w:vAlign w:val="bottom"/>
            <w:tcBorders>
              <w:bottom w:val="single" w:sz="8" w:color="auto"/>
            </w:tcBorders>
            <w:gridSpan w:val="3"/>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at U.S. Federal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1"/>
              </w:rPr>
              <w:t>29.7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State income tax expense (benefit), net of the U.S. Federal benefit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taxed at rates different from the U.S. statutory rate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97"/>
              </w:rPr>
              <w:t>(39.7)</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U.S. valuation allowance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8"/>
                <w:szCs w:val="18"/>
                <w:color w:val="auto"/>
                <w:w w:val="91"/>
              </w:rPr>
              <w:t>14.9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stock-based compensation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1"/>
              </w:rPr>
              <w:t>11.7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Research and development tax credit benefit</w:t>
            </w:r>
          </w:p>
        </w:tc>
        <w:tc>
          <w:tcPr>
            <w:tcW w:w="120" w:type="dxa"/>
            <w:vAlign w:val="bottom"/>
          </w:tcPr>
          <w:p>
            <w:pPr>
              <w:spacing w:after="0"/>
              <w:rPr>
                <w:sz w:val="18"/>
                <w:szCs w:val="18"/>
                <w:color w:val="auto"/>
              </w:rPr>
            </w:pP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closure of income tax audits and decreases in uncertain tax positions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Officer compensation in excess of $1.0 million</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8"/>
                <w:szCs w:val="18"/>
                <w:color w:val="auto"/>
              </w:rPr>
              <w:t>0.3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Non-deductible in-process research and development charge</w:t>
            </w:r>
          </w:p>
        </w:tc>
        <w:tc>
          <w:tcPr>
            <w:tcW w:w="120" w:type="dxa"/>
            <w:vAlign w:val="bottom"/>
          </w:tcPr>
          <w:p>
            <w:pPr>
              <w:spacing w:after="0"/>
              <w:rPr>
                <w:sz w:val="18"/>
                <w:szCs w:val="18"/>
                <w:color w:val="auto"/>
              </w:rPr>
            </w:pPr>
          </w:p>
        </w:tc>
        <w:tc>
          <w:tcPr>
            <w:tcW w:w="106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6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60.0</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8"/>
                <w:szCs w:val="18"/>
                <w:color w:val="auto"/>
                <w:w w:val="91"/>
              </w:rPr>
              <w:t>26.7</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vMerge w:val="restart"/>
          </w:tcPr>
          <w:p>
            <w:pPr>
              <w:ind w:left="440"/>
              <w:spacing w:after="0"/>
              <w:rPr>
                <w:sz w:val="20"/>
                <w:szCs w:val="20"/>
                <w:color w:val="auto"/>
              </w:rPr>
            </w:pPr>
            <w:r>
              <w:rPr>
                <w:rFonts w:ascii="Arial" w:cs="Arial" w:eastAsia="Arial" w:hAnsi="Arial"/>
                <w:sz w:val="18"/>
                <w:szCs w:val="18"/>
                <w:color w:val="auto"/>
              </w:rPr>
              <w:t>Significant components of Autodesk’s deferred tax assets and liabilities are as follows: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January 31,</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Nonqualified stock options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Research and development tax credit carryforwards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 carryforwards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 accruals not currently deductible for tax</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Purchased technology and capitalized software</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Tax loss carryforwards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Capitalized research and development expenditures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Reserves for product returns and bad debts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2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253.4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210.5</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Tax method change on advanced payments</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Unremitted earnings of foreign subsidiaries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liability</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w:t>
            </w: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147.5</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146.1</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80</w:t>
            </w: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84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valuation allowance increased by $3.9 million, $14.3 million and $8.5 million in fiscal 2011, 2010 and 2009, respectively. The fiscal 2011 and fiscal 2010 increase was primarily related to California deferred taxes. During the first quarter of fiscal 2010, the State of California enacted legislation significantly altering California tax law. As a result of the newly enacted legislation, Autodesk expects that in fiscal years 2012 and beyond, income subject to tax in California will be less than under prior tax law and accordingly, deferred tax assets are less likely to be realized. The fiscal 2009 increases were primarily related to Canadian deferred taxes, which Autodesk does not expect to realize.</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No provision has been made for federal income taxes on unremitted earnings of certain of Autodesk’s foreign subsidiaries (cumulatively $1,030.5 million at January 31, 2011) because Autodesk plans to reinvest such earnings for the foreseeable future. At January 31, 2011, the net unrecognized deferred tax liability for these earnings was approximately $314.5 million.</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Realization of the Company’s net deferred tax assets of $147.5 million is dependent upon the Company’s ability to generate future taxable income in appropriate tax jurisdictions to obtain benefit from the reversal of temporary differences, net operating loss carryforwards and tax credits. The amount of deferred tax assets considered realizable is subject to adjustment in future periods if estimates of future taxable income are reduced.</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of January 31, 2011, Autodesk had $16.9 million of cumulative federal tax loss carryforwards and $351.4 million of cumulative state tax loss carryforwards, which may be available to reduce future income tax liabilities in certain jurisdictions. These federal and state tax loss carryforwards will expire beginning fiscal 2012 through fiscal 2021 and fiscal 2012 through fiscal 2031, respectively.</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January 31, 2011, Autodesk had $70.4 million of cumulative federal research tax credit carryforwards, $37.6 million of cumulative California state research tax credit carryforwards and $47.9 million of cumulative Canadian federal tax credit carryforwards, which may be available to reduce future income tax liabilities in the respective jurisdictions. The federal credit carryforwards will expire beginning fiscal 2012 through fiscal 2031, the state credit carryforwards may reduce future California income tax liabilities indefinitely, and the Canadian tax credit carryforwards will expire beginning fiscal 2023 through fiscal 2031. Autodesk also has $119.1 million of cumulative foreign tax credit carryforwards, which may be available to reduce future U. S. tax liabilities. The foreign tax credit will expire beginning fiscal 2018 through fiscal 2021.</w:t>
      </w:r>
    </w:p>
    <w:p>
      <w:pPr>
        <w:spacing w:after="0" w:line="12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Utilization of net operating losses and tax credits may be subject to an annual limitation due to ownership change limitations provided in the Internal Revenue Code and similar state provisions. This annual limitation may result in the expiration of net operating losses and credits before utilization.</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result of certain business and employment actions and capital investments undertaken by Autodesk, income earned in certain countries is subject to reduced tax rates through fiscal 2019. The income tax benefits attributable to the tax status of these business arrangements are estimated to be zero in fiscal 2011, zero in fiscal 2010 and $0.3 million ($0.001 basic net income per share) in fiscal 2009. The income tax benefits were offset partially by accruals of U.S. income taxes on undistributed earnings, among other factors.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fiscal 2011, Autodesk recognized income tax expense of approximately $2.1 million primarily related to a change in the expected future tax rates and the increase of a valuation allowance against California deferred taxes of $4.9 million partially offset by the closure of audits and other decreases in uncertain tax positions of $2.8 million.</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fiscal 2010, Autodesk recognized income tax expense of approximately $17.7 million primarily related to a change in the expected future tax rates and the establishment of a valuation allowance against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California deferred taxes of $20.2 million partially offset by the closure of audits and other decreases in uncertain tax positions with respect to fiscal 2003 of $2.5 million.</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fiscal 2009, Autodesk recognized income tax benefits of approximately $6.2 million primarily related to closure of audits and other decreases in uncertain tax positions with respect to fiscal 2002 through fiscal 2008.</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January 31, 2011, the Company had $188.4 million of gross unrecognized tax benefits, of which $175.0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the gross unrecognized tax benefits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at the beginning of the fiscal year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$178.2</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$169.4</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Increases for tax positions of prior years</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Decreases for tax positions of prior years</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Increases for tax positions related to the current year</w:t>
            </w: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Decreases for lapse of statute of limitations/audit settlements</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Gross unrecognized tax benefits at the end of the fiscal year</w:t>
            </w: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188.4</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178.2</w:t>
            </w:r>
          </w:p>
        </w:tc>
        <w:tc>
          <w:tcPr>
            <w:tcW w:w="24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It is the Company’s continuing practice to recognize interest and/or penalties related to income tax matters in income tax expense. The Company had $1.9 million, $2.2 million and $2.4 million, net of tax benefit, accrued for interest and zero accrued for penalties related to unrecognized tax benefits as of January 31, 2011, 2010 and 2009, respectively.</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Autodesk and its subsidiaries are subject to income tax in the United States as well as numerous state and foreign jurisdictions. The Company’s U.S. and state income tax returns for fiscal year 2003 through fiscal year 2011 remain open to examination. In addition, the Company files tax returns in multiple foreign taxing jurisdictions with open tax years ranging from fiscal year 2002 to 2011.</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Deferred Compensation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January 31, 2011, Autodesk had marketable securities totaling $391.8 million, of which $31.3 million related to investments in debt and equity securities that are held in a rabbi trust under non-qualified deferred compensation plans. The total related deferred compensation liability was $31.3 million at January 31, 2011, of which $3.4 million was classified as current and $27.9 million was classified as non-current liabilities. The value of debt and equity securities held in the rabbi trust at January 31, 2010 was $26.3 million. The total related deferred compensation liability at January 31, 2010 was $26.3 million, of which $1.1 million was classified as current and $25.2 million was classified as non-current liabilities. The current and non-current portions of the liability are recorded in the Consolidated Balance Sheets under “Accrued compensation” and “Other liabilities,” respectively.</w:t>
      </w:r>
    </w:p>
    <w:p>
      <w:pPr>
        <w:spacing w:after="0" w:line="1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Borrowing Arrangements</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Autodesk’s U.S. line of credit facility permits unsecured short-term borrowings of up to $250.0 million and is available for working capital or other business needs. The credit agreement contains customary covenants,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which could restrict liens on Autodesk’s assets, and restrict the Company’s ability to incur additional indebtedness or make dispositions of assets if Autodesk fails to maintain its financial covenants. At January 31, 2011 and 2010, Autodesk had no outstanding borrowings on this line of credit. This facility expires in August 2012.</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second quarter of fiscal 2011, Autodesk terminated its $5.0 million China line of credit because it was no longer needed. At January 31, 2010, Autodesk had no outstanding borrowings on this line of credit.</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 commitments</w:t>
      </w:r>
    </w:p>
    <w:p>
      <w:pPr>
        <w:spacing w:after="0" w:line="90" w:lineRule="exact"/>
        <w:rPr>
          <w:sz w:val="20"/>
          <w:szCs w:val="20"/>
          <w:color w:val="auto"/>
        </w:rPr>
      </w:pPr>
    </w:p>
    <w:p>
      <w:pPr>
        <w:jc w:val="both"/>
        <w:ind w:right="280" w:firstLine="456"/>
        <w:spacing w:after="0" w:line="335" w:lineRule="auto"/>
        <w:rPr>
          <w:sz w:val="20"/>
          <w:szCs w:val="20"/>
          <w:color w:val="auto"/>
        </w:rPr>
      </w:pPr>
      <w:r>
        <w:rPr>
          <w:rFonts w:ascii="Arial" w:cs="Arial" w:eastAsia="Arial" w:hAnsi="Arial"/>
          <w:sz w:val="15"/>
          <w:szCs w:val="15"/>
          <w:color w:val="auto"/>
        </w:rPr>
        <w:t>Autodesk leases office space and computer equipment under non-cancellable operating lease agreements that expire at various dates through 2023. The leases generally provide that Autodesk pay taxes, insurance and maintenance expenses related to the leased assets. Certain of these lease arrangements contain escalation clauses whereby monthly rent increases over time. At January 31, 2011, the aggregate future minimum lease payments required were as follows:</w:t>
      </w:r>
    </w:p>
    <w:p>
      <w:pPr>
        <w:spacing w:after="0" w:line="137"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2013</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2015</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Thereafter</w:t>
            </w:r>
          </w:p>
        </w:tc>
        <w:tc>
          <w:tcPr>
            <w:tcW w:w="3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232.9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Less: Sublease income</w:t>
            </w:r>
          </w:p>
        </w:tc>
        <w:tc>
          <w:tcPr>
            <w:tcW w:w="3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228.7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related to these operating leases recognized on a straight-line basis over the lease period, was as follows:</w:t>
      </w:r>
    </w:p>
    <w:p>
      <w:pPr>
        <w:spacing w:after="0" w:line="207"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0</wp:posOffset>
            </wp:positionV>
            <wp:extent cx="14922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ind w:left="8220"/>
        <w:spacing w:after="0"/>
        <w:tabs>
          <w:tab w:leader="none" w:pos="9120" w:val="left"/>
          <w:tab w:leader="none" w:pos="1006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r>
        <w:rPr>
          <w:sz w:val="20"/>
          <w:szCs w:val="20"/>
          <w:color w:val="auto"/>
        </w:rPr>
        <w:tab/>
      </w:r>
      <w:r>
        <w:rPr>
          <w:rFonts w:ascii="Arial" w:cs="Arial" w:eastAsia="Arial" w:hAnsi="Arial"/>
          <w:sz w:val="12"/>
          <w:szCs w:val="12"/>
          <w:b w:val="1"/>
          <w:bCs w:val="1"/>
          <w:color w:val="auto"/>
        </w:rPr>
        <w:t>2009</w:t>
      </w:r>
    </w:p>
    <w:p>
      <w:pPr>
        <w:spacing w:after="0" w:line="20" w:lineRule="exact"/>
        <w:rPr>
          <w:sz w:val="20"/>
          <w:szCs w:val="20"/>
          <w:color w:val="auto"/>
        </w:rPr>
      </w:pPr>
    </w:p>
    <w:tbl>
      <w:tblPr>
        <w:tblLayout w:type="fixed"/>
        <w:tblInd w:w="8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Rent expense</w:t>
            </w:r>
          </w:p>
        </w:tc>
        <w:tc>
          <w:tcPr>
            <w:tcW w:w="36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$ 52.1</w:t>
            </w:r>
          </w:p>
        </w:tc>
        <w:tc>
          <w:tcPr>
            <w:tcW w:w="9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$ 56.8</w:t>
            </w:r>
          </w:p>
        </w:tc>
        <w:tc>
          <w:tcPr>
            <w:tcW w:w="9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$ 73.1</w:t>
            </w:r>
          </w:p>
        </w:tc>
        <w:tc>
          <w:tcPr>
            <w:tcW w:w="80" w:type="dxa"/>
            <w:vAlign w:val="bottom"/>
            <w:shd w:val="clear" w:color="auto" w:fill="CCEEFF"/>
          </w:tcPr>
          <w:p>
            <w:pPr>
              <w:spacing w:after="0"/>
              <w:rPr>
                <w:sz w:val="16"/>
                <w:szCs w:val="16"/>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Purchase commitments</w:t>
      </w:r>
    </w:p>
    <w:p>
      <w:pPr>
        <w:spacing w:after="0" w:line="9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the normal course of business, Autodesk enters into various purchase commitments for goods or services. Total non-cancellable purchase commitments as of January 31, 2011 were approximately $73.3 million for periods through fiscal 2015. These purchase commitments primarily result from contracts for the acquisition of IT infrastructure, marketing and software development services. Of the total purchase commitments, $9.8 million related to a termination fee for an outsource application hosting services agreement entered into during fiscal 2006. This fee is reduced as time lapses during the five-year contract period.</w:t>
      </w:r>
    </w:p>
    <w:p>
      <w:pPr>
        <w:spacing w:after="0" w:line="9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Autodesk has certain royalty commitments associated with the shipment and licensing of certain products. Royalty expense is generally based on a dollar amount per unit shipped or a percentage of the underlying revenue. Royalty expense, which was recorded under cost of license and other revenue on Autodesk’s Consolidated Statements of Operations, was $12.8 million in fiscal 2011, $16.5 million in fiscal 2010 and $17.1 million in fiscal 2009.</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Indemnifications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However, it is possible that an unfavorable resolution of one or more such proceedings could in the future materially affect its future results of operations, cash flows or financial position in a particular period.</w:t>
      </w:r>
    </w:p>
    <w:p>
      <w:pPr>
        <w:spacing w:after="0" w:line="21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Under Autodesk’s Certificate of Incorporation, 2.0 million shares of preferred stock are authorized. At January 31, 2011, there were no preferred shares issued or outstanding. The Board of Directors has the authority to issue the preferred stock in one or more series and to fix rights, preferences, privileges and restrictions, including dividends and the number of shares constituting any series or the designation of such series, without any further vote or action by the stockholders.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Stock Repurchase Programs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Autodesk has a stock repurchase program that helps offset the dilution to net income per share caused by the issuance of stock under the Company’s employee stock plans and returns excess cash generated from its business to stockholders and for such other purposes as may be in the best interests of Autodesk and its stockholders. During fiscal 2011, Autodesk repurchased and retired 9.0 million shares at an average repurchase price of $31.13 per share, 2.7 million shares in fiscal 2010 at an average repurchase price of $23.63 per share and 8.0 million shares in fiscal 2009 at an average repurchase price of $32.06. Common stock and additional paid-in capital and</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84</w:t>
      </w:r>
    </w:p>
    <w:p>
      <w:pPr>
        <w:sectPr>
          <w:pgSz w:w="11900" w:h="16838" w:orient="portrait"/>
          <w:cols w:equalWidth="0" w:num="1">
            <w:col w:w="11340"/>
          </w:cols>
          <w:pgMar w:left="240" w:top="459" w:right="3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retained earnings were reduced by $138.3 million and $142.0 million, respectively for the year ended January 31, 2011 and $36.4 million and $26.8 million, respectively, for the year ended January 31, 2010, as a result of the stock repurchases.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At January 31, 2011, 24.5 million shares remained available for repurchase under repurchase plans approved by the Board of Directors. In fiscal 2011, 2010 and 2009, Autodesk repurchased its common stock through open market purchases. The number of shares acquired and the timing of the purchases are based on several factors, including general market conditions, the number of employee stock option exercises, the trading price of Autodesk common stock, cash on hand and available in the United States, and company defined trading windows.</w:t>
      </w:r>
    </w:p>
    <w:p>
      <w:pPr>
        <w:spacing w:after="0" w:line="21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Interest and Other Income,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and other income, net,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86"/>
              </w:rPr>
              <w:t>Fiscal Year Ended January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540" w:type="dxa"/>
            <w:vAlign w:val="bottom"/>
            <w:tcBorders>
              <w:bottom w:val="single" w:sz="8" w:color="auto"/>
            </w:tcBorders>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auto"/>
            </w:tcBorders>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 net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Investment impairment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currency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7"/>
              </w:rPr>
              <w:t>(14.0)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Income</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19.</w:t>
            </w:r>
            <w:r>
              <w:rPr>
                <w:rFonts w:ascii="Arial" w:cs="Arial" w:eastAsia="Arial" w:hAnsi="Arial"/>
                <w:sz w:val="18"/>
                <w:szCs w:val="18"/>
                <w:u w:val="single" w:color="auto"/>
                <w:color w:val="auto"/>
                <w:w w:val="91"/>
              </w:rPr>
              <w:t>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Accumulated Other Comprehensive Income (loss)</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16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40" w:type="dxa"/>
            <w:vAlign w:val="bottom"/>
            <w:gridSpan w:val="6"/>
          </w:tcPr>
          <w:p>
            <w:pPr>
              <w:jc w:val="right"/>
              <w:ind w:right="132"/>
              <w:spacing w:after="0"/>
              <w:rPr>
                <w:sz w:val="20"/>
                <w:szCs w:val="20"/>
                <w:color w:val="auto"/>
              </w:rPr>
            </w:pPr>
            <w:r>
              <w:rPr>
                <w:rFonts w:ascii="Arial" w:cs="Arial" w:eastAsia="Arial" w:hAnsi="Arial"/>
                <w:sz w:val="18"/>
                <w:szCs w:val="18"/>
                <w:color w:val="auto"/>
                <w:w w:val="93"/>
              </w:rPr>
              <w:t>Accumulated other comprehensive income (loss), net of taxes, was comprised of the following at January 31: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January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derivative instruments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w:t>
            </w:r>
          </w:p>
        </w:tc>
        <w:tc>
          <w:tcPr>
            <w:tcW w:w="2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unrealized gain on available-for-sale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Unfunded portion of pension plans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(0.6)</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Net Income Per Share</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including restricted stock awards and excluding stock options and restricted stock units. Diluted net income per share is based upon the weighted average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14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8"/>
          </w:tcPr>
          <w:p>
            <w:pPr>
              <w:ind w:left="280"/>
              <w:spacing w:after="0"/>
              <w:rPr>
                <w:sz w:val="20"/>
                <w:szCs w:val="20"/>
                <w:color w:val="auto"/>
              </w:rPr>
            </w:pPr>
            <w:r>
              <w:rPr>
                <w:rFonts w:ascii="Arial" w:cs="Arial" w:eastAsia="Arial" w:hAnsi="Arial"/>
                <w:sz w:val="14"/>
                <w:szCs w:val="14"/>
                <w:b w:val="1"/>
                <w:bCs w:val="1"/>
                <w:color w:val="auto"/>
              </w:rPr>
              <w:t>Fiscal 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2011</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2010</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212.0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58.0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183.6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Denominator for basic net income per share—weighted average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227.6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228.7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225.5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dilutive securities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Denominator for dilutive net income per share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234.2</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232.1</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gridSpan w:val="2"/>
            <w:vMerge w:val="continue"/>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0.25</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computation of diluted net income per share does not include shares that are anti-dilutive under the treasury stock method because their exercise prices are higher than the average market value of Autodesk’s stock during the fiscal year. For the fiscal years ended January 31, 2011, 2010 and 2009, 19.3 million, 21.3 million and 15.8 million potentially anti-dilutive shares, respectively, were excluded from the computation of net income per share.</w:t>
      </w:r>
    </w:p>
    <w:p>
      <w:pPr>
        <w:spacing w:after="0" w:line="1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4"/>
          <w:szCs w:val="14"/>
          <w:b w:val="1"/>
          <w:bCs w:val="1"/>
          <w:color w:val="auto"/>
        </w:rPr>
        <w:t>Segments</w:t>
      </w:r>
    </w:p>
    <w:p>
      <w:pPr>
        <w:spacing w:after="0" w:line="96" w:lineRule="exact"/>
        <w:rPr>
          <w:sz w:val="20"/>
          <w:szCs w:val="20"/>
          <w:color w:val="auto"/>
        </w:rPr>
      </w:pPr>
    </w:p>
    <w:p>
      <w:pPr>
        <w:ind w:right="480" w:firstLine="456"/>
        <w:spacing w:after="0" w:line="294" w:lineRule="auto"/>
        <w:rPr>
          <w:sz w:val="20"/>
          <w:szCs w:val="20"/>
          <w:color w:val="auto"/>
        </w:rPr>
      </w:pPr>
      <w:r>
        <w:rPr>
          <w:rFonts w:ascii="Arial" w:cs="Arial" w:eastAsia="Arial" w:hAnsi="Arial"/>
          <w:sz w:val="16"/>
          <w:szCs w:val="16"/>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Platform Solutions and Emerging Business (“PSEB”), Architecture, Engineering and Construction (“AEC”), Manufacturing (“MFG”) and Media and Entertainment (“M&amp;E”). Location Services, which Autodesk disposed of in February 2009, is not included in any of the above reportable segments, and is reflected as Other. Autodesk has no material inter-segment revenue.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Our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PSEB includes Autodesk’s horizontal design product, AutoCAD. Autodesk’s AutoCAD product is a platform product that underpins the Company’s vertical design product offerings for the industries it serves. For example, AEC and MFG offer tailored versions of AutoCAD software for the industries they serve. Autodesk’s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86</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AutoCAD product also provides a platform for Autodesk’s developer partners to build custom solutions for a range of diverse design-oriented markets. PSEB’s revenue primarily includes revenue from sales of licenses of Autodesk’s horizontal design products, AutoCAD and AutoCAD LT, as well as many of Autodesk’s vertical design products.</w:t>
      </w:r>
    </w:p>
    <w:p>
      <w:pPr>
        <w:spacing w:after="0" w:line="14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Revit, AutoCAD Civil 3D, AutoCAD Architecture and AutoCAD Map 3D products.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brings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Inventor, AutoCAD Mechanical and Autodesk Moldflow products.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M&amp;E is comprised of two product groups: Animation, including design visualization, and Creative Finishing. Animation products, such as Autodesk 3ds Max and Autodesk Maya, provide tools for digital sculpting, modeling, animation, effects, rendering and compositing, for design visualization, visual effects and games production. Creative Finishing products provide editing, finishing and visual effects design and color grading.</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accounting policies of the reportable segments are the same as those described in Note 1, “Business and Summary of Significant Accounting Policies.” Autodesk evaluates each segment’s performance on the basis of gross profit. Autodesk currently does not separately accumulate and report asset information by segment, except for goodwill, which is disclosed in Note 1, “Business and Summary of Significant Accounting Policies.”</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Fiscal year ended January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716.2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624.0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900.8</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Manufacturing</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386.9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23"/>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Other(1)</w:t>
            </w:r>
          </w:p>
        </w:tc>
        <w:tc>
          <w:tcPr>
            <w:tcW w:w="2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1,713.7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2,315.2</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gridSpan w:val="2"/>
            <w:vMerge w:val="continue"/>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517.6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Media and Entertainment</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Unallocated(2)</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1,755.2</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1,521.9</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2,096.1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Manufacturing</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Unallocated</w:t>
            </w:r>
          </w:p>
        </w:tc>
        <w:tc>
          <w:tcPr>
            <w:tcW w:w="2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primarily consisted of revenue from Autodesk’s Location Services division, which Autodesk disposed of in February 2009.</w:t>
      </w:r>
    </w:p>
    <w:p>
      <w:pPr>
        <w:spacing w:after="0" w:line="15" w:lineRule="exact"/>
        <w:rPr>
          <w:rFonts w:ascii="Arial" w:cs="Arial" w:eastAsia="Arial" w:hAnsi="Arial"/>
          <w:sz w:val="18"/>
          <w:szCs w:val="18"/>
          <w:color w:val="auto"/>
        </w:rPr>
      </w:pPr>
    </w:p>
    <w:p>
      <w:pPr>
        <w:ind w:left="460" w:right="46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Unallocated amounts primarily relate to corporate expenses and other costs and expenses that are managed outside the reportable segments, including stock-based compensation expense.</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Information regarding Autodesk’s operations by geographic area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8"/>
          </w:tcPr>
          <w:p>
            <w:pPr>
              <w:ind w:left="420"/>
              <w:spacing w:after="0"/>
              <w:rPr>
                <w:sz w:val="20"/>
                <w:szCs w:val="20"/>
                <w:color w:val="auto"/>
              </w:rPr>
            </w:pPr>
            <w:r>
              <w:rPr>
                <w:rFonts w:ascii="Arial" w:cs="Arial" w:eastAsia="Arial" w:hAnsi="Arial"/>
                <w:sz w:val="14"/>
                <w:szCs w:val="14"/>
                <w:b w:val="1"/>
                <w:bCs w:val="1"/>
                <w:color w:val="auto"/>
              </w:rPr>
              <w:t>Fiscal 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Americas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Other Americas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Americas</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Europe, Middle East and Africa</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671.1</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1,003.4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Asia Pacific</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Japan</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Asia Pacific</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Total Asia Pacific</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1,951.8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1,713.7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88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520" w:type="dxa"/>
            <w:vAlign w:val="bottom"/>
            <w:gridSpan w:val="4"/>
          </w:tcPr>
          <w:p>
            <w:pPr>
              <w:ind w:left="36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Long-lived assets(1):</w:t>
            </w:r>
          </w:p>
        </w:tc>
        <w:tc>
          <w:tcPr>
            <w:tcW w:w="3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Americas</w:t>
            </w:r>
          </w:p>
        </w:tc>
        <w:tc>
          <w:tcPr>
            <w:tcW w:w="3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U.S.</w:t>
            </w:r>
          </w:p>
        </w:tc>
        <w:tc>
          <w:tcPr>
            <w:tcW w:w="4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$571.2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$ 611.3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860"/>
              <w:spacing w:after="0"/>
              <w:rPr>
                <w:sz w:val="20"/>
                <w:szCs w:val="20"/>
                <w:color w:val="auto"/>
              </w:rPr>
            </w:pPr>
            <w:r>
              <w:rPr>
                <w:rFonts w:ascii="Arial" w:cs="Arial" w:eastAsia="Arial" w:hAnsi="Arial"/>
                <w:sz w:val="18"/>
                <w:szCs w:val="18"/>
                <w:color w:val="auto"/>
              </w:rPr>
              <w:t>Other Americas</w:t>
            </w:r>
          </w:p>
        </w:tc>
        <w:tc>
          <w:tcPr>
            <w:tcW w:w="31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Americas</w:t>
            </w:r>
          </w:p>
        </w:tc>
        <w:tc>
          <w:tcPr>
            <w:tcW w:w="4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636.8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Europe, Middle East and Africa</w:t>
            </w:r>
          </w:p>
        </w:tc>
        <w:tc>
          <w:tcPr>
            <w:tcW w:w="31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Switzerland</w:t>
            </w:r>
          </w:p>
        </w:tc>
        <w:tc>
          <w:tcPr>
            <w:tcW w:w="4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42.8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860"/>
              <w:spacing w:after="0"/>
              <w:rPr>
                <w:sz w:val="20"/>
                <w:szCs w:val="20"/>
                <w:color w:val="auto"/>
              </w:rPr>
            </w:pPr>
            <w:r>
              <w:rPr>
                <w:rFonts w:ascii="Arial" w:cs="Arial" w:eastAsia="Arial" w:hAnsi="Arial"/>
                <w:sz w:val="18"/>
                <w:szCs w:val="18"/>
                <w:color w:val="auto"/>
              </w:rPr>
              <w:t>Other Europe, Middle East and Africa</w:t>
            </w:r>
          </w:p>
        </w:tc>
        <w:tc>
          <w:tcPr>
            <w:tcW w:w="31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Europe, Middle East and Africa</w:t>
            </w:r>
          </w:p>
        </w:tc>
        <w:tc>
          <w:tcPr>
            <w:tcW w:w="3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Asia Pacific</w:t>
            </w:r>
          </w:p>
        </w:tc>
        <w:tc>
          <w:tcPr>
            <w:tcW w:w="31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4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long-lived assets</w:t>
            </w:r>
          </w:p>
        </w:tc>
        <w:tc>
          <w:tcPr>
            <w:tcW w:w="4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840.1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Long-lived assets exclude investments in subsidiaries, deferred tax assets and marketable securities.</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Business Combinations</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results of operations of the following acquisitions are included in the accompanying Consolidated Statements of Operations since the acquisition dates, and the related assets and liabilities were recorded based upon their relative fair values at their respective acquisition dates. Pro forma financial information has not been presented as their historical operations were not material to Autodesk’s Consolidated Financial Statements either individually or in the aggregate. During the fiscal year ended January 31, 2011, the Company acquired two entities, neither of which were individually material, for total consideration $13.5 million.</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Fiscal 2010 Acquisitions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PlanPlatform</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In November 2009, Autodesk acquired all of the outstanding shares of PlanPlatform Ltd. (“PlanPlatform”), based in Tel Aviv, Israel. PlanPlatform was engaged in the business of designing and developing a web collaboration tool for AutoCAD. The acquisition of PlanPlatform further expanded Autodesk’s expertise in emerging technologies and remote application delivery and provided a design team with knowledge of web-based design applications. Autodesk incorporated PlanPlatform into its PSEB segment.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Management’s allocation of the purchase price consideration, based on a valuation of the acquired assets and liabilities, was as follows: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9200" w:type="dxa"/>
            <w:vAlign w:val="bottom"/>
            <w:gridSpan w:val="3"/>
          </w:tcPr>
          <w:p>
            <w:pPr>
              <w:spacing w:after="0"/>
              <w:rPr>
                <w:sz w:val="20"/>
                <w:szCs w:val="20"/>
                <w:color w:val="auto"/>
              </w:rPr>
            </w:pPr>
            <w:r>
              <w:rPr>
                <w:rFonts w:ascii="Arial" w:cs="Arial" w:eastAsia="Arial" w:hAnsi="Arial"/>
                <w:sz w:val="14"/>
                <w:szCs w:val="14"/>
                <w:b w:val="1"/>
                <w:bCs w:val="1"/>
                <w:color w:val="auto"/>
              </w:rPr>
              <w:t>PlanPlatform:</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In-process research and development represents incomplete research and development projects that had not reached the stage of fully developed technology and is an indefinite lived asset that is held and tested at least annually for impairment until such time that it becomes fully developed technology. During fiscal 2011, the total in-process research and development related to PlanPlatform of $1.3 million reached the stage of fully developed technology and began being amortized to expense.</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$14.1 million of goodwill, which represents the excess of the purchase price over the fair value of the acquired net tangible and intangible assets, is deductible for tax purposes.</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Retirement Benefit Plans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Pretax Savings Plan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Autodesk has a 401(k) plan that covers nearly all U.S. employees. Eligible employees may contribute up to 50% of their pretax salary, subject to limitations mandated by the Internal Revenue Service. Autodesk makes voluntary cash contributions and matches a portion of employee contributions in cash. Autodesk’s contributions were $6.7 million in fiscal 2011, $7.1 million in fiscal 2010 and $7.8 million in fiscal 2009. Autodesk does not allow participants to invest in Autodesk common stock through the 401(k) plan.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Plans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Autodesk provides certain defined benefit pension plans to employees primarily located in countries outside of the U.S. The Company deposits funds for specific plans, consistent with the requirements of local law, with insurance companies or third-party trustees, and accrues for the unfunded portion of the obligation, where material. The assumptions used in calculating the obligation for these plans depend on the local economic environment. The net liability related to the funded status of the plans was approximately $18.2 million and $12.5 million as of January 31, 2011 and 2010, respectively. The projected benefit obligation was $47.3 million and $36.2 million as of January 31, 2011 and 2010, respectively. The related fair value of plan assets was $29.1 million and $23.7 million as of January 31, 2011 and 2010, respectively. Our practice is to fund the pension plans in amounts at least sufficient to meet the minimum requirements of local laws and regulations. The assets of the plans are primarily invested in high quality fixed income investments. Our contributions were approximately $3.5 million, $3.4 million and $3.2 million in fiscal 2011, 2010 and 2009, respectively. As of January 31, 2011, our estimated future benefit payments are an aggregate $10.6 million for fiscal 2012 through fiscal 2016 and an aggregate of $9.8 million for fiscal 2017 through fiscal 2021. Autodesk recorded $9.8 million and $5.9 million of unrealized changes in the unfunded portion of Autodesk’s defined benefit plans in fiscal 2011 and fiscal 2010, respectively. The unrealized changes in the unfunded portion of Autodesk’s defined benefit plans were not recorded in years prior to fiscal 2010 because the amounts were immaterial.</w:t>
      </w:r>
    </w:p>
    <w:p>
      <w:pPr>
        <w:spacing w:after="0" w:line="12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Autodesk also provides defined contribution plans in certain foreign countries where required by statute. Autodesk’s funding policy for foreign defined contribution plans is consistent with the local requirements in each country. Autodesk’s contributions to these plans were $13.6 million in fiscal 2011, $13.4 million in fiscal 2010 and $12.0 million in fiscal 2009.</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6, “Deferred Compensation,” for further discussion.</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Restructuring Reserves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During the first quarter of fiscal 2011, Autodesk initiated a restructuring plan in order to further reduce operating costs. The restructuring plan resulted in targeted staff reductions of approximately 200 positions. No leased facilities were consolidated as part of this restructuring (“Fiscal 2011 Plan”).</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During the second quarter of fiscal 2010, Autodesk initiated a restructuring program in order to reduce its operating costs. This plan resulted in a staff reduction of approximately 430 positions globally and resulted in the consolidation of approximately 32 leased facilities around the world (“Fiscal 2010 Plan”).</w:t>
      </w:r>
    </w:p>
    <w:p>
      <w:pPr>
        <w:spacing w:after="0" w:line="85"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In the fourth quarter of fiscal 2009, Autodesk initiated a restructuring program in order to reduce its operating costs. This program resulted in a staff reduction of approximately 700 positions globally and resulted in the consolidation of approximately 27 leased facilities (“Fiscal 2009 Plan”).</w:t>
      </w:r>
    </w:p>
    <w:p>
      <w:pPr>
        <w:spacing w:after="0" w:line="8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connection with these restructuring plans, Autodesk recorded restructuring and impairment charges of $10.8 million and $48.2 million during the fiscal years ended January 31, 2011 and 2010, respectively. Of these amounts, $10.8 million and $24.3 million were recorded for one-time termination benefits and other costs during fiscal 2011 and 2010, respectively, and $23.9 million was recorded for facilities-related costs during fiscal 2010. The one-time termination benefits have substantially been paid as of January 31, 2011. Autodesk expects to pay the facility related liabilities through fiscal 2018.</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restructuring activities for the fiscal years ended January 31, 2011 and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Balance at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31,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Additions</w:t>
            </w:r>
          </w:p>
        </w:tc>
        <w:tc>
          <w:tcPr>
            <w:tcW w:w="6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300" w:type="dxa"/>
            <w:vAlign w:val="bottom"/>
          </w:tcPr>
          <w:p>
            <w:pPr>
              <w:spacing w:after="0"/>
              <w:rPr>
                <w:sz w:val="14"/>
                <w:szCs w:val="14"/>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6"/>
              </w:rPr>
              <w:t>Adjustments(1)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Fiscal 2011 Plan</w:t>
            </w:r>
          </w:p>
        </w:tc>
        <w:tc>
          <w:tcPr>
            <w:tcW w:w="1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Employee termination costs</w:t>
            </w:r>
          </w:p>
        </w:tc>
        <w:tc>
          <w:tcPr>
            <w:tcW w:w="16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12.4</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(10.6)</w:t>
            </w:r>
          </w:p>
        </w:tc>
        <w:tc>
          <w:tcPr>
            <w:tcW w:w="6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Fiscal 2010 Plan</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Employee termination costs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termination and asset costs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Fiscal 2009 Plan</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termination costs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Lease termination and asset costs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Employee termination costs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termination costs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vMerge w:val="continue"/>
          </w:tcPr>
          <w:p>
            <w:pPr>
              <w:spacing w:after="0"/>
              <w:rPr>
                <w:sz w:val="19"/>
                <w:szCs w:val="19"/>
                <w:color w:val="auto"/>
              </w:rPr>
            </w:pPr>
          </w:p>
        </w:tc>
        <w:tc>
          <w:tcPr>
            <w:tcW w:w="16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19.4</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13.7</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(21.0)</w:t>
            </w:r>
          </w:p>
        </w:tc>
        <w:tc>
          <w:tcPr>
            <w:tcW w:w="6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portion(2)</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Non-current portion(2)</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Balance at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31,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Additions</w:t>
            </w:r>
          </w:p>
        </w:tc>
        <w:tc>
          <w:tcPr>
            <w:tcW w:w="6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300" w:type="dxa"/>
            <w:vAlign w:val="bottom"/>
          </w:tcPr>
          <w:p>
            <w:pPr>
              <w:spacing w:after="0"/>
              <w:rPr>
                <w:sz w:val="14"/>
                <w:szCs w:val="14"/>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6"/>
              </w:rPr>
              <w:t>Adjustments(1)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Fiscal 2010 Plan</w:t>
            </w:r>
          </w:p>
        </w:tc>
        <w:tc>
          <w:tcPr>
            <w:tcW w:w="1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Employee termination costs</w:t>
            </w:r>
          </w:p>
        </w:tc>
        <w:tc>
          <w:tcPr>
            <w:tcW w:w="16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20.0</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(18.2)</w:t>
            </w:r>
          </w:p>
        </w:tc>
        <w:tc>
          <w:tcPr>
            <w:tcW w:w="6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termination and asset costs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Fiscal 2009 Plan</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termination costs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(37.8)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Lease termination and asset costs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12.2</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Employee termination costs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termination costs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vMerge w:val="continue"/>
          </w:tcPr>
          <w:p>
            <w:pPr>
              <w:spacing w:after="0"/>
              <w:rPr>
                <w:sz w:val="19"/>
                <w:szCs w:val="19"/>
                <w:color w:val="auto"/>
              </w:rPr>
            </w:pPr>
          </w:p>
        </w:tc>
        <w:tc>
          <w:tcPr>
            <w:tcW w:w="16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43.9</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48.9</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(68.3)</w:t>
            </w:r>
          </w:p>
        </w:tc>
        <w:tc>
          <w:tcPr>
            <w:tcW w:w="6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portion(2)</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Non-current portion(2)</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Adjustments include the impact of foreign currency translation.</w:t>
      </w:r>
    </w:p>
    <w:p>
      <w:pPr>
        <w:spacing w:after="0" w:line="15" w:lineRule="exact"/>
        <w:rPr>
          <w:rFonts w:ascii="Arial" w:cs="Arial" w:eastAsia="Arial" w:hAnsi="Arial"/>
          <w:sz w:val="18"/>
          <w:szCs w:val="18"/>
          <w:color w:val="auto"/>
        </w:rPr>
      </w:pPr>
    </w:p>
    <w:p>
      <w:pPr>
        <w:ind w:left="460" w:right="780" w:hanging="452"/>
        <w:spacing w:after="0" w:line="261"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current and non-current portions of the reserve are recorded in the Consolidated Balance Sheets under “Other accrued liabilities” and “Other liabilities,”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Selected Quarterly Financial Information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quarterly financial information for fiscal 2011 and 2010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2011</w:t>
            </w:r>
          </w:p>
        </w:tc>
        <w:tc>
          <w:tcPr>
            <w:tcW w:w="53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1st quarter</w:t>
            </w:r>
          </w:p>
        </w:tc>
        <w:tc>
          <w:tcPr>
            <w:tcW w:w="2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2nd quarter</w:t>
            </w: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3rd quarter</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4th quarter</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9"/>
              </w:rPr>
              <w:t>Fiscal 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474.6</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472.8</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5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2"/>
              </w:rPr>
              <w:t>$ 1,951.8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423.3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424.4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428.2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479.3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0.16</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0.26</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0.24</w:t>
            </w:r>
          </w:p>
        </w:tc>
        <w:tc>
          <w:tcPr>
            <w:tcW w:w="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0.16</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32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Income from operations includes the following items:</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Amortization of acquisition related intangibles</w:t>
            </w:r>
          </w:p>
        </w:tc>
        <w:tc>
          <w:tcPr>
            <w:tcW w:w="1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365"/>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2010</w:t>
            </w:r>
          </w:p>
        </w:tc>
        <w:tc>
          <w:tcPr>
            <w:tcW w:w="534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1st quarter</w:t>
            </w:r>
          </w:p>
        </w:tc>
        <w:tc>
          <w:tcPr>
            <w:tcW w:w="26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2nd quarter</w:t>
            </w:r>
          </w:p>
        </w:tc>
        <w:tc>
          <w:tcPr>
            <w:tcW w:w="2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3rd quarter</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4th quarter</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9"/>
              </w:rPr>
              <w:t>Fiscal 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425.8</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414.9</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5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2"/>
              </w:rPr>
              <w:t>$ 1,713.7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373.5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364.8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371.9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411.7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Basic net income (loss) per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(0.14)</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0.05</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0.13</w:t>
            </w:r>
          </w:p>
        </w:tc>
        <w:tc>
          <w:tcPr>
            <w:tcW w:w="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0.22</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(0.14)</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2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Income from operations includes the following items:</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Amortization of acquisition related intangibles</w:t>
            </w:r>
          </w:p>
        </w:tc>
        <w:tc>
          <w:tcPr>
            <w:tcW w:w="1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Impairment of goodwill</w:t>
            </w:r>
          </w:p>
        </w:tc>
        <w:tc>
          <w:tcPr>
            <w:tcW w:w="18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 includes the following item:</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Establishment of valuation allowance on deferred tax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(21.0)</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93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5"/>
          <w:szCs w:val="15"/>
          <w:b w:val="1"/>
          <w:bCs w:val="1"/>
          <w:color w:val="auto"/>
        </w:rPr>
        <w:t>Subsequent Events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March 1, 2011, Autodesk acquired Scaleform Corporation (“Scaleform”) for approximately $36.0 million. Scaleform was a privately held middleware and user interface tools company, whose technology has been licensed in the development of games across all major hardware platforms. The acquisition was structured as a merger, the result of which Autodesk acquired all the outstanding shares of Scaleform’s common stock. Scaleform will be integrated into Autodesk’s M&amp;E segment.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10, 2011, Autodesk acquired Blue Ridge Numerics, Inc (“Blue Ridge”) for approximately $39.0 million, subject to a working capital adjustment. Blue Ridge was a privately held company that designs and sells software that enables mechanical engineers to study fluid flow and thermal performance in virtual prototyping. The acquisition was structured as a merger, the result of which Autodesk acquired all the outstanding shares of Blue Ridge’s common and preferred stock. Blue Ridge will be integrated into Autodesk’s MFG segment.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1740" w:firstLine="1732"/>
        <w:spacing w:after="0" w:line="441" w:lineRule="auto"/>
        <w:rPr>
          <w:sz w:val="20"/>
          <w:szCs w:val="20"/>
          <w:color w:val="auto"/>
        </w:rPr>
      </w:pPr>
      <w:r>
        <w:rPr>
          <w:rFonts w:ascii="Arial" w:cs="Arial" w:eastAsia="Arial" w:hAnsi="Arial"/>
          <w:sz w:val="18"/>
          <w:szCs w:val="18"/>
          <w:b w:val="1"/>
          <w:bCs w:val="1"/>
          <w:color w:val="auto"/>
        </w:rPr>
        <w:t xml:space="preserve">REPORT OF ERNST &amp; YOUNG LLP, INDEPENDENT REGISTERED PUBLIC ACCOUNTING FIRM </w:t>
      </w:r>
      <w:r>
        <w:rPr>
          <w:rFonts w:ascii="Arial" w:cs="Arial" w:eastAsia="Arial" w:hAnsi="Arial"/>
          <w:sz w:val="18"/>
          <w:szCs w:val="18"/>
          <w:color w:val="auto"/>
        </w:rPr>
        <w:t>The Board of Directors and Stockholders of Autodesk, Inc.</w:t>
      </w:r>
    </w:p>
    <w:p>
      <w:pPr>
        <w:spacing w:after="0" w:line="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Autodesk, Inc. as of January 31, 2011 and 2010, and the related consolidated statements of operations, cash flows and stockholders’ equity for each of the three years in the period ended January 31, 2011.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Autodesk, Inc. at January 31, 2011 and 2010, and the consolidated results of its operations and its cash flows for each of the three years in the period ended January 31, 2011,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Autodesk, Inc.’s internal control over financial reporting as of January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March 18, 2011 expressed an unqualified opinion thereon.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18, 2011</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REPORT OF ERNST &amp; YOUNG LLP,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 of Autodesk, Inc.</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We have audited Autodesk, Inc.’s internal control over financial reporting as of January 31, 2011,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(the COSO criteria). Autodesk, Inc.’s management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our opinion, Autodesk, Inc. maintained, in all material respects, effective internal control over financial reporting as of January 31, 2011, based on the COSO criteria.</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Autodesk, Inc. as of January 31, 2011 and 2010, and the related consolidated statements of operations, cash flows, and stockholders’ equity for each of the three years in the period ended January 31, 2011 of Autodesk, Inc. and our report dated March 18, 2011 expressed an unqualified opinion thereon.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18, 2011</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96</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Annual Report on Form 10-K.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January 31, 2011 that have materially affected, or are reasonably likely to materially affect, our internal controls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2011. In making this assessment, our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Our management has concluded that, as of January 31, 2011, our internal control over financial reporting is effective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reasonable assurance regarding the reliability of financial reporting and the preparation of financial statements for external purposes in accordance with generally accepted accounting principles. Our independent registered public accounting firm, Ernst &amp; Young, LLP, has issued an audit report on our internal control over financial reporting, which is included in Item 8 herein.</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information required by Part III is omitted from this Report because the Registrant will file a definitive proxy statement pursuant to Regulation 14A for Registrant’s Annual Meeting of Stockholders, not later than 120 days after the end of the fiscal year covered by this Report (the “Proxy Statement”) and certain information included therein is incorporated herein by reference. Only those sections of the Proxy Statement that specifically address the items set forth herein are incorporated by reference.</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One—Election of Directors,” “Section 16(a) Beneficial Ownership Reporting Compliance,” and “Corporate Governance” in our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certain information as of March 18, 2011 regarding our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Carl</w:t>
            </w: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Bass</w:t>
            </w:r>
          </w:p>
        </w:tc>
        <w:tc>
          <w:tcPr>
            <w:tcW w:w="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53</w:t>
            </w:r>
          </w:p>
        </w:tc>
        <w:tc>
          <w:tcPr>
            <w:tcW w:w="200" w:type="dxa"/>
            <w:vAlign w:val="bottom"/>
          </w:tcPr>
          <w:p>
            <w:pPr>
              <w:spacing w:after="0"/>
              <w:rPr>
                <w:sz w:val="17"/>
                <w:szCs w:val="17"/>
                <w:color w:val="auto"/>
              </w:rPr>
            </w:pPr>
          </w:p>
        </w:tc>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4280" w:type="dxa"/>
            <w:vAlign w:val="bottom"/>
          </w:tcPr>
          <w:p>
            <w:pPr>
              <w:spacing w:after="0" w:line="201" w:lineRule="exact"/>
              <w:rPr>
                <w:sz w:val="20"/>
                <w:szCs w:val="20"/>
                <w:color w:val="auto"/>
              </w:rPr>
            </w:pPr>
            <w:r>
              <w:rPr>
                <w:rFonts w:ascii="Arial" w:cs="Arial" w:eastAsia="Arial" w:hAnsi="Arial"/>
                <w:sz w:val="18"/>
                <w:szCs w:val="18"/>
                <w:color w:val="auto"/>
              </w:rPr>
              <w:t>Executive Officer, President</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Mark J. Hawkins</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Executive Vice President, Chief Financial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Jan Becker</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86"/>
              </w:rPr>
              <w:t>Senior Vice President, Human Resources and Corporate Real Estate</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Jay Bhatt</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0"/>
              </w:rPr>
              <w:t>Senior Vice President, Architecture, Engineering and Construction</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Chris Bradshaw</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Senior Vice President, Chief Marketing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Moonhie Chin</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Senior Vice President, Strategic Planning and Operations</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Pascal W. Di Fronzo</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Amar Hanspal</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0"/>
              </w:rPr>
              <w:t>Senior Vice President, Platform Solutions and Emerging Business</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Robert Kross</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Senior Vice President, Manufacturing</w:t>
            </w: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Marc Petit</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0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Senior Vice President, Media and Entertainment</w:t>
            </w:r>
          </w:p>
        </w:tc>
      </w:tr>
    </w:tbl>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Carl Bass </w:t>
      </w:r>
      <w:r>
        <w:rPr>
          <w:rFonts w:ascii="Arial" w:cs="Arial" w:eastAsia="Arial" w:hAnsi="Arial"/>
          <w:sz w:val="16"/>
          <w:szCs w:val="16"/>
          <w:color w:val="auto"/>
        </w:rPr>
        <w:t>joined Autodesk in September 1993 and serves as Chief Executive Officer and President. Mr. Bass was named Chief Executive Officer in May</w:t>
      </w:r>
    </w:p>
    <w:p>
      <w:pPr>
        <w:spacing w:after="0" w:line="44"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2006. Mr. Bass served as Interim Chief Financial Officer from August 2008 to April 2009. From June 2004 to April 2006, Mr. Bass served as Chief Operating Officer. From February 2002 to June 2004, Mr. Bass served as Senior Executive Vice President, Design Solutions Group. From August 2001 to February 2002, Mr. Bass served as Executive Vice President, Emerging Business and Chief Strategy Officer. From June 1999 to July 2001, he served as President and Chief Executive Officer of Buzzsaw.com, Inc., a spin-off from Autodesk. He has also held other executive positions within Autodesk.</w:t>
      </w:r>
    </w:p>
    <w:p>
      <w:pPr>
        <w:spacing w:after="0" w:line="109"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 xml:space="preserve">Mark J. Hawkins </w:t>
      </w:r>
      <w:r>
        <w:rPr>
          <w:rFonts w:ascii="Arial" w:cs="Arial" w:eastAsia="Arial" w:hAnsi="Arial"/>
          <w:sz w:val="16"/>
          <w:szCs w:val="16"/>
          <w:color w:val="auto"/>
        </w:rPr>
        <w:t>joined Autodesk in April 2009 and serves as Executive Vice President and Chief Financial Officer. Prior to joining Autodesk,</w:t>
      </w:r>
    </w:p>
    <w:p>
      <w:pPr>
        <w:spacing w:after="0" w:line="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Hawkins was Chief Financial Officer and Senior Vice President of Finance and Information Technology at Logitech International S.A. from April 2006 to April 2009. Previously he was with Dell Inc. for six years, most recently serving as Vice President of Finance for worldwide procurement and logistics. Prior to joining Dell, Mr. Hawkins was employed by Hewlett-Packard Company for 18 years in finance and business-management roles. Mr. Hawkins is also a director of BMC Software, Inc.</w:t>
      </w:r>
    </w:p>
    <w:p>
      <w:pPr>
        <w:spacing w:after="0" w:line="138"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Jan Becker </w:t>
      </w:r>
      <w:r>
        <w:rPr>
          <w:rFonts w:ascii="Arial" w:cs="Arial" w:eastAsia="Arial" w:hAnsi="Arial"/>
          <w:sz w:val="18"/>
          <w:szCs w:val="18"/>
          <w:color w:val="auto"/>
        </w:rPr>
        <w:t>joined Autodesk in September 1992 and has served as Senior Vice President, Human Resources and Corporate Real Estate since June 2000.</w:t>
      </w:r>
      <w:r>
        <w:rPr>
          <w:rFonts w:ascii="Arial" w:cs="Arial" w:eastAsia="Arial" w:hAnsi="Arial"/>
          <w:sz w:val="18"/>
          <w:szCs w:val="18"/>
          <w:b w:val="1"/>
          <w:bCs w:val="1"/>
          <w:color w:val="auto"/>
        </w:rPr>
        <w:t xml:space="preserve"> </w:t>
      </w:r>
      <w:r>
        <w:rPr>
          <w:rFonts w:ascii="Arial" w:cs="Arial" w:eastAsia="Arial" w:hAnsi="Arial"/>
          <w:sz w:val="18"/>
          <w:szCs w:val="18"/>
          <w:color w:val="auto"/>
        </w:rPr>
        <w:t>Ms. Becker previously served in other capacities in the Human Resources Department at Autodesk. Prior to joining Autodesk, Ms. Becker worked both domestically and internationally at a number of high-tech organizations, including Sun Microsystems, Inc., Digital Equipment Corporation and Hewlett-Packard Company.</w:t>
      </w:r>
    </w:p>
    <w:p>
      <w:pPr>
        <w:spacing w:after="0" w:line="136"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Jay Bhatt </w:t>
      </w:r>
      <w:r>
        <w:rPr>
          <w:rFonts w:ascii="Arial" w:cs="Arial" w:eastAsia="Arial" w:hAnsi="Arial"/>
          <w:sz w:val="18"/>
          <w:szCs w:val="18"/>
          <w:color w:val="auto"/>
        </w:rPr>
        <w:t>joined Autodesk in August 2001 and serves as Senior Vice President, Architecture, Engineering and Construction. From August 2001 to</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2004, Mr. Bhatt served as Vice President, Corporate Development and Strategic Planning. From March 2000 to July 2001, he served as Chief Financial Officer and</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senior vice president of Business Development of Buzzsaw.com, Inc., a spin-off of Autodesk. Prior to that, Mr. Bhatt worked as an investment banker and as a transactional attorney.</w:t>
      </w:r>
    </w:p>
    <w:p>
      <w:pPr>
        <w:spacing w:after="0" w:line="12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 xml:space="preserve">Chris Bradshaw </w:t>
      </w:r>
      <w:r>
        <w:rPr>
          <w:rFonts w:ascii="Arial" w:cs="Arial" w:eastAsia="Arial" w:hAnsi="Arial"/>
          <w:sz w:val="18"/>
          <w:szCs w:val="18"/>
          <w:color w:val="auto"/>
        </w:rPr>
        <w:t>joined Autodesk in September 1991 and has served as Senior Vice President, Chief Marketing Officer since September 2007.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Mr. Bradshaw served as Senior Vice President, Worldwide Marketing from March 2007 to September 2007, as Vice President of Worldwide Marketing from January 2007 to March 2007, as Vice President of Autodesk’s Infrastructure Solutions Division (ISD) from February 2003 to January 2007, and from August 2001 to January 2003, he was Vice President of Autodesk Building Collaboration Services. He served as senior vice president of sales and marketing for Buzzsaw.com, Inc., a spin-off of Autodesk, from September 1999 to August 2001 and as sales development director for Autodesk’s AEC (Architecture, Engineering and Construction) products in the Asia Pacific region from July 1997 to August 1999. He has also held other executive and non-executive positions at Autodesk.</w:t>
      </w:r>
    </w:p>
    <w:p>
      <w:pPr>
        <w:spacing w:after="0" w:line="141"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Moonhie Chin </w:t>
      </w:r>
      <w:r>
        <w:rPr>
          <w:rFonts w:ascii="Arial" w:cs="Arial" w:eastAsia="Arial" w:hAnsi="Arial"/>
          <w:sz w:val="18"/>
          <w:szCs w:val="18"/>
          <w:color w:val="auto"/>
        </w:rPr>
        <w:t>joined Autodesk in February 1989 and has served as Senior Vice President, Strategic Planning and Operations since March 2007. From</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2003 to March 2007, she served as Vice President, Strategic Planning and Operations, and served as Vice President of Business Operations for Location Services from September 2000 to January 2003, and as Vice President of Business Administration from June 1999 to September 2000. She has also held other non-executive positions at Autodesk.</w:t>
      </w:r>
    </w:p>
    <w:p>
      <w:pPr>
        <w:spacing w:after="0" w:line="13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Pascal W. Di Fronzo </w:t>
      </w:r>
      <w:r>
        <w:rPr>
          <w:rFonts w:ascii="Arial" w:cs="Arial" w:eastAsia="Arial" w:hAnsi="Arial"/>
          <w:sz w:val="18"/>
          <w:szCs w:val="18"/>
          <w:color w:val="auto"/>
        </w:rPr>
        <w:t>joined Autodesk in June 1998 and has served as Senior Vice President, General Counsel and Secretary since March 2007. From</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2006 to March 2007 Mr. Di Fronzo served as Vice President, General Counsel and Secretary and served as Vice President, Assistant General Counsel and Assistant Secretary from March 2005 through 2006. Previously, Mr. Di Fronzo served in other business and legal capacities in the Legal Department. Prior to joining Autodesk, he advised high technology and emerging growth companies on business and intellectual property transactions and litigation while in private practice.</w:t>
      </w:r>
    </w:p>
    <w:p>
      <w:pPr>
        <w:spacing w:after="0" w:line="139"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Amar Hanspal </w:t>
      </w:r>
      <w:r>
        <w:rPr>
          <w:rFonts w:ascii="Arial" w:cs="Arial" w:eastAsia="Arial" w:hAnsi="Arial"/>
          <w:sz w:val="18"/>
          <w:szCs w:val="18"/>
          <w:color w:val="auto"/>
        </w:rPr>
        <w:t>joined Autodesk in June 1987 and serves as Senior Vice President, Platform Solutions and Emerging Business. From January 2003 to</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2007, Mr. Hanspal served as Vice President of Autodesk Collaboration Solutions. He served as Vice President of Marketing of RedSpark, Inc., a spin-off of Autodesk focused on building a collaborative product development system for the discrete manufacturing industry, from April 2000 to December 2001. He has also held other executive and non-executive positions at Autodesk.</w:t>
      </w:r>
    </w:p>
    <w:p>
      <w:pPr>
        <w:spacing w:after="0" w:line="136"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Robert Kross </w:t>
      </w:r>
      <w:r>
        <w:rPr>
          <w:rFonts w:ascii="Arial" w:cs="Arial" w:eastAsia="Arial" w:hAnsi="Arial"/>
          <w:sz w:val="16"/>
          <w:szCs w:val="16"/>
          <w:color w:val="auto"/>
        </w:rPr>
        <w:t>has served as Senior Vice President, Manufacturing since March 2007. Since joining Autodesk in November 1993, Mr. Kross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of the Manufacturing Division from December 2002 to March 2007 and a director in the Manufacturing Division from February 1998 to December 2002. Prior to that, he was President and co-founder of Woodbourne Inc., a provider of parametric design tools that was acquired by Autodesk in 1993.</w:t>
      </w:r>
    </w:p>
    <w:p>
      <w:pPr>
        <w:spacing w:after="0" w:line="97" w:lineRule="exact"/>
        <w:rPr>
          <w:sz w:val="20"/>
          <w:szCs w:val="20"/>
          <w:color w:val="auto"/>
        </w:rPr>
      </w:pPr>
    </w:p>
    <w:p>
      <w:pPr>
        <w:ind w:right="320" w:firstLine="456"/>
        <w:spacing w:after="0" w:line="258" w:lineRule="auto"/>
        <w:rPr>
          <w:sz w:val="20"/>
          <w:szCs w:val="20"/>
          <w:color w:val="auto"/>
        </w:rPr>
      </w:pPr>
      <w:r>
        <w:rPr>
          <w:rFonts w:ascii="Arial" w:cs="Arial" w:eastAsia="Arial" w:hAnsi="Arial"/>
          <w:sz w:val="18"/>
          <w:szCs w:val="18"/>
          <w:b w:val="1"/>
          <w:bCs w:val="1"/>
          <w:color w:val="auto"/>
        </w:rPr>
        <w:t xml:space="preserve">Marc Petit </w:t>
      </w:r>
      <w:r>
        <w:rPr>
          <w:rFonts w:ascii="Arial" w:cs="Arial" w:eastAsia="Arial" w:hAnsi="Arial"/>
          <w:sz w:val="18"/>
          <w:szCs w:val="18"/>
          <w:color w:val="auto"/>
        </w:rPr>
        <w:t>joined Autodesk in October 2002 and serves as Senior Vice President, Media and Entertainment. He served as Vice President of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Operations for the Media and Entertainment Division from October 2002 to March 2007. Prior to joining Autodesk, Mr. Petit was Vice President of Operations for Aptilon Health, an online interactive marketing company and held various executive positions at Softimage Inc between 1991 and 2000.</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family relationship among any of our directors or executive officers.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is incorporated herein by reference to the section entitled “Executive Compensation,” in our Proxy Statement.</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right="62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 entitled “Security Ownership of Certain Beneficial Owners and Management,” and “Executive Compensation—Equity Compensation Plan Information” in our Proxy Statement.</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Party Transactions” and “Corporate Governance—Independence of the Board of Directors” in our Proxy Statement.</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Two—Ratification of the Appointment of Independent Registered Public Accounting Firm” in our Proxy Statement.</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100</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840" w:hanging="376"/>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90" w:lineRule="exact"/>
        <w:rPr>
          <w:rFonts w:ascii="Arial" w:cs="Arial" w:eastAsia="Arial" w:hAnsi="Arial"/>
          <w:sz w:val="18"/>
          <w:szCs w:val="18"/>
          <w:color w:val="auto"/>
        </w:rPr>
      </w:pPr>
    </w:p>
    <w:p>
      <w:pPr>
        <w:ind w:left="460" w:right="20" w:firstLine="443"/>
        <w:spacing w:after="0" w:line="259" w:lineRule="auto"/>
        <w:tabs>
          <w:tab w:leader="none" w:pos="1205"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information concerning Autodesk’s financial statements, and Report of Ernst &amp; Young LLP, Independent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Accounting Firm required by this Item is incorporated by reference herein to the section of this Report in Item 8, entitled “Financial Statements and Supplementary Data.”</w:t>
      </w:r>
    </w:p>
    <w:p>
      <w:pPr>
        <w:spacing w:after="0" w:line="59" w:lineRule="exact"/>
        <w:rPr>
          <w:rFonts w:ascii="Arial" w:cs="Arial" w:eastAsia="Arial" w:hAnsi="Arial"/>
          <w:sz w:val="18"/>
          <w:szCs w:val="18"/>
          <w:color w:val="auto"/>
        </w:rPr>
      </w:pPr>
    </w:p>
    <w:p>
      <w:pPr>
        <w:ind w:left="460" w:right="60" w:firstLine="443"/>
        <w:spacing w:after="0" w:line="332" w:lineRule="auto"/>
        <w:tabs>
          <w:tab w:leader="none" w:pos="1205"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Financial Statement Schedule</w:t>
      </w:r>
      <w:r>
        <w:rPr>
          <w:rFonts w:ascii="Arial" w:cs="Arial" w:eastAsia="Arial" w:hAnsi="Arial"/>
          <w:sz w:val="16"/>
          <w:szCs w:val="16"/>
          <w:color w:val="auto"/>
        </w:rPr>
        <w:t>: The following financial statement schedule of Autodesk, Inc., for the fiscal years ended January 31, 2011, 2010</w:t>
      </w:r>
      <w:r>
        <w:rPr>
          <w:rFonts w:ascii="Arial" w:cs="Arial" w:eastAsia="Arial" w:hAnsi="Arial"/>
          <w:sz w:val="16"/>
          <w:szCs w:val="16"/>
          <w:i w:val="1"/>
          <w:iCs w:val="1"/>
          <w:color w:val="auto"/>
        </w:rPr>
        <w:t xml:space="preserve"> </w:t>
      </w:r>
      <w:r>
        <w:rPr>
          <w:rFonts w:ascii="Arial" w:cs="Arial" w:eastAsia="Arial" w:hAnsi="Arial"/>
          <w:sz w:val="16"/>
          <w:szCs w:val="16"/>
          <w:color w:val="auto"/>
        </w:rPr>
        <w:t>and 2009, is filed as part of this Report and should be read in conjunction with the Consolidated Financial Statements of Autodesk, Inc.</w:t>
      </w:r>
    </w:p>
    <w:p>
      <w:pPr>
        <w:spacing w:after="0" w:line="85" w:lineRule="exact"/>
        <w:rPr>
          <w:sz w:val="20"/>
          <w:szCs w:val="20"/>
          <w:color w:val="auto"/>
        </w:rPr>
      </w:pPr>
    </w:p>
    <w:p>
      <w:pPr>
        <w:ind w:left="900"/>
        <w:spacing w:after="0"/>
        <w:tabs>
          <w:tab w:leader="none" w:pos="1860" w:val="left"/>
        </w:tabs>
        <w:rPr>
          <w:sz w:val="20"/>
          <w:szCs w:val="20"/>
          <w:color w:val="auto"/>
        </w:rPr>
      </w:pPr>
      <w:r>
        <w:rPr>
          <w:rFonts w:ascii="Arial" w:cs="Arial" w:eastAsia="Arial" w:hAnsi="Arial"/>
          <w:sz w:val="18"/>
          <w:szCs w:val="18"/>
          <w:color w:val="auto"/>
        </w:rPr>
        <w:t>Schedule II</w:t>
      </w:r>
      <w:r>
        <w:rPr>
          <w:sz w:val="20"/>
          <w:szCs w:val="20"/>
          <w:color w:val="auto"/>
        </w:rPr>
        <w:tab/>
      </w:r>
      <w:r>
        <w:rPr>
          <w:rFonts w:ascii="Arial" w:cs="Arial" w:eastAsia="Arial" w:hAnsi="Arial"/>
          <w:sz w:val="16"/>
          <w:szCs w:val="16"/>
          <w:color w:val="auto"/>
        </w:rPr>
        <w:t>Valuation and Qualifying Accounts</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51" w:lineRule="exact"/>
        <w:rPr>
          <w:sz w:val="20"/>
          <w:szCs w:val="20"/>
          <w:color w:val="auto"/>
        </w:rPr>
      </w:pPr>
    </w:p>
    <w:p>
      <w:pPr>
        <w:ind w:left="460" w:right="140" w:firstLine="443"/>
        <w:spacing w:after="0" w:line="268" w:lineRule="auto"/>
        <w:tabs>
          <w:tab w:leader="none" w:pos="1205"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Report by reference, the exhibits listed on the accompanying Index to</w:t>
      </w:r>
      <w:r>
        <w:rPr>
          <w:rFonts w:ascii="Arial" w:cs="Arial" w:eastAsia="Arial" w:hAnsi="Arial"/>
          <w:sz w:val="18"/>
          <w:szCs w:val="18"/>
          <w:i w:val="1"/>
          <w:iCs w:val="1"/>
          <w:color w:val="auto"/>
        </w:rPr>
        <w:t xml:space="preserve"> </w:t>
      </w:r>
      <w:r>
        <w:rPr>
          <w:rFonts w:ascii="Arial" w:cs="Arial" w:eastAsia="Arial" w:hAnsi="Arial"/>
          <w:sz w:val="18"/>
          <w:szCs w:val="18"/>
          <w:color w:val="auto"/>
        </w:rPr>
        <w:t>Exhibits immediately following the signature page of this Form 10-K.</w:t>
      </w:r>
    </w:p>
    <w:p>
      <w:pPr>
        <w:spacing w:after="0" w:line="131" w:lineRule="exact"/>
        <w:rPr>
          <w:rFonts w:ascii="Arial" w:cs="Arial" w:eastAsia="Arial" w:hAnsi="Arial"/>
          <w:sz w:val="18"/>
          <w:szCs w:val="18"/>
          <w:color w:val="auto"/>
        </w:rPr>
      </w:pPr>
    </w:p>
    <w:p>
      <w:pPr>
        <w:ind w:left="840" w:hanging="376"/>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filed, or incorporated into the Report by reference, the exhibits listed on the accompanying Index to Exhibits immediately following the signature page of this Form 10-K.</w:t>
      </w:r>
    </w:p>
    <w:p>
      <w:pPr>
        <w:spacing w:after="0" w:line="132" w:lineRule="exact"/>
        <w:rPr>
          <w:sz w:val="20"/>
          <w:szCs w:val="20"/>
          <w:color w:val="auto"/>
        </w:rPr>
      </w:pPr>
    </w:p>
    <w:p>
      <w:pPr>
        <w:ind w:left="840" w:hanging="376"/>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Financial Statement Schedules: See Item 15(a), above.</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15(A)(2)</w:t>
      </w:r>
      <w:r>
        <w:rPr>
          <w:sz w:val="20"/>
          <w:szCs w:val="20"/>
          <w:color w:val="auto"/>
        </w:rPr>
        <w:tab/>
      </w:r>
      <w:r>
        <w:rPr>
          <w:rFonts w:ascii="Arial" w:cs="Arial" w:eastAsia="Arial" w:hAnsi="Arial"/>
          <w:sz w:val="16"/>
          <w:szCs w:val="16"/>
          <w:b w:val="1"/>
          <w:bCs w:val="1"/>
          <w:color w:val="auto"/>
        </w:rPr>
        <w:t>FINANCIAL STATEMENT SCHEDULE II</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3"/>
          </w:tcPr>
          <w:p>
            <w:pPr>
              <w:jc w:val="center"/>
              <w:ind w:right="692"/>
              <w:spacing w:after="0"/>
              <w:rPr>
                <w:sz w:val="20"/>
                <w:szCs w:val="20"/>
                <w:color w:val="auto"/>
              </w:rPr>
            </w:pPr>
            <w:r>
              <w:rPr>
                <w:rFonts w:ascii="Arial" w:cs="Arial" w:eastAsia="Arial" w:hAnsi="Arial"/>
                <w:sz w:val="14"/>
                <w:szCs w:val="14"/>
                <w:b w:val="1"/>
                <w:bCs w:val="1"/>
                <w:color w:val="auto"/>
                <w:w w:val="86"/>
              </w:rPr>
              <w:t>Additions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3"/>
          </w:tcPr>
          <w:p>
            <w:pPr>
              <w:jc w:val="center"/>
              <w:ind w:right="692"/>
              <w:spacing w:after="0" w:line="149" w:lineRule="exact"/>
              <w:rPr>
                <w:sz w:val="20"/>
                <w:szCs w:val="20"/>
                <w:color w:val="auto"/>
              </w:rPr>
            </w:pPr>
            <w:r>
              <w:rPr>
                <w:rFonts w:ascii="Arial" w:cs="Arial" w:eastAsia="Arial" w:hAnsi="Arial"/>
                <w:sz w:val="14"/>
                <w:szCs w:val="14"/>
                <w:b w:val="1"/>
                <w:bCs w:val="1"/>
                <w:color w:val="auto"/>
                <w:w w:val="86"/>
              </w:rPr>
              <w:t>Charged to</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 at</w:t>
            </w:r>
          </w:p>
        </w:tc>
        <w:tc>
          <w:tcPr>
            <w:tcW w:w="380" w:type="dxa"/>
            <w:vAlign w:val="bottom"/>
          </w:tcPr>
          <w:p>
            <w:pPr>
              <w:spacing w:after="0"/>
              <w:rPr>
                <w:sz w:val="12"/>
                <w:szCs w:val="12"/>
                <w:color w:val="auto"/>
              </w:rPr>
            </w:pPr>
          </w:p>
        </w:tc>
        <w:tc>
          <w:tcPr>
            <w:tcW w:w="1440" w:type="dxa"/>
            <w:vAlign w:val="bottom"/>
            <w:gridSpan w:val="3"/>
          </w:tcPr>
          <w:p>
            <w:pPr>
              <w:jc w:val="center"/>
              <w:ind w:right="692"/>
              <w:spacing w:after="0" w:line="149" w:lineRule="exact"/>
              <w:rPr>
                <w:sz w:val="20"/>
                <w:szCs w:val="20"/>
                <w:color w:val="auto"/>
              </w:rPr>
            </w:pPr>
            <w:r>
              <w:rPr>
                <w:rFonts w:ascii="Arial" w:cs="Arial" w:eastAsia="Arial" w:hAnsi="Arial"/>
                <w:sz w:val="14"/>
                <w:szCs w:val="14"/>
                <w:b w:val="1"/>
                <w:bCs w:val="1"/>
                <w:color w:val="auto"/>
                <w:w w:val="82"/>
              </w:rPr>
              <w:t>Costs and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Deductions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380" w:type="dxa"/>
            <w:vAlign w:val="bottom"/>
          </w:tcPr>
          <w:p>
            <w:pPr>
              <w:spacing w:after="0"/>
              <w:rPr>
                <w:sz w:val="12"/>
                <w:szCs w:val="12"/>
                <w:color w:val="auto"/>
              </w:rPr>
            </w:pPr>
          </w:p>
        </w:tc>
        <w:tc>
          <w:tcPr>
            <w:tcW w:w="1440" w:type="dxa"/>
            <w:vAlign w:val="bottom"/>
            <w:gridSpan w:val="3"/>
          </w:tcPr>
          <w:p>
            <w:pPr>
              <w:jc w:val="center"/>
              <w:ind w:right="672"/>
              <w:spacing w:after="0" w:line="149" w:lineRule="exact"/>
              <w:rPr>
                <w:sz w:val="20"/>
                <w:szCs w:val="20"/>
                <w:color w:val="auto"/>
              </w:rPr>
            </w:pPr>
            <w:r>
              <w:rPr>
                <w:rFonts w:ascii="Arial" w:cs="Arial" w:eastAsia="Arial" w:hAnsi="Arial"/>
                <w:sz w:val="14"/>
                <w:szCs w:val="14"/>
                <w:b w:val="1"/>
                <w:bCs w:val="1"/>
                <w:color w:val="auto"/>
                <w:w w:val="84"/>
              </w:rPr>
              <w:t>Expenses or</w:t>
            </w:r>
          </w:p>
        </w:tc>
        <w:tc>
          <w:tcPr>
            <w:tcW w:w="160" w:type="dxa"/>
            <w:vAlign w:val="bottom"/>
          </w:tcPr>
          <w:p>
            <w:pPr>
              <w:spacing w:after="0"/>
              <w:rPr>
                <w:sz w:val="12"/>
                <w:szCs w:val="12"/>
                <w:color w:val="auto"/>
              </w:rPr>
            </w:pPr>
          </w:p>
        </w:tc>
        <w:tc>
          <w:tcPr>
            <w:tcW w:w="8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and</w:t>
            </w:r>
          </w:p>
        </w:tc>
        <w:tc>
          <w:tcPr>
            <w:tcW w:w="36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1"/>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of Year</w:t>
            </w:r>
          </w:p>
        </w:tc>
        <w:tc>
          <w:tcPr>
            <w:tcW w:w="380" w:type="dxa"/>
            <w:vAlign w:val="bottom"/>
          </w:tcPr>
          <w:p>
            <w:pPr>
              <w:spacing w:after="0"/>
              <w:rPr>
                <w:sz w:val="14"/>
                <w:szCs w:val="14"/>
                <w:color w:val="auto"/>
              </w:rPr>
            </w:pPr>
          </w:p>
        </w:tc>
        <w:tc>
          <w:tcPr>
            <w:tcW w:w="1440" w:type="dxa"/>
            <w:vAlign w:val="bottom"/>
            <w:gridSpan w:val="3"/>
          </w:tcPr>
          <w:p>
            <w:pPr>
              <w:jc w:val="center"/>
              <w:ind w:right="672"/>
              <w:spacing w:after="0"/>
              <w:rPr>
                <w:sz w:val="20"/>
                <w:szCs w:val="20"/>
                <w:color w:val="auto"/>
              </w:rPr>
            </w:pPr>
            <w:r>
              <w:rPr>
                <w:rFonts w:ascii="Arial" w:cs="Arial" w:eastAsia="Arial" w:hAnsi="Arial"/>
                <w:sz w:val="14"/>
                <w:szCs w:val="14"/>
                <w:b w:val="1"/>
                <w:bCs w:val="1"/>
                <w:color w:val="auto"/>
                <w:w w:val="81"/>
              </w:rPr>
              <w:t>Revenues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Write-Offs</w:t>
            </w:r>
          </w:p>
        </w:tc>
        <w:tc>
          <w:tcPr>
            <w:tcW w:w="3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7"/>
              </w:rPr>
              <w:t>End of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January 31, 2011</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Allowance for doubtful accounts</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4.6</w:t>
            </w:r>
          </w:p>
        </w:tc>
        <w:tc>
          <w:tcPr>
            <w:tcW w:w="6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12"/>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Product returns reserves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672"/>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24.5</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January 31, 2010</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Allowance for doubtful accounts</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8.6</w:t>
            </w:r>
          </w:p>
        </w:tc>
        <w:tc>
          <w:tcPr>
            <w:tcW w:w="6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72"/>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5.7</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Product returns reserves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43.9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672"/>
              <w:spacing w:after="0"/>
              <w:rPr>
                <w:sz w:val="20"/>
                <w:szCs w:val="20"/>
                <w:color w:val="auto"/>
              </w:rPr>
            </w:pPr>
            <w:r>
              <w:rPr>
                <w:rFonts w:ascii="Arial" w:cs="Arial" w:eastAsia="Arial" w:hAnsi="Arial"/>
                <w:sz w:val="18"/>
                <w:szCs w:val="18"/>
                <w:color w:val="auto"/>
              </w:rPr>
              <w:t>48.9</w:t>
            </w:r>
          </w:p>
        </w:tc>
        <w:tc>
          <w:tcPr>
            <w:tcW w:w="16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73.4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January 31, 2009</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Allowance for doubtful accounts</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7.8</w:t>
            </w:r>
          </w:p>
        </w:tc>
        <w:tc>
          <w:tcPr>
            <w:tcW w:w="6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72"/>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Product returns reserves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53.1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672"/>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UTODESK</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1" w:lineRule="exact"/>
        <w:rPr>
          <w:sz w:val="20"/>
          <w:szCs w:val="20"/>
          <w:color w:val="auto"/>
        </w:rPr>
      </w:pPr>
    </w:p>
    <w:p>
      <w:pPr>
        <w:ind w:left="6860"/>
        <w:spacing w:after="0"/>
        <w:tabs>
          <w:tab w:leader="none" w:pos="8560" w:val="left"/>
          <w:tab w:leader="none" w:pos="8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ARL</w:t>
      </w:r>
      <w:r>
        <w:rPr>
          <w:rFonts w:ascii="Arial" w:cs="Arial" w:eastAsia="Arial" w:hAnsi="Arial"/>
          <w:sz w:val="16"/>
          <w:szCs w:val="16"/>
          <w:color w:val="auto"/>
        </w:rPr>
        <w:t xml:space="preserve"> B</w:t>
      </w:r>
      <w:r>
        <w:rPr>
          <w:rFonts w:ascii="Arial" w:cs="Arial" w:eastAsia="Arial" w:hAnsi="Arial"/>
          <w:sz w:val="13"/>
          <w:szCs w:val="13"/>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Carl Bass</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Executive Officer and President</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18, 2011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102</w:t>
      </w:r>
    </w:p>
    <w:p>
      <w:pPr>
        <w:sectPr>
          <w:pgSz w:w="11900" w:h="16838" w:orient="portrait"/>
          <w:cols w:equalWidth="0" w:num="1">
            <w:col w:w="10900"/>
          </w:cols>
          <w:pgMar w:left="240" w:top="459" w:right="7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Carl Bass and Mark J.</w:t>
      </w:r>
      <w:r>
        <w:rPr>
          <w:rFonts w:ascii="Arial" w:cs="Arial" w:eastAsia="Arial" w:hAnsi="Arial"/>
          <w:sz w:val="16"/>
          <w:szCs w:val="16"/>
          <w:b w:val="1"/>
          <w:bCs w:val="1"/>
          <w:color w:val="auto"/>
        </w:rPr>
        <w:t xml:space="preserve"> </w:t>
      </w:r>
      <w:r>
        <w:rPr>
          <w:rFonts w:ascii="Arial" w:cs="Arial" w:eastAsia="Arial" w:hAnsi="Arial"/>
          <w:sz w:val="16"/>
          <w:szCs w:val="16"/>
          <w:color w:val="auto"/>
        </w:rPr>
        <w:t>Hawkins each as his or her 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03"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as of March 18, 2011.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380" w:type="dxa"/>
            <w:vAlign w:val="bottom"/>
          </w:tcPr>
          <w:p>
            <w:pPr>
              <w:spacing w:after="0"/>
              <w:rPr>
                <w:sz w:val="14"/>
                <w:szCs w:val="14"/>
                <w:color w:val="auto"/>
              </w:rPr>
            </w:pPr>
          </w:p>
        </w:tc>
      </w:tr>
      <w:tr>
        <w:trPr>
          <w:trHeight w:val="424"/>
        </w:trPr>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Chief Executive Officer and President</w:t>
            </w:r>
          </w:p>
        </w:tc>
      </w:tr>
      <w:tr>
        <w:trPr>
          <w:trHeight w:val="202"/>
        </w:trPr>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0" w:type="dxa"/>
            <w:vAlign w:val="bottom"/>
            <w:gridSpan w:val="2"/>
          </w:tcPr>
          <w:p>
            <w:pPr>
              <w:jc w:val="center"/>
              <w:ind w:right="2600"/>
              <w:spacing w:after="0"/>
              <w:rPr>
                <w:sz w:val="20"/>
                <w:szCs w:val="20"/>
                <w:color w:val="auto"/>
              </w:rPr>
            </w:pPr>
            <w:r>
              <w:rPr>
                <w:rFonts w:ascii="Arial" w:cs="Arial" w:eastAsia="Arial" w:hAnsi="Arial"/>
                <w:sz w:val="14"/>
                <w:szCs w:val="14"/>
                <w:b w:val="1"/>
                <w:bCs w:val="1"/>
                <w:color w:val="auto"/>
                <w:w w:val="86"/>
              </w:rPr>
              <w:t>Carl Bass</w:t>
            </w:r>
          </w:p>
        </w:tc>
        <w:tc>
          <w:tcPr>
            <w:tcW w:w="362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(Principal Executive Officer)</w:t>
            </w:r>
          </w:p>
        </w:tc>
      </w:tr>
      <w:tr>
        <w:trPr>
          <w:trHeight w:val="426"/>
        </w:trPr>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gridSpan w:val="3"/>
          </w:tcPr>
          <w:p>
            <w:pPr>
              <w:jc w:val="center"/>
              <w:ind w:right="2100"/>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ARK</w:t>
            </w:r>
            <w:r>
              <w:rPr>
                <w:rFonts w:ascii="Arial" w:cs="Arial" w:eastAsia="Arial" w:hAnsi="Arial"/>
                <w:sz w:val="18"/>
                <w:szCs w:val="18"/>
                <w:color w:val="auto"/>
                <w:w w:val="99"/>
              </w:rPr>
              <w:t xml:space="preserve"> J. H</w:t>
            </w:r>
            <w:r>
              <w:rPr>
                <w:rFonts w:ascii="Arial" w:cs="Arial" w:eastAsia="Arial" w:hAnsi="Arial"/>
                <w:sz w:val="14"/>
                <w:szCs w:val="14"/>
                <w:color w:val="auto"/>
                <w:w w:val="99"/>
              </w:rPr>
              <w:t>AWKINS</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Executive Vice President and</w:t>
            </w:r>
          </w:p>
        </w:tc>
      </w:tr>
      <w:tr>
        <w:trPr>
          <w:trHeight w:val="190"/>
        </w:trPr>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1"/>
              </w:rPr>
              <w:t>Mark J. Hawkins</w:t>
            </w:r>
          </w:p>
        </w:tc>
        <w:tc>
          <w:tcPr>
            <w:tcW w:w="3620" w:type="dxa"/>
            <w:vAlign w:val="bottom"/>
            <w:gridSpan w:val="3"/>
          </w:tcPr>
          <w:p>
            <w:pPr>
              <w:ind w:left="800"/>
              <w:spacing w:after="0" w:line="190" w:lineRule="exact"/>
              <w:rPr>
                <w:sz w:val="20"/>
                <w:szCs w:val="20"/>
                <w:color w:val="auto"/>
              </w:rPr>
            </w:pPr>
            <w:r>
              <w:rPr>
                <w:rFonts w:ascii="Arial" w:cs="Arial" w:eastAsia="Arial" w:hAnsi="Arial"/>
                <w:sz w:val="18"/>
                <w:szCs w:val="18"/>
                <w:color w:val="auto"/>
              </w:rPr>
              <w:t>Chief Financial Officer</w:t>
            </w:r>
          </w:p>
        </w:tc>
      </w:tr>
      <w:tr>
        <w:trPr>
          <w:trHeight w:val="216"/>
        </w:trPr>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620" w:type="dxa"/>
            <w:vAlign w:val="bottom"/>
            <w:gridSpan w:val="3"/>
          </w:tcPr>
          <w:p>
            <w:pPr>
              <w:ind w:left="800"/>
              <w:spacing w:after="0"/>
              <w:rPr>
                <w:sz w:val="20"/>
                <w:szCs w:val="20"/>
                <w:color w:val="auto"/>
              </w:rPr>
            </w:pPr>
            <w:r>
              <w:rPr>
                <w:rFonts w:ascii="Arial" w:cs="Arial" w:eastAsia="Arial" w:hAnsi="Arial"/>
                <w:sz w:val="18"/>
                <w:szCs w:val="18"/>
                <w:color w:val="auto"/>
              </w:rPr>
              <w:t>(Principal Financial Officer and</w:t>
            </w:r>
          </w:p>
        </w:tc>
      </w:tr>
      <w:tr>
        <w:trPr>
          <w:trHeight w:val="222"/>
        </w:trPr>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620" w:type="dxa"/>
            <w:vAlign w:val="bottom"/>
            <w:gridSpan w:val="3"/>
          </w:tcPr>
          <w:p>
            <w:pPr>
              <w:ind w:left="800"/>
              <w:spacing w:after="0"/>
              <w:rPr>
                <w:sz w:val="20"/>
                <w:szCs w:val="20"/>
                <w:color w:val="auto"/>
              </w:rPr>
            </w:pPr>
            <w:r>
              <w:rPr>
                <w:rFonts w:ascii="Arial" w:cs="Arial" w:eastAsia="Arial" w:hAnsi="Arial"/>
                <w:sz w:val="18"/>
                <w:szCs w:val="18"/>
                <w:color w:val="auto"/>
              </w:rPr>
              <w:t>Principal Accounting Officer)</w:t>
            </w:r>
          </w:p>
        </w:tc>
      </w:tr>
      <w:tr>
        <w:trPr>
          <w:trHeight w:val="432"/>
        </w:trPr>
        <w:tc>
          <w:tcPr>
            <w:tcW w:w="18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w w:val="83"/>
              </w:rPr>
              <w:t>/s/</w:t>
            </w:r>
          </w:p>
        </w:tc>
        <w:tc>
          <w:tcPr>
            <w:tcW w:w="4020" w:type="dxa"/>
            <w:vAlign w:val="bottom"/>
            <w:tcBorders>
              <w:bottom w:val="single" w:sz="8" w:color="auto"/>
            </w:tcBorders>
            <w:gridSpan w:val="4"/>
          </w:tcPr>
          <w:p>
            <w:pPr>
              <w:jc w:val="center"/>
              <w:ind w:right="1740"/>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RAWFORD</w:t>
            </w:r>
            <w:r>
              <w:rPr>
                <w:rFonts w:ascii="Arial" w:cs="Arial" w:eastAsia="Arial" w:hAnsi="Arial"/>
                <w:sz w:val="18"/>
                <w:szCs w:val="18"/>
                <w:color w:val="auto"/>
                <w:w w:val="97"/>
              </w:rPr>
              <w:t xml:space="preserve"> W. B</w:t>
            </w:r>
            <w:r>
              <w:rPr>
                <w:rFonts w:ascii="Arial" w:cs="Arial" w:eastAsia="Arial" w:hAnsi="Arial"/>
                <w:sz w:val="14"/>
                <w:szCs w:val="14"/>
                <w:color w:val="auto"/>
                <w:w w:val="97"/>
              </w:rPr>
              <w:t>EVERIDGE</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02"/>
        </w:trPr>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Crawford W. Beveridge</w:t>
            </w:r>
          </w:p>
        </w:tc>
        <w:tc>
          <w:tcPr>
            <w:tcW w:w="3620" w:type="dxa"/>
            <w:vAlign w:val="bottom"/>
            <w:gridSpan w:val="3"/>
          </w:tcPr>
          <w:p>
            <w:pPr>
              <w:ind w:left="800"/>
              <w:spacing w:after="0" w:line="202" w:lineRule="exact"/>
              <w:rPr>
                <w:sz w:val="20"/>
                <w:szCs w:val="20"/>
                <w:color w:val="auto"/>
              </w:rPr>
            </w:pPr>
            <w:r>
              <w:rPr>
                <w:rFonts w:ascii="Arial" w:cs="Arial" w:eastAsia="Arial" w:hAnsi="Arial"/>
                <w:sz w:val="18"/>
                <w:szCs w:val="18"/>
                <w:color w:val="auto"/>
                <w:w w:val="89"/>
              </w:rPr>
              <w:t>(Non-executive Chairman of the Board)</w:t>
            </w:r>
          </w:p>
        </w:tc>
      </w:tr>
      <w:tr>
        <w:trPr>
          <w:trHeight w:val="427"/>
        </w:trPr>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gridSpan w:val="3"/>
          </w:tcPr>
          <w:p>
            <w:pPr>
              <w:jc w:val="center"/>
              <w:ind w:right="2080"/>
              <w:spacing w:after="0"/>
              <w:rPr>
                <w:sz w:val="20"/>
                <w:szCs w:val="20"/>
                <w:color w:val="auto"/>
              </w:rPr>
            </w:pPr>
            <w:r>
              <w:rPr>
                <w:rFonts w:ascii="Arial" w:cs="Arial" w:eastAsia="Arial" w:hAnsi="Arial"/>
                <w:sz w:val="18"/>
                <w:szCs w:val="18"/>
                <w:color w:val="auto"/>
              </w:rPr>
              <w:t>J. H</w:t>
            </w:r>
            <w:r>
              <w:rPr>
                <w:rFonts w:ascii="Arial" w:cs="Arial" w:eastAsia="Arial" w:hAnsi="Arial"/>
                <w:sz w:val="14"/>
                <w:szCs w:val="14"/>
                <w:color w:val="auto"/>
              </w:rPr>
              <w:t>ALLAM</w:t>
            </w:r>
            <w:r>
              <w:rPr>
                <w:rFonts w:ascii="Arial" w:cs="Arial" w:eastAsia="Arial" w:hAnsi="Arial"/>
                <w:sz w:val="18"/>
                <w:szCs w:val="18"/>
                <w:color w:val="auto"/>
              </w:rPr>
              <w:t xml:space="preserve"> D</w:t>
            </w:r>
            <w:r>
              <w:rPr>
                <w:rFonts w:ascii="Arial" w:cs="Arial" w:eastAsia="Arial" w:hAnsi="Arial"/>
                <w:sz w:val="14"/>
                <w:szCs w:val="14"/>
                <w:color w:val="auto"/>
              </w:rPr>
              <w:t>AWSON</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7"/>
              </w:rPr>
              <w:t>J. Hallam Dawson</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419"/>
        </w:trPr>
        <w:tc>
          <w:tcPr>
            <w:tcW w:w="180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w w:val="94"/>
              </w:rPr>
              <w:t>/s/</w:t>
            </w:r>
          </w:p>
        </w:tc>
        <w:tc>
          <w:tcPr>
            <w:tcW w:w="4020" w:type="dxa"/>
            <w:vAlign w:val="bottom"/>
            <w:tcBorders>
              <w:bottom w:val="single" w:sz="8" w:color="auto"/>
            </w:tcBorders>
            <w:gridSpan w:val="4"/>
          </w:tcPr>
          <w:p>
            <w:pPr>
              <w:jc w:val="center"/>
              <w:ind w:right="1720"/>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ER</w:t>
            </w:r>
            <w:r>
              <w:rPr>
                <w:rFonts w:ascii="Arial" w:cs="Arial" w:eastAsia="Arial" w:hAnsi="Arial"/>
                <w:sz w:val="18"/>
                <w:szCs w:val="18"/>
                <w:color w:val="auto"/>
                <w:w w:val="99"/>
              </w:rPr>
              <w:t>-K</w:t>
            </w:r>
            <w:r>
              <w:rPr>
                <w:rFonts w:ascii="Arial" w:cs="Arial" w:eastAsia="Arial" w:hAnsi="Arial"/>
                <w:sz w:val="14"/>
                <w:szCs w:val="14"/>
                <w:color w:val="auto"/>
                <w:w w:val="99"/>
              </w:rPr>
              <w:t>RISTIAN</w:t>
            </w:r>
            <w:r>
              <w:rPr>
                <w:rFonts w:ascii="Arial" w:cs="Arial" w:eastAsia="Arial" w:hAnsi="Arial"/>
                <w:sz w:val="18"/>
                <w:szCs w:val="18"/>
                <w:color w:val="auto"/>
                <w:w w:val="99"/>
              </w:rPr>
              <w:t xml:space="preserve"> H</w:t>
            </w:r>
            <w:r>
              <w:rPr>
                <w:rFonts w:ascii="Arial" w:cs="Arial" w:eastAsia="Arial" w:hAnsi="Arial"/>
                <w:sz w:val="14"/>
                <w:szCs w:val="14"/>
                <w:color w:val="auto"/>
                <w:w w:val="99"/>
              </w:rPr>
              <w:t>ALVORSEN</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0"/>
              </w:rPr>
              <w:t>Per-Kristian Halvorsen</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419"/>
        </w:trPr>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gridSpan w:val="3"/>
          </w:tcPr>
          <w:p>
            <w:pPr>
              <w:jc w:val="center"/>
              <w:ind w:right="21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EAN</w:t>
            </w:r>
            <w:r>
              <w:rPr>
                <w:rFonts w:ascii="Arial" w:cs="Arial" w:eastAsia="Arial" w:hAnsi="Arial"/>
                <w:sz w:val="18"/>
                <w:szCs w:val="18"/>
                <w:color w:val="auto"/>
              </w:rPr>
              <w:t xml:space="preserve"> M. M</w:t>
            </w:r>
            <w:r>
              <w:rPr>
                <w:rFonts w:ascii="Arial" w:cs="Arial" w:eastAsia="Arial" w:hAnsi="Arial"/>
                <w:sz w:val="14"/>
                <w:szCs w:val="14"/>
                <w:color w:val="auto"/>
              </w:rPr>
              <w:t>ALONEY</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Sean M. Maloney</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419"/>
        </w:trPr>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gridSpan w:val="3"/>
          </w:tcPr>
          <w:p>
            <w:pPr>
              <w:jc w:val="center"/>
              <w:ind w:right="2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ARY</w:t>
            </w:r>
            <w:r>
              <w:rPr>
                <w:rFonts w:ascii="Arial" w:cs="Arial" w:eastAsia="Arial" w:hAnsi="Arial"/>
                <w:sz w:val="18"/>
                <w:szCs w:val="18"/>
                <w:color w:val="auto"/>
              </w:rPr>
              <w:t xml:space="preserve"> T. M</w:t>
            </w:r>
            <w:r>
              <w:rPr>
                <w:rFonts w:ascii="Arial" w:cs="Arial" w:eastAsia="Arial" w:hAnsi="Arial"/>
                <w:sz w:val="14"/>
                <w:szCs w:val="14"/>
                <w:color w:val="auto"/>
              </w:rPr>
              <w:t>CDOWELL</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1"/>
              </w:rPr>
              <w:t>Mary T. McDowell</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419"/>
        </w:trPr>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73"/>
              </w:rPr>
              <w:t>/s/</w:t>
            </w:r>
          </w:p>
        </w:tc>
        <w:tc>
          <w:tcPr>
            <w:tcW w:w="3660" w:type="dxa"/>
            <w:vAlign w:val="bottom"/>
            <w:tcBorders>
              <w:bottom w:val="single" w:sz="8" w:color="auto"/>
            </w:tcBorders>
            <w:gridSpan w:val="3"/>
          </w:tcPr>
          <w:p>
            <w:pPr>
              <w:jc w:val="center"/>
              <w:ind w:right="2080"/>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HARLES</w:t>
            </w:r>
            <w:r>
              <w:rPr>
                <w:rFonts w:ascii="Arial" w:cs="Arial" w:eastAsia="Arial" w:hAnsi="Arial"/>
                <w:sz w:val="18"/>
                <w:szCs w:val="18"/>
                <w:color w:val="auto"/>
                <w:w w:val="98"/>
              </w:rPr>
              <w:t xml:space="preserve"> R</w:t>
            </w:r>
            <w:r>
              <w:rPr>
                <w:rFonts w:ascii="Arial" w:cs="Arial" w:eastAsia="Arial" w:hAnsi="Arial"/>
                <w:sz w:val="14"/>
                <w:szCs w:val="14"/>
                <w:color w:val="auto"/>
                <w:w w:val="98"/>
              </w:rPr>
              <w:t>OBEL</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3"/>
          </w:tcPr>
          <w:p>
            <w:pPr>
              <w:jc w:val="center"/>
              <w:ind w:right="2160"/>
              <w:spacing w:after="0"/>
              <w:rPr>
                <w:sz w:val="20"/>
                <w:szCs w:val="20"/>
                <w:color w:val="auto"/>
              </w:rPr>
            </w:pPr>
            <w:r>
              <w:rPr>
                <w:rFonts w:ascii="Arial" w:cs="Arial" w:eastAsia="Arial" w:hAnsi="Arial"/>
                <w:sz w:val="14"/>
                <w:szCs w:val="14"/>
                <w:b w:val="1"/>
                <w:bCs w:val="1"/>
                <w:color w:val="auto"/>
                <w:w w:val="87"/>
              </w:rPr>
              <w:t>Charles Robel</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419"/>
        </w:trPr>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4"/>
              </w:rPr>
              <w:t>/s/</w:t>
            </w:r>
          </w:p>
        </w:tc>
        <w:tc>
          <w:tcPr>
            <w:tcW w:w="3660" w:type="dxa"/>
            <w:vAlign w:val="bottom"/>
            <w:tcBorders>
              <w:bottom w:val="single" w:sz="8" w:color="auto"/>
            </w:tcBorders>
            <w:gridSpan w:val="3"/>
          </w:tcPr>
          <w:p>
            <w:pPr>
              <w:jc w:val="center"/>
              <w:ind w:right="210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TEVEN</w:t>
            </w:r>
            <w:r>
              <w:rPr>
                <w:rFonts w:ascii="Arial" w:cs="Arial" w:eastAsia="Arial" w:hAnsi="Arial"/>
                <w:sz w:val="18"/>
                <w:szCs w:val="18"/>
                <w:color w:val="auto"/>
                <w:w w:val="96"/>
              </w:rPr>
              <w:t xml:space="preserve"> M. W</w:t>
            </w:r>
            <w:r>
              <w:rPr>
                <w:rFonts w:ascii="Arial" w:cs="Arial" w:eastAsia="Arial" w:hAnsi="Arial"/>
                <w:sz w:val="14"/>
                <w:szCs w:val="14"/>
                <w:color w:val="auto"/>
                <w:w w:val="96"/>
              </w:rPr>
              <w:t>EST</w:t>
            </w: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5"/>
              </w:rPr>
              <w:t>Steven M. West</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bl>
    <w:p>
      <w:pPr>
        <w:spacing w:after="0" w:line="124" w:lineRule="exact"/>
        <w:rPr>
          <w:sz w:val="20"/>
          <w:szCs w:val="20"/>
          <w:color w:val="auto"/>
        </w:rPr>
      </w:pPr>
    </w:p>
    <w:p>
      <w:pPr>
        <w:ind w:left="11200"/>
        <w:spacing w:after="0"/>
        <w:rPr>
          <w:sz w:val="20"/>
          <w:szCs w:val="20"/>
          <w:color w:val="auto"/>
        </w:rPr>
      </w:pPr>
      <w:r>
        <w:rPr>
          <w:rFonts w:ascii="Arial" w:cs="Arial" w:eastAsia="Arial" w:hAnsi="Arial"/>
          <w:sz w:val="11"/>
          <w:szCs w:val="11"/>
          <w:b w:val="1"/>
          <w:bCs w:val="1"/>
          <w:color w:val="auto"/>
        </w:rPr>
        <w:t>103</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43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3"/>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5440" w:type="dxa"/>
            <w:vAlign w:val="bottom"/>
            <w:vMerge w:val="restart"/>
          </w:tcPr>
          <w:p>
            <w:pPr>
              <w:ind w:left="860"/>
              <w:spacing w:after="0"/>
              <w:rPr>
                <w:sz w:val="20"/>
                <w:szCs w:val="20"/>
                <w:color w:val="auto"/>
              </w:rPr>
            </w:pPr>
            <w:r>
              <w:rPr>
                <w:rFonts w:ascii="Arial" w:cs="Arial" w:eastAsia="Arial" w:hAnsi="Arial"/>
                <w:sz w:val="18"/>
                <w:szCs w:val="18"/>
                <w:color w:val="auto"/>
                <w:w w:val="88"/>
              </w:rPr>
              <w:t>Agreement and Plan of Merger, dated as of May 1, 2008, by and</w:t>
            </w:r>
          </w:p>
        </w:tc>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40" w:type="dxa"/>
            <w:vAlign w:val="bottom"/>
            <w:vMerge w:val="continue"/>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00" w:type="dxa"/>
            <w:vAlign w:val="bottom"/>
          </w:tcPr>
          <w:p>
            <w:pPr>
              <w:ind w:left="80"/>
              <w:spacing w:after="0" w:line="201" w:lineRule="exact"/>
              <w:rPr>
                <w:sz w:val="20"/>
                <w:szCs w:val="20"/>
                <w:color w:val="auto"/>
              </w:rPr>
            </w:pPr>
            <w:r>
              <w:rPr>
                <w:rFonts w:ascii="Arial" w:cs="Arial" w:eastAsia="Arial" w:hAnsi="Arial"/>
                <w:sz w:val="18"/>
                <w:szCs w:val="18"/>
                <w:color w:val="auto"/>
              </w:rPr>
              <w:t>2.1</w:t>
            </w:r>
          </w:p>
        </w:tc>
        <w:tc>
          <w:tcPr>
            <w:tcW w:w="5440" w:type="dxa"/>
            <w:vAlign w:val="bottom"/>
            <w:vMerge w:val="continue"/>
          </w:tcPr>
          <w:p>
            <w:pPr>
              <w:spacing w:after="0"/>
              <w:rPr>
                <w:sz w:val="17"/>
                <w:szCs w:val="17"/>
                <w:color w:val="auto"/>
              </w:rPr>
            </w:pPr>
          </w:p>
        </w:tc>
        <w:tc>
          <w:tcPr>
            <w:tcW w:w="5200" w:type="dxa"/>
            <w:vAlign w:val="bottom"/>
            <w:gridSpan w:val="2"/>
          </w:tcPr>
          <w:p>
            <w:pPr>
              <w:spacing w:after="0" w:line="201" w:lineRule="exact"/>
              <w:rPr>
                <w:sz w:val="20"/>
                <w:szCs w:val="20"/>
                <w:color w:val="auto"/>
              </w:rPr>
            </w:pPr>
            <w:r>
              <w:rPr>
                <w:rFonts w:ascii="Arial" w:cs="Arial" w:eastAsia="Arial" w:hAnsi="Arial"/>
                <w:sz w:val="18"/>
                <w:szCs w:val="18"/>
                <w:color w:val="auto"/>
                <w:w w:val="96"/>
              </w:rPr>
              <w:t>among Autodesk, Inc., Switch Acquisition Corporation and Moldflow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5"/>
              </w:rPr>
              <w:t>Corporation (</w:t>
            </w:r>
            <w:r>
              <w:rPr>
                <w:rFonts w:ascii="Arial" w:cs="Arial" w:eastAsia="Arial" w:hAnsi="Arial"/>
                <w:sz w:val="18"/>
                <w:szCs w:val="18"/>
                <w:i w:val="1"/>
                <w:iCs w:val="1"/>
                <w:color w:val="auto"/>
                <w:w w:val="95"/>
              </w:rPr>
              <w:t>incorporated by reference to Exhibit 2.1 filed with the Registrant’s Current Report on Form 8-K filed on May 2, 2008</w:t>
            </w:r>
            <w:r>
              <w:rPr>
                <w:rFonts w:ascii="Arial" w:cs="Arial" w:eastAsia="Arial" w:hAnsi="Arial"/>
                <w:sz w:val="18"/>
                <w:szCs w:val="18"/>
                <w:color w:val="auto"/>
                <w:w w:val="95"/>
              </w:rPr>
              <w:t>)</w:t>
            </w:r>
          </w:p>
        </w:tc>
        <w:tc>
          <w:tcPr>
            <w:tcW w:w="0" w:type="dxa"/>
            <w:vAlign w:val="bottom"/>
          </w:tcPr>
          <w:p>
            <w:pPr>
              <w:spacing w:after="0"/>
              <w:rPr>
                <w:sz w:val="1"/>
                <w:szCs w:val="1"/>
                <w:color w:val="auto"/>
              </w:rPr>
            </w:pPr>
          </w:p>
        </w:tc>
      </w:tr>
      <w:tr>
        <w:trPr>
          <w:trHeight w:val="277"/>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3"/>
              </w:rPr>
              <w:t xml:space="preserve">Amended and Restated Certificate of Incorporation of Registrant </w:t>
            </w:r>
            <w:r>
              <w:rPr>
                <w:rFonts w:ascii="Arial" w:cs="Arial" w:eastAsia="Arial" w:hAnsi="Arial"/>
                <w:sz w:val="18"/>
                <w:szCs w:val="18"/>
                <w:i w:val="1"/>
                <w:iCs w:val="1"/>
                <w:color w:val="auto"/>
                <w:w w:val="93"/>
              </w:rPr>
              <w:t>(incorporated by reference to Exhibit 3.1 filed with the Registrant’s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rPr>
              <w:t>Annual Report on Form 10-K for the fiscal year ended January 31, 2006)</w:t>
            </w:r>
          </w:p>
        </w:tc>
        <w:tc>
          <w:tcPr>
            <w:tcW w:w="0" w:type="dxa"/>
            <w:vAlign w:val="bottom"/>
          </w:tcPr>
          <w:p>
            <w:pPr>
              <w:spacing w:after="0"/>
              <w:rPr>
                <w:sz w:val="1"/>
                <w:szCs w:val="1"/>
                <w:color w:val="auto"/>
              </w:rPr>
            </w:pPr>
          </w:p>
        </w:tc>
      </w:tr>
      <w:tr>
        <w:trPr>
          <w:trHeight w:val="277"/>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89"/>
              </w:rPr>
              <w:t>Amended and Restated Bylaws of Registrant (</w:t>
            </w:r>
            <w:r>
              <w:rPr>
                <w:rFonts w:ascii="Arial" w:cs="Arial" w:eastAsia="Arial" w:hAnsi="Arial"/>
                <w:sz w:val="18"/>
                <w:szCs w:val="18"/>
                <w:i w:val="1"/>
                <w:iCs w:val="1"/>
                <w:color w:val="auto"/>
                <w:w w:val="89"/>
              </w:rPr>
              <w:t>incorporated by reference to Exhibit 3.1 filed with the Registrant’s Current Report on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rPr>
              <w:t>8-K filed on June 14, 2010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0"/>
              </w:rPr>
              <w:t>Registrant’s 1996 Stock Plan (</w:t>
            </w:r>
            <w:r>
              <w:rPr>
                <w:rFonts w:ascii="Arial" w:cs="Arial" w:eastAsia="Arial" w:hAnsi="Arial"/>
                <w:sz w:val="18"/>
                <w:szCs w:val="18"/>
                <w:i w:val="1"/>
                <w:iCs w:val="1"/>
                <w:color w:val="auto"/>
                <w:w w:val="90"/>
              </w:rPr>
              <w:t>incorporated by reference to Exhibit 10.1 filed with the Registrant’s Quarterly Report on Form 10-Q for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rPr>
              <w:t>fiscal quarter ended October 31,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89"/>
              </w:rPr>
              <w:t>Registrant’s 1996 Stock Plan Forms of Agreement (</w:t>
            </w:r>
            <w:r>
              <w:rPr>
                <w:rFonts w:ascii="Arial" w:cs="Arial" w:eastAsia="Arial" w:hAnsi="Arial"/>
                <w:sz w:val="18"/>
                <w:szCs w:val="18"/>
                <w:i w:val="1"/>
                <w:iCs w:val="1"/>
                <w:color w:val="auto"/>
                <w:w w:val="89"/>
              </w:rPr>
              <w:t>incorporated by reference to Exhibit 10.5 filed with the Registrant’s Annual Report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rPr>
              <w:t>Form 10-K for the fiscal year ended January 31,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87"/>
              </w:rPr>
              <w:t xml:space="preserve">Registrant’s 1998 Employee Qualified Stock Purchase Plan, as amended on September 17, 2009 </w:t>
            </w:r>
            <w:r>
              <w:rPr>
                <w:rFonts w:ascii="Arial" w:cs="Arial" w:eastAsia="Arial" w:hAnsi="Arial"/>
                <w:sz w:val="18"/>
                <w:szCs w:val="18"/>
                <w:i w:val="1"/>
                <w:iCs w:val="1"/>
                <w:color w:val="auto"/>
                <w:w w:val="87"/>
              </w:rPr>
              <w:t>(incorporated by reference to Exhibit 10.3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rPr>
              <w:t>filed with the Registrant’s Annual Report on Form 10-K for the fiscal year ended January 31, 2009)</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0"/>
              </w:rPr>
              <w:t>Registrant’s 1998 Employee Qualified Stock Purchase Plan Forms of Agreement (</w:t>
            </w:r>
            <w:r>
              <w:rPr>
                <w:rFonts w:ascii="Arial" w:cs="Arial" w:eastAsia="Arial" w:hAnsi="Arial"/>
                <w:sz w:val="18"/>
                <w:szCs w:val="18"/>
                <w:i w:val="1"/>
                <w:iCs w:val="1"/>
                <w:color w:val="auto"/>
                <w:w w:val="90"/>
              </w:rPr>
              <w:t>incorporated by reference to Exhibit 10.2 filed with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rPr>
              <w:t>Registrant’s Annual Report on Form 10-K for the fiscal year ended January 31,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2"/>
              </w:rPr>
              <w:t>Registrant’s 1998 Employee Qualified Stock Purchase Plan Form of Agreement (non-U.S. Employees) (</w:t>
            </w:r>
            <w:r>
              <w:rPr>
                <w:rFonts w:ascii="Arial" w:cs="Arial" w:eastAsia="Arial" w:hAnsi="Arial"/>
                <w:sz w:val="18"/>
                <w:szCs w:val="18"/>
                <w:i w:val="1"/>
                <w:iCs w:val="1"/>
                <w:color w:val="auto"/>
                <w:w w:val="92"/>
              </w:rPr>
              <w:t>incorporated by reference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rPr>
              <w:t>Exhibit 10.5 filed with the Registrant’s Annual Report on Form 10-K for the fiscal year ended January 31, 2009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10.6*</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89"/>
              </w:rPr>
              <w:t>Registrant’s 2000 Directors’ Option Plan, as amended (</w:t>
            </w:r>
            <w:r>
              <w:rPr>
                <w:rFonts w:ascii="Arial" w:cs="Arial" w:eastAsia="Arial" w:hAnsi="Arial"/>
                <w:sz w:val="18"/>
                <w:szCs w:val="18"/>
                <w:i w:val="1"/>
                <w:iCs w:val="1"/>
                <w:color w:val="auto"/>
                <w:w w:val="89"/>
              </w:rPr>
              <w:t>incorporated by reference to Exhibit 10.2 filed with the Registrant’s Current Report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rPr>
              <w:t>on Form 8-K filed on June 18, 2008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3"/>
              </w:rPr>
              <w:t>Registrant’s 2000 Directors’ Option Plan Forms of Agreements (</w:t>
            </w:r>
            <w:r>
              <w:rPr>
                <w:rFonts w:ascii="Arial" w:cs="Arial" w:eastAsia="Arial" w:hAnsi="Arial"/>
                <w:sz w:val="18"/>
                <w:szCs w:val="18"/>
                <w:i w:val="1"/>
                <w:iCs w:val="1"/>
                <w:color w:val="auto"/>
                <w:w w:val="93"/>
              </w:rPr>
              <w:t>incorporated by reference to Exhibit 10.2 filed with the Registrant’s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rPr>
              <w:t>Quarterly Report on Form 10-Q for the fiscal quarter ended April 30, 2008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89"/>
              </w:rPr>
              <w:t>Registrant’s 2006 Employee Stock Plan (</w:t>
            </w:r>
            <w:r>
              <w:rPr>
                <w:rFonts w:ascii="Arial" w:cs="Arial" w:eastAsia="Arial" w:hAnsi="Arial"/>
                <w:sz w:val="18"/>
                <w:szCs w:val="18"/>
                <w:i w:val="1"/>
                <w:iCs w:val="1"/>
                <w:color w:val="auto"/>
                <w:w w:val="89"/>
              </w:rPr>
              <w:t>incorporated by reference to Exhibit 10.2 filed with the Registrant’s Current Report on Form 8-K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rPr>
              <w:t>filed on November 15,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89"/>
              </w:rPr>
              <w:t>Registrant’s 2006 Employee Stock Plan Forms of Agreement (</w:t>
            </w:r>
            <w:r>
              <w:rPr>
                <w:rFonts w:ascii="Arial" w:cs="Arial" w:eastAsia="Arial" w:hAnsi="Arial"/>
                <w:sz w:val="18"/>
                <w:szCs w:val="18"/>
                <w:i w:val="1"/>
                <w:iCs w:val="1"/>
                <w:color w:val="auto"/>
                <w:w w:val="89"/>
              </w:rPr>
              <w:t>incorporated by reference to Exhibit 10.8 filed with the Registrant’s Annual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w w:val="90"/>
              </w:rPr>
              <w:t>Report on Form 10-K for the fiscal year ended January 31, 2006 and Exhibit 10.1 filed with the Registrant’s Current Report on Form 8-K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rPr>
              <w:t>filed on June 20, 2007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1"/>
              </w:rPr>
              <w:t>Registrant’s 2008 Employee Stock Plan, as amended and restated (</w:t>
            </w:r>
            <w:r>
              <w:rPr>
                <w:rFonts w:ascii="Arial" w:cs="Arial" w:eastAsia="Arial" w:hAnsi="Arial"/>
                <w:sz w:val="18"/>
                <w:szCs w:val="18"/>
                <w:i w:val="1"/>
                <w:iCs w:val="1"/>
                <w:color w:val="auto"/>
                <w:w w:val="91"/>
              </w:rPr>
              <w:t>incorporated by reference to Exhibit 10.2 filed with the Registrant’s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rPr>
              <w:t>Quarterly Report on Form 10-Q for the fiscal quarter ended July 31, 2010)</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5"/>
              </w:rPr>
              <w:t>Registrant’s 2008 Employee Stock Plan Forms of Agreement (</w:t>
            </w:r>
            <w:r>
              <w:rPr>
                <w:rFonts w:ascii="Arial" w:cs="Arial" w:eastAsia="Arial" w:hAnsi="Arial"/>
                <w:sz w:val="18"/>
                <w:szCs w:val="18"/>
                <w:i w:val="1"/>
                <w:iCs w:val="1"/>
                <w:color w:val="auto"/>
                <w:w w:val="95"/>
              </w:rPr>
              <w:t>incorporated by reference to Exhibit 10.1 filed with the Registrant’s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rPr>
              <w:t>Quarterly Report on Form 10-Q for the fiscal quarter ended April 30, 2008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0"/>
              </w:rPr>
              <w:t>Registrant’s 2008 Employee Stock Plan Form of Agreement (</w:t>
            </w:r>
            <w:r>
              <w:rPr>
                <w:rFonts w:ascii="Arial" w:cs="Arial" w:eastAsia="Arial" w:hAnsi="Arial"/>
                <w:sz w:val="18"/>
                <w:szCs w:val="18"/>
                <w:i w:val="1"/>
                <w:iCs w:val="1"/>
                <w:color w:val="auto"/>
                <w:w w:val="90"/>
              </w:rPr>
              <w:t>incorporated by reference to Exhibit 10.1 filed with the Registrant’s Current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rPr>
              <w:t>Report on Form 8-K filed on February 6, 2009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0"/>
              </w:rPr>
              <w:t>Registrant’s 2008 Employee Stock Plan Forms of Restricted Stock Unit Agreements (</w:t>
            </w:r>
            <w:r>
              <w:rPr>
                <w:rFonts w:ascii="Arial" w:cs="Arial" w:eastAsia="Arial" w:hAnsi="Arial"/>
                <w:sz w:val="18"/>
                <w:szCs w:val="18"/>
                <w:i w:val="1"/>
                <w:iCs w:val="1"/>
                <w:color w:val="auto"/>
                <w:w w:val="90"/>
              </w:rPr>
              <w:t>incorporated by reference to Exhibit 10.2 filed with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rPr>
              <w:t>the Registrant’s Current Report on Form 8-K filed on June 18, 2008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89"/>
              </w:rPr>
              <w:t>Registrant’s 2008 Employee Stock Plan Forms of Agreement (non-U.S. Employees) (</w:t>
            </w:r>
            <w:r>
              <w:rPr>
                <w:rFonts w:ascii="Arial" w:cs="Arial" w:eastAsia="Arial" w:hAnsi="Arial"/>
                <w:sz w:val="18"/>
                <w:szCs w:val="18"/>
                <w:i w:val="1"/>
                <w:iCs w:val="1"/>
                <w:color w:val="auto"/>
                <w:w w:val="89"/>
              </w:rPr>
              <w:t>incorporated by reference to Exhibit 10.14 filed with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i w:val="1"/>
                <w:iCs w:val="1"/>
                <w:color w:val="auto"/>
              </w:rPr>
              <w:t>the Registrant’s Annual Report on Form 10-K for the fiscal year ended January 31, 2009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2"/>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104</w:t>
            </w:r>
          </w:p>
        </w:tc>
        <w:tc>
          <w:tcPr>
            <w:tcW w:w="5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4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40" w:type="dxa"/>
            <w:vAlign w:val="bottom"/>
          </w:tcPr>
          <w:p>
            <w:pPr>
              <w:spacing w:after="0"/>
              <w:rPr>
                <w:sz w:val="14"/>
                <w:szCs w:val="14"/>
                <w:color w:val="auto"/>
              </w:rPr>
            </w:pP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10.15*</w:t>
            </w:r>
          </w:p>
        </w:tc>
        <w:tc>
          <w:tcPr>
            <w:tcW w:w="10680" w:type="dxa"/>
            <w:vAlign w:val="bottom"/>
            <w:gridSpan w:val="3"/>
          </w:tcPr>
          <w:p>
            <w:pPr>
              <w:ind w:left="860"/>
              <w:spacing w:after="0" w:line="201" w:lineRule="exact"/>
              <w:rPr>
                <w:sz w:val="20"/>
                <w:szCs w:val="20"/>
                <w:color w:val="auto"/>
              </w:rPr>
            </w:pPr>
            <w:r>
              <w:rPr>
                <w:rFonts w:ascii="Arial" w:cs="Arial" w:eastAsia="Arial" w:hAnsi="Arial"/>
                <w:sz w:val="18"/>
                <w:szCs w:val="18"/>
                <w:color w:val="auto"/>
                <w:w w:val="89"/>
              </w:rPr>
              <w:t>Text of amendment to certain stock option agreements (</w:t>
            </w:r>
            <w:r>
              <w:rPr>
                <w:rFonts w:ascii="Arial" w:cs="Arial" w:eastAsia="Arial" w:hAnsi="Arial"/>
                <w:sz w:val="18"/>
                <w:szCs w:val="18"/>
                <w:i w:val="1"/>
                <w:iCs w:val="1"/>
                <w:color w:val="auto"/>
                <w:w w:val="89"/>
              </w:rPr>
              <w:t>incorporated by reference to Exhibit 10.1 filed with the Registrant’s Current Report</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on Form 8-K filed on September 22, 2006</w:t>
            </w:r>
            <w:r>
              <w:rPr>
                <w:rFonts w:ascii="Arial" w:cs="Arial" w:eastAsia="Arial" w:hAnsi="Arial"/>
                <w:sz w:val="18"/>
                <w:szCs w:val="18"/>
                <w:color w:val="auto"/>
              </w:rPr>
              <w:t>)</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Amendments to certain stock option agreements (</w:t>
            </w:r>
            <w:r>
              <w:rPr>
                <w:rFonts w:ascii="Arial" w:cs="Arial" w:eastAsia="Arial" w:hAnsi="Arial"/>
                <w:sz w:val="18"/>
                <w:szCs w:val="18"/>
                <w:i w:val="1"/>
                <w:iCs w:val="1"/>
                <w:color w:val="auto"/>
                <w:w w:val="90"/>
              </w:rPr>
              <w:t>incorporated by reference to Exhibit 10.16 filed with the Registrant’s Annual Report on</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Form 10-K for the fiscal year ended January 31, 2009</w:t>
            </w:r>
            <w:r>
              <w:rPr>
                <w:rFonts w:ascii="Arial" w:cs="Arial" w:eastAsia="Arial" w:hAnsi="Arial"/>
                <w:sz w:val="18"/>
                <w:szCs w:val="18"/>
                <w:color w:val="auto"/>
              </w:rPr>
              <w:t>)</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Registrant’s 2010 Outside Directors’ Stock Plan (</w:t>
            </w:r>
            <w:r>
              <w:rPr>
                <w:rFonts w:ascii="Arial" w:cs="Arial" w:eastAsia="Arial" w:hAnsi="Arial"/>
                <w:sz w:val="18"/>
                <w:szCs w:val="18"/>
                <w:i w:val="1"/>
                <w:iCs w:val="1"/>
                <w:color w:val="auto"/>
                <w:w w:val="91"/>
              </w:rPr>
              <w:t>incorporated by reference to Exhibit 10.1 filed with the Registrant’s Current Report on</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Form 8-K filed on June 16, 2009</w:t>
            </w:r>
            <w:r>
              <w:rPr>
                <w:rFonts w:ascii="Arial" w:cs="Arial" w:eastAsia="Arial" w:hAnsi="Arial"/>
                <w:sz w:val="18"/>
                <w:szCs w:val="18"/>
                <w:color w:val="auto"/>
              </w:rPr>
              <w:t>)</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Autodesk, Inc. 2010 Outside Directors’ Stock Plan Form of Stock Option Agreement (</w:t>
            </w:r>
            <w:r>
              <w:rPr>
                <w:rFonts w:ascii="Arial" w:cs="Arial" w:eastAsia="Arial" w:hAnsi="Arial"/>
                <w:sz w:val="18"/>
                <w:szCs w:val="18"/>
                <w:i w:val="1"/>
                <w:iCs w:val="1"/>
                <w:color w:val="auto"/>
                <w:w w:val="91"/>
              </w:rPr>
              <w:t>incorporated by reference to Exhibit 10.1 filed with</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the Registrant’s Current Report on Form 8-K filed on March 31, 2010</w:t>
            </w:r>
            <w:r>
              <w:rPr>
                <w:rFonts w:ascii="Arial" w:cs="Arial" w:eastAsia="Arial" w:hAnsi="Arial"/>
                <w:sz w:val="18"/>
                <w:szCs w:val="18"/>
                <w:color w:val="auto"/>
              </w:rPr>
              <w:t>)</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Autodesk, Inc. 2010 Outside Directors’ Stock Plan Form of Restricted Stock Award Agreement (</w:t>
            </w:r>
            <w:r>
              <w:rPr>
                <w:rFonts w:ascii="Arial" w:cs="Arial" w:eastAsia="Arial" w:hAnsi="Arial"/>
                <w:sz w:val="18"/>
                <w:szCs w:val="18"/>
                <w:i w:val="1"/>
                <w:iCs w:val="1"/>
                <w:color w:val="auto"/>
                <w:w w:val="90"/>
              </w:rPr>
              <w:t>incorporated by reference to Exhibit 10.2</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filed with the Registrant’s Current Report on Form 8-K filed on March 31, 2010</w:t>
            </w:r>
            <w:r>
              <w:rPr>
                <w:rFonts w:ascii="Arial" w:cs="Arial" w:eastAsia="Arial" w:hAnsi="Arial"/>
                <w:sz w:val="18"/>
                <w:szCs w:val="18"/>
                <w:color w:val="auto"/>
              </w:rPr>
              <w:t>)</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Form of Promise to Make Cash Payment and Option Amendment (U.S. Employees) (</w:t>
            </w:r>
            <w:r>
              <w:rPr>
                <w:rFonts w:ascii="Arial" w:cs="Arial" w:eastAsia="Arial" w:hAnsi="Arial"/>
                <w:sz w:val="18"/>
                <w:szCs w:val="18"/>
                <w:i w:val="1"/>
                <w:iCs w:val="1"/>
                <w:color w:val="auto"/>
                <w:w w:val="91"/>
              </w:rPr>
              <w:t>incorporated by reference to Exhibit 99.1 filed with</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the Registrant’s Current Report on Form 8-K filed on July 27, 2007</w:t>
            </w:r>
            <w:r>
              <w:rPr>
                <w:rFonts w:ascii="Arial" w:cs="Arial" w:eastAsia="Arial" w:hAnsi="Arial"/>
                <w:sz w:val="18"/>
                <w:szCs w:val="18"/>
                <w:color w:val="auto"/>
              </w:rPr>
              <w:t>)</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Form of Promise to Make Cash Payment and Option Amendment (Canadian Employees) (</w:t>
            </w:r>
            <w:r>
              <w:rPr>
                <w:rFonts w:ascii="Arial" w:cs="Arial" w:eastAsia="Arial" w:hAnsi="Arial"/>
                <w:sz w:val="18"/>
                <w:szCs w:val="18"/>
                <w:i w:val="1"/>
                <w:iCs w:val="1"/>
                <w:color w:val="auto"/>
                <w:w w:val="90"/>
              </w:rPr>
              <w:t>incorporated by reference to Exhibit 99.2 filed</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with the Registrant’s Current Report on Form 8-K filed on July 27, 2007</w:t>
            </w:r>
            <w:r>
              <w:rPr>
                <w:rFonts w:ascii="Arial" w:cs="Arial" w:eastAsia="Arial" w:hAnsi="Arial"/>
                <w:sz w:val="18"/>
                <w:szCs w:val="18"/>
                <w:color w:val="auto"/>
              </w:rPr>
              <w:t>)</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3"/>
              </w:rPr>
              <w:t>Registrant’s Executive Incentive Plan, as amended and restated (</w:t>
            </w:r>
            <w:r>
              <w:rPr>
                <w:rFonts w:ascii="Arial" w:cs="Arial" w:eastAsia="Arial" w:hAnsi="Arial"/>
                <w:sz w:val="18"/>
                <w:szCs w:val="18"/>
                <w:i w:val="1"/>
                <w:iCs w:val="1"/>
                <w:color w:val="auto"/>
                <w:w w:val="93"/>
              </w:rPr>
              <w:t>incorporated by reference to Exhibit 10.1 filed with the Registrant’s</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Current Report on Form 8-K filed on June 14, 2010</w:t>
            </w:r>
            <w:r>
              <w:rPr>
                <w:rFonts w:ascii="Arial" w:cs="Arial" w:eastAsia="Arial" w:hAnsi="Arial"/>
                <w:sz w:val="18"/>
                <w:szCs w:val="18"/>
                <w:color w:val="auto"/>
              </w:rPr>
              <w:t>)</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3"/>
              </w:rPr>
              <w:t>Registrant’s 2005 Non-Qualified Deferred Compensation Plan, as amended and restated, effective as of January 1, 2008, as further</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7"/>
              </w:rPr>
              <w:t xml:space="preserve">amended and restated, effective as of December 31, 2008, as further amended and restated, effective as of January 1, 2010 </w:t>
            </w:r>
            <w:r>
              <w:rPr>
                <w:rFonts w:ascii="Arial" w:cs="Arial" w:eastAsia="Arial" w:hAnsi="Arial"/>
                <w:sz w:val="18"/>
                <w:szCs w:val="18"/>
                <w:i w:val="1"/>
                <w:iCs w:val="1"/>
                <w:color w:val="auto"/>
                <w:w w:val="87"/>
              </w:rPr>
              <w:t>(incorporated by</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w w:val="95"/>
              </w:rPr>
              <w:t>reference to Exhibit 10.1 filed with the Registrant’s Quarterly Report on Form 10-Q for the fiscal quarter ended October 31, 2009)</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2"/>
              </w:rPr>
              <w:t>Participants, target awards and payout formulas for fiscal year 2011 under the Registrant’s Executive Incentive Plan (</w:t>
            </w:r>
            <w:r>
              <w:rPr>
                <w:rFonts w:ascii="Arial" w:cs="Arial" w:eastAsia="Arial" w:hAnsi="Arial"/>
                <w:sz w:val="18"/>
                <w:szCs w:val="18"/>
                <w:i w:val="1"/>
                <w:iCs w:val="1"/>
                <w:color w:val="auto"/>
                <w:w w:val="92"/>
              </w:rPr>
              <w:t>incorporated by</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reference to Item 5.02 of the Registrant’s Current Report on Form 8-K filed on March 31,2010</w:t>
            </w:r>
            <w:r>
              <w:rPr>
                <w:rFonts w:ascii="Arial" w:cs="Arial" w:eastAsia="Arial" w:hAnsi="Arial"/>
                <w:sz w:val="18"/>
                <w:szCs w:val="18"/>
                <w:color w:val="auto"/>
              </w:rPr>
              <w:t>)</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10.25*</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3"/>
              </w:rPr>
              <w:t>Description of sales commission plan with Ken Bado for fiscal Year 2011 (</w:t>
            </w:r>
            <w:r>
              <w:rPr>
                <w:rFonts w:ascii="Arial" w:cs="Arial" w:eastAsia="Arial" w:hAnsi="Arial"/>
                <w:sz w:val="18"/>
                <w:szCs w:val="18"/>
                <w:i w:val="1"/>
                <w:iCs w:val="1"/>
                <w:color w:val="auto"/>
                <w:w w:val="93"/>
              </w:rPr>
              <w:t>incorporated by reference to Item 5.02 of the Registrant’s</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Current Report on Form 8-K filed on March 31,2010</w:t>
            </w:r>
            <w:r>
              <w:rPr>
                <w:rFonts w:ascii="Arial" w:cs="Arial" w:eastAsia="Arial" w:hAnsi="Arial"/>
                <w:sz w:val="18"/>
                <w:szCs w:val="18"/>
                <w:color w:val="auto"/>
              </w:rPr>
              <w:t>)</w:t>
            </w:r>
          </w:p>
        </w:tc>
      </w:tr>
      <w:tr>
        <w:trPr>
          <w:trHeight w:val="284"/>
        </w:trPr>
        <w:tc>
          <w:tcPr>
            <w:tcW w:w="720" w:type="dxa"/>
            <w:vAlign w:val="bottom"/>
          </w:tcPr>
          <w:p>
            <w:pPr>
              <w:spacing w:after="0"/>
              <w:rPr>
                <w:sz w:val="20"/>
                <w:szCs w:val="20"/>
                <w:color w:val="auto"/>
              </w:rPr>
            </w:pPr>
            <w:r>
              <w:rPr>
                <w:rFonts w:ascii="Arial" w:cs="Arial" w:eastAsia="Arial" w:hAnsi="Arial"/>
                <w:sz w:val="18"/>
                <w:szCs w:val="18"/>
                <w:color w:val="auto"/>
              </w:rPr>
              <w:t>10.26*</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Separation Agreement between Ken Bado and Autodesk, Inc. entered into on January 28, 2011 (</w:t>
            </w:r>
            <w:r>
              <w:rPr>
                <w:rFonts w:ascii="Arial" w:cs="Arial" w:eastAsia="Arial" w:hAnsi="Arial"/>
                <w:sz w:val="18"/>
                <w:szCs w:val="18"/>
                <w:i w:val="1"/>
                <w:iCs w:val="1"/>
                <w:color w:val="auto"/>
              </w:rPr>
              <w:t>filed herewith</w:t>
            </w:r>
            <w:r>
              <w:rPr>
                <w:rFonts w:ascii="Arial" w:cs="Arial" w:eastAsia="Arial" w:hAnsi="Arial"/>
                <w:sz w:val="18"/>
                <w:szCs w:val="18"/>
                <w:color w:val="auto"/>
              </w:rPr>
              <w:t>)</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10.27*</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2"/>
              </w:rPr>
              <w:t>Executive Change in Control Program, as amended and restated (</w:t>
            </w:r>
            <w:r>
              <w:rPr>
                <w:rFonts w:ascii="Arial" w:cs="Arial" w:eastAsia="Arial" w:hAnsi="Arial"/>
                <w:sz w:val="18"/>
                <w:szCs w:val="18"/>
                <w:i w:val="1"/>
                <w:iCs w:val="1"/>
                <w:color w:val="auto"/>
                <w:w w:val="92"/>
              </w:rPr>
              <w:t>incorporated by reference to Exhibit 10.1 filed with the Registrant’s</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Current report on Form 8-K filed on December 15, 2010</w:t>
            </w:r>
            <w:r>
              <w:rPr>
                <w:rFonts w:ascii="Arial" w:cs="Arial" w:eastAsia="Arial" w:hAnsi="Arial"/>
                <w:sz w:val="18"/>
                <w:szCs w:val="18"/>
                <w:color w:val="auto"/>
              </w:rPr>
              <w:t>)</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10.28*</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3"/>
              </w:rPr>
              <w:t>Description of annual cash compensation paid to non-employee directors (</w:t>
            </w:r>
            <w:r>
              <w:rPr>
                <w:rFonts w:ascii="Arial" w:cs="Arial" w:eastAsia="Arial" w:hAnsi="Arial"/>
                <w:sz w:val="18"/>
                <w:szCs w:val="18"/>
                <w:i w:val="1"/>
                <w:iCs w:val="1"/>
                <w:color w:val="auto"/>
                <w:w w:val="93"/>
              </w:rPr>
              <w:t>incorporated by reference to Item 1.01 of the Registrant’s</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w w:val="93"/>
              </w:rPr>
              <w:t>Current Report on Form 8-K filed on June 14, 2006 and Item 5.02 of the Registrant’s Current Report on Form 8-K filed on March 18,</w:t>
            </w:r>
          </w:p>
        </w:tc>
      </w:tr>
      <w:tr>
        <w:trPr>
          <w:trHeight w:val="222"/>
        </w:trPr>
        <w:tc>
          <w:tcPr>
            <w:tcW w:w="720" w:type="dxa"/>
            <w:vAlign w:val="bottom"/>
          </w:tcPr>
          <w:p>
            <w:pPr>
              <w:spacing w:after="0"/>
              <w:rPr>
                <w:sz w:val="19"/>
                <w:szCs w:val="19"/>
                <w:color w:val="auto"/>
              </w:rPr>
            </w:pPr>
          </w:p>
        </w:tc>
        <w:tc>
          <w:tcPr>
            <w:tcW w:w="5440" w:type="dxa"/>
            <w:vAlign w:val="bottom"/>
          </w:tcPr>
          <w:p>
            <w:pPr>
              <w:ind w:left="860"/>
              <w:spacing w:after="0"/>
              <w:rPr>
                <w:sz w:val="20"/>
                <w:szCs w:val="20"/>
                <w:color w:val="auto"/>
              </w:rPr>
            </w:pPr>
            <w:r>
              <w:rPr>
                <w:rFonts w:ascii="Arial" w:cs="Arial" w:eastAsia="Arial" w:hAnsi="Arial"/>
                <w:sz w:val="18"/>
                <w:szCs w:val="18"/>
                <w:i w:val="1"/>
                <w:iCs w:val="1"/>
                <w:color w:val="auto"/>
              </w:rPr>
              <w:t>2009</w:t>
            </w: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10.29*</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9"/>
              </w:rPr>
              <w:t>Form of Indemnification Agreement executed by Autodesk and each of its officers and directors (</w:t>
            </w:r>
            <w:r>
              <w:rPr>
                <w:rFonts w:ascii="Arial" w:cs="Arial" w:eastAsia="Arial" w:hAnsi="Arial"/>
                <w:sz w:val="18"/>
                <w:szCs w:val="18"/>
                <w:i w:val="1"/>
                <w:iCs w:val="1"/>
                <w:color w:val="auto"/>
                <w:w w:val="89"/>
              </w:rPr>
              <w:t>incorporated by reference to Exhibit 10.8</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filed with the Registrant’s Annual Report on Form 10-K for the fiscal year ended January 31, 2005</w:t>
            </w:r>
            <w:r>
              <w:rPr>
                <w:rFonts w:ascii="Arial" w:cs="Arial" w:eastAsia="Arial" w:hAnsi="Arial"/>
                <w:sz w:val="18"/>
                <w:szCs w:val="18"/>
                <w:color w:val="auto"/>
              </w:rPr>
              <w:t>)</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10.30*</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7"/>
              </w:rPr>
              <w:t>Amended and Restated Employment Agreement between Registrant and Carl Bass dated December 12, 2008 (</w:t>
            </w:r>
            <w:r>
              <w:rPr>
                <w:rFonts w:ascii="Arial" w:cs="Arial" w:eastAsia="Arial" w:hAnsi="Arial"/>
                <w:sz w:val="18"/>
                <w:szCs w:val="18"/>
                <w:i w:val="1"/>
                <w:iCs w:val="1"/>
                <w:color w:val="auto"/>
                <w:w w:val="87"/>
              </w:rPr>
              <w:t>incorporated by reference to</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Exhibit 10.26 filed with the Registrant’s Annual Report on Form 10-K for the fiscal year ended January 31, 2009</w:t>
            </w:r>
            <w:r>
              <w:rPr>
                <w:rFonts w:ascii="Arial" w:cs="Arial" w:eastAsia="Arial" w:hAnsi="Arial"/>
                <w:sz w:val="18"/>
                <w:szCs w:val="18"/>
                <w:color w:val="auto"/>
              </w:rPr>
              <w:t>)</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10.31*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Registrant’s Equity Incentive Deferral Plan as amended and restated effective as of June 12, 2008 (</w:t>
            </w:r>
            <w:r>
              <w:rPr>
                <w:rFonts w:ascii="Arial" w:cs="Arial" w:eastAsia="Arial" w:hAnsi="Arial"/>
                <w:sz w:val="18"/>
                <w:szCs w:val="18"/>
                <w:i w:val="1"/>
                <w:iCs w:val="1"/>
                <w:color w:val="auto"/>
                <w:w w:val="91"/>
              </w:rPr>
              <w:t>incorporated by reference to Exhibit</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i w:val="1"/>
                <w:iCs w:val="1"/>
                <w:color w:val="auto"/>
              </w:rPr>
              <w:t>10.4 filed with the Registrant’s Quarterly Report on Form 10-Q for the fiscal quarter ended July 31, 2008</w:t>
            </w:r>
            <w:r>
              <w:rPr>
                <w:rFonts w:ascii="Arial" w:cs="Arial" w:eastAsia="Arial" w:hAnsi="Arial"/>
                <w:sz w:val="18"/>
                <w:szCs w:val="18"/>
                <w:color w:val="auto"/>
              </w:rPr>
              <w:t>)</w:t>
            </w:r>
          </w:p>
        </w:tc>
      </w:tr>
      <w:tr>
        <w:trPr>
          <w:trHeight w:val="312"/>
        </w:trPr>
        <w:tc>
          <w:tcPr>
            <w:tcW w:w="720" w:type="dxa"/>
            <w:vAlign w:val="bottom"/>
          </w:tcPr>
          <w:p>
            <w:pPr>
              <w:spacing w:after="0"/>
              <w:rPr>
                <w:sz w:val="24"/>
                <w:szCs w:val="24"/>
                <w:color w:val="auto"/>
              </w:rPr>
            </w:pPr>
          </w:p>
        </w:tc>
        <w:tc>
          <w:tcPr>
            <w:tcW w:w="10680" w:type="dxa"/>
            <w:vAlign w:val="bottom"/>
            <w:gridSpan w:val="3"/>
          </w:tcPr>
          <w:p>
            <w:pPr>
              <w:ind w:left="10480"/>
              <w:spacing w:after="0"/>
              <w:rPr>
                <w:sz w:val="20"/>
                <w:szCs w:val="20"/>
                <w:color w:val="auto"/>
              </w:rPr>
            </w:pPr>
            <w:r>
              <w:rPr>
                <w:rFonts w:ascii="Arial" w:cs="Arial" w:eastAsia="Arial" w:hAnsi="Arial"/>
                <w:sz w:val="14"/>
                <w:szCs w:val="14"/>
                <w:b w:val="1"/>
                <w:bCs w:val="1"/>
                <w:color w:val="auto"/>
                <w:w w:val="76"/>
              </w:rPr>
              <w:t>105</w:t>
            </w:r>
          </w:p>
        </w:tc>
      </w:tr>
    </w:tbl>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4920" w:type="dxa"/>
            <w:vAlign w:val="bottom"/>
          </w:tcPr>
          <w:p>
            <w:pPr>
              <w:spacing w:after="0"/>
              <w:rPr>
                <w:sz w:val="14"/>
                <w:szCs w:val="14"/>
                <w:color w:val="auto"/>
              </w:rPr>
            </w:pPr>
          </w:p>
        </w:tc>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00" w:type="dxa"/>
            <w:vAlign w:val="bottom"/>
          </w:tcPr>
          <w:p>
            <w:pPr>
              <w:ind w:left="80"/>
              <w:spacing w:after="0" w:line="201" w:lineRule="exact"/>
              <w:rPr>
                <w:sz w:val="20"/>
                <w:szCs w:val="20"/>
                <w:color w:val="auto"/>
              </w:rPr>
            </w:pPr>
            <w:r>
              <w:rPr>
                <w:rFonts w:ascii="Arial" w:cs="Arial" w:eastAsia="Arial" w:hAnsi="Arial"/>
                <w:sz w:val="18"/>
                <w:szCs w:val="18"/>
                <w:color w:val="auto"/>
              </w:rPr>
              <w:t>10.32</w:t>
            </w:r>
          </w:p>
        </w:tc>
        <w:tc>
          <w:tcPr>
            <w:tcW w:w="580" w:type="dxa"/>
            <w:vAlign w:val="bottom"/>
          </w:tcPr>
          <w:p>
            <w:pPr>
              <w:spacing w:after="0"/>
              <w:rPr>
                <w:sz w:val="17"/>
                <w:szCs w:val="17"/>
                <w:color w:val="auto"/>
              </w:rPr>
            </w:pPr>
          </w:p>
        </w:tc>
        <w:tc>
          <w:tcPr>
            <w:tcW w:w="10100" w:type="dxa"/>
            <w:vAlign w:val="bottom"/>
            <w:gridSpan w:val="3"/>
          </w:tcPr>
          <w:p>
            <w:pPr>
              <w:ind w:left="420"/>
              <w:spacing w:after="0" w:line="201" w:lineRule="exact"/>
              <w:rPr>
                <w:sz w:val="20"/>
                <w:szCs w:val="20"/>
                <w:color w:val="auto"/>
              </w:rPr>
            </w:pPr>
            <w:r>
              <w:rPr>
                <w:rFonts w:ascii="Arial" w:cs="Arial" w:eastAsia="Arial" w:hAnsi="Arial"/>
                <w:sz w:val="18"/>
                <w:szCs w:val="18"/>
                <w:color w:val="auto"/>
                <w:w w:val="88"/>
              </w:rPr>
              <w:t>Office Lease between Registrant and the J.H.S. Trust for 111 McInnis Parkway, San Rafael, CA, as amended (</w:t>
            </w:r>
            <w:r>
              <w:rPr>
                <w:rFonts w:ascii="Arial" w:cs="Arial" w:eastAsia="Arial" w:hAnsi="Arial"/>
                <w:sz w:val="18"/>
                <w:szCs w:val="18"/>
                <w:i w:val="1"/>
                <w:iCs w:val="1"/>
                <w:color w:val="auto"/>
                <w:w w:val="88"/>
              </w:rPr>
              <w:t>incorporated by reference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100" w:type="dxa"/>
            <w:vAlign w:val="bottom"/>
            <w:gridSpan w:val="3"/>
          </w:tcPr>
          <w:p>
            <w:pPr>
              <w:ind w:left="420"/>
              <w:spacing w:after="0"/>
              <w:rPr>
                <w:sz w:val="20"/>
                <w:szCs w:val="20"/>
                <w:color w:val="auto"/>
              </w:rPr>
            </w:pPr>
            <w:r>
              <w:rPr>
                <w:rFonts w:ascii="Arial" w:cs="Arial" w:eastAsia="Arial" w:hAnsi="Arial"/>
                <w:sz w:val="18"/>
                <w:szCs w:val="18"/>
                <w:i w:val="1"/>
                <w:iCs w:val="1"/>
                <w:color w:val="auto"/>
              </w:rPr>
              <w:t>to Exhibit 10.1 filed with the Registrant’s Quarterly Report on Form 10-Q for the fiscal quarter ended October 31, 2004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10.33</w:t>
            </w:r>
          </w:p>
        </w:tc>
        <w:tc>
          <w:tcPr>
            <w:tcW w:w="580" w:type="dxa"/>
            <w:vAlign w:val="bottom"/>
          </w:tcPr>
          <w:p>
            <w:pPr>
              <w:spacing w:after="0"/>
              <w:rPr>
                <w:sz w:val="24"/>
                <w:szCs w:val="24"/>
                <w:color w:val="auto"/>
              </w:rPr>
            </w:pPr>
          </w:p>
        </w:tc>
        <w:tc>
          <w:tcPr>
            <w:tcW w:w="10100" w:type="dxa"/>
            <w:vAlign w:val="bottom"/>
            <w:gridSpan w:val="3"/>
          </w:tcPr>
          <w:p>
            <w:pPr>
              <w:ind w:left="420"/>
              <w:spacing w:after="0"/>
              <w:rPr>
                <w:sz w:val="20"/>
                <w:szCs w:val="20"/>
                <w:color w:val="auto"/>
              </w:rPr>
            </w:pPr>
            <w:r>
              <w:rPr>
                <w:rFonts w:ascii="Arial" w:cs="Arial" w:eastAsia="Arial" w:hAnsi="Arial"/>
                <w:sz w:val="18"/>
                <w:szCs w:val="18"/>
                <w:color w:val="auto"/>
                <w:w w:val="88"/>
              </w:rPr>
              <w:t xml:space="preserve">Fourth Amendment to Lease between Registrant and the J.H.S. Holdings L.P. for 111 McInnis Parkway, San Rafael, CA </w:t>
            </w:r>
            <w:r>
              <w:rPr>
                <w:rFonts w:ascii="Arial" w:cs="Arial" w:eastAsia="Arial" w:hAnsi="Arial"/>
                <w:sz w:val="18"/>
                <w:szCs w:val="18"/>
                <w:i w:val="1"/>
                <w:iCs w:val="1"/>
                <w:color w:val="auto"/>
                <w:w w:val="88"/>
              </w:rPr>
              <w:t>(incorporated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100" w:type="dxa"/>
            <w:vAlign w:val="bottom"/>
            <w:gridSpan w:val="3"/>
          </w:tcPr>
          <w:p>
            <w:pPr>
              <w:ind w:left="420"/>
              <w:spacing w:after="0"/>
              <w:rPr>
                <w:sz w:val="20"/>
                <w:szCs w:val="20"/>
                <w:color w:val="auto"/>
              </w:rPr>
            </w:pPr>
            <w:r>
              <w:rPr>
                <w:rFonts w:ascii="Arial" w:cs="Arial" w:eastAsia="Arial" w:hAnsi="Arial"/>
                <w:sz w:val="18"/>
                <w:szCs w:val="18"/>
                <w:i w:val="1"/>
                <w:iCs w:val="1"/>
                <w:color w:val="auto"/>
                <w:w w:val="98"/>
              </w:rPr>
              <w:t>reference to Exhibit 10.3 filed with the Registrant’s Annual Report on Form 10-K for the fiscal year ended January 31, 2010)</w:t>
            </w:r>
          </w:p>
        </w:tc>
        <w:tc>
          <w:tcPr>
            <w:tcW w:w="0" w:type="dxa"/>
            <w:vAlign w:val="bottom"/>
          </w:tcPr>
          <w:p>
            <w:pPr>
              <w:spacing w:after="0"/>
              <w:rPr>
                <w:sz w:val="1"/>
                <w:szCs w:val="1"/>
                <w:color w:val="auto"/>
              </w:rPr>
            </w:pPr>
          </w:p>
        </w:tc>
      </w:tr>
      <w:tr>
        <w:trPr>
          <w:trHeight w:val="277"/>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10.34</w:t>
            </w:r>
          </w:p>
        </w:tc>
        <w:tc>
          <w:tcPr>
            <w:tcW w:w="580" w:type="dxa"/>
            <w:vAlign w:val="bottom"/>
          </w:tcPr>
          <w:p>
            <w:pPr>
              <w:spacing w:after="0"/>
              <w:rPr>
                <w:sz w:val="24"/>
                <w:szCs w:val="24"/>
                <w:color w:val="auto"/>
              </w:rPr>
            </w:pPr>
          </w:p>
        </w:tc>
        <w:tc>
          <w:tcPr>
            <w:tcW w:w="10100" w:type="dxa"/>
            <w:vAlign w:val="bottom"/>
            <w:gridSpan w:val="3"/>
          </w:tcPr>
          <w:p>
            <w:pPr>
              <w:ind w:left="420"/>
              <w:spacing w:after="0"/>
              <w:rPr>
                <w:sz w:val="20"/>
                <w:szCs w:val="20"/>
                <w:color w:val="auto"/>
              </w:rPr>
            </w:pPr>
            <w:r>
              <w:rPr>
                <w:rFonts w:ascii="Arial" w:cs="Arial" w:eastAsia="Arial" w:hAnsi="Arial"/>
                <w:sz w:val="18"/>
                <w:szCs w:val="18"/>
                <w:color w:val="auto"/>
                <w:w w:val="90"/>
              </w:rPr>
              <w:t>Credit Agreement between Registrant and CITIBANK, N.A. dated as of August 30, 2005 (</w:t>
            </w:r>
            <w:r>
              <w:rPr>
                <w:rFonts w:ascii="Arial" w:cs="Arial" w:eastAsia="Arial" w:hAnsi="Arial"/>
                <w:sz w:val="18"/>
                <w:szCs w:val="18"/>
                <w:i w:val="1"/>
                <w:iCs w:val="1"/>
                <w:color w:val="auto"/>
                <w:w w:val="90"/>
              </w:rPr>
              <w:t>incorporated by reference to Exhibit 10.1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100" w:type="dxa"/>
            <w:vAlign w:val="bottom"/>
            <w:gridSpan w:val="3"/>
          </w:tcPr>
          <w:p>
            <w:pPr>
              <w:ind w:left="420"/>
              <w:spacing w:after="0"/>
              <w:rPr>
                <w:sz w:val="20"/>
                <w:szCs w:val="20"/>
                <w:color w:val="auto"/>
              </w:rPr>
            </w:pPr>
            <w:r>
              <w:rPr>
                <w:rFonts w:ascii="Arial" w:cs="Arial" w:eastAsia="Arial" w:hAnsi="Arial"/>
                <w:sz w:val="18"/>
                <w:szCs w:val="18"/>
                <w:i w:val="1"/>
                <w:iCs w:val="1"/>
                <w:color w:val="auto"/>
              </w:rPr>
              <w:t>with the Registrant’s Current Report on Form 8-K filed on August 23, 2007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4"/>
                <w:szCs w:val="24"/>
                <w:color w:val="auto"/>
              </w:rPr>
            </w:pPr>
          </w:p>
        </w:tc>
        <w:tc>
          <w:tcPr>
            <w:tcW w:w="10100" w:type="dxa"/>
            <w:vAlign w:val="bottom"/>
            <w:gridSpan w:val="3"/>
          </w:tcPr>
          <w:p>
            <w:pPr>
              <w:ind w:left="420"/>
              <w:spacing w:after="0"/>
              <w:rPr>
                <w:sz w:val="20"/>
                <w:szCs w:val="20"/>
                <w:color w:val="auto"/>
              </w:rPr>
            </w:pPr>
            <w:r>
              <w:rPr>
                <w:rFonts w:ascii="Arial" w:cs="Arial" w:eastAsia="Arial" w:hAnsi="Arial"/>
                <w:sz w:val="18"/>
                <w:szCs w:val="18"/>
                <w:color w:val="auto"/>
              </w:rPr>
              <w:t xml:space="preserve">List of Subsidiaries </w:t>
            </w:r>
            <w:r>
              <w:rPr>
                <w:rFonts w:ascii="Arial" w:cs="Arial" w:eastAsia="Arial" w:hAnsi="Arial"/>
                <w:sz w:val="18"/>
                <w:szCs w:val="18"/>
                <w:i w:val="1"/>
                <w:iCs w:val="1"/>
                <w:color w:val="auto"/>
              </w:rPr>
              <w:t>(filed herewith)</w:t>
            </w:r>
          </w:p>
        </w:tc>
        <w:tc>
          <w:tcPr>
            <w:tcW w:w="0" w:type="dxa"/>
            <w:vAlign w:val="bottom"/>
          </w:tcPr>
          <w:p>
            <w:pPr>
              <w:spacing w:after="0"/>
              <w:rPr>
                <w:sz w:val="1"/>
                <w:szCs w:val="1"/>
                <w:color w:val="auto"/>
              </w:rPr>
            </w:pPr>
          </w:p>
        </w:tc>
      </w:tr>
      <w:tr>
        <w:trPr>
          <w:trHeight w:val="28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10100" w:type="dxa"/>
            <w:vAlign w:val="bottom"/>
            <w:gridSpan w:val="3"/>
          </w:tcPr>
          <w:p>
            <w:pPr>
              <w:ind w:left="420"/>
              <w:spacing w:after="0"/>
              <w:rPr>
                <w:sz w:val="20"/>
                <w:szCs w:val="20"/>
                <w:color w:val="auto"/>
              </w:rPr>
            </w:pPr>
            <w:r>
              <w:rPr>
                <w:rFonts w:ascii="Arial" w:cs="Arial" w:eastAsia="Arial" w:hAnsi="Arial"/>
                <w:sz w:val="18"/>
                <w:szCs w:val="18"/>
                <w:color w:val="auto"/>
              </w:rPr>
              <w:t xml:space="preserve">Consent of Independent Registered Public Accounting Firm (Ernst &amp; Young LLP) </w:t>
            </w:r>
            <w:r>
              <w:rPr>
                <w:rFonts w:ascii="Arial" w:cs="Arial" w:eastAsia="Arial" w:hAnsi="Arial"/>
                <w:sz w:val="18"/>
                <w:szCs w:val="18"/>
                <w:i w:val="1"/>
                <w:iCs w:val="1"/>
                <w:color w:val="auto"/>
              </w:rPr>
              <w:t>(filed herewith)</w:t>
            </w:r>
          </w:p>
        </w:tc>
        <w:tc>
          <w:tcPr>
            <w:tcW w:w="0" w:type="dxa"/>
            <w:vAlign w:val="bottom"/>
          </w:tcPr>
          <w:p>
            <w:pPr>
              <w:spacing w:after="0"/>
              <w:rPr>
                <w:sz w:val="1"/>
                <w:szCs w:val="1"/>
                <w:color w:val="auto"/>
              </w:rPr>
            </w:pPr>
          </w:p>
        </w:tc>
      </w:tr>
      <w:tr>
        <w:trPr>
          <w:trHeight w:val="28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24"/>
                <w:szCs w:val="24"/>
                <w:color w:val="auto"/>
              </w:rPr>
            </w:pPr>
          </w:p>
        </w:tc>
        <w:tc>
          <w:tcPr>
            <w:tcW w:w="10100" w:type="dxa"/>
            <w:vAlign w:val="bottom"/>
            <w:gridSpan w:val="3"/>
          </w:tcPr>
          <w:p>
            <w:pPr>
              <w:ind w:left="420"/>
              <w:spacing w:after="0"/>
              <w:rPr>
                <w:sz w:val="20"/>
                <w:szCs w:val="20"/>
                <w:color w:val="auto"/>
              </w:rPr>
            </w:pPr>
            <w:r>
              <w:rPr>
                <w:rFonts w:ascii="Arial" w:cs="Arial" w:eastAsia="Arial" w:hAnsi="Arial"/>
                <w:sz w:val="18"/>
                <w:szCs w:val="18"/>
                <w:color w:val="auto"/>
              </w:rPr>
              <w:t>Power of Attorney (contained in the signature page to this Annual Report)</w:t>
            </w:r>
          </w:p>
        </w:tc>
        <w:tc>
          <w:tcPr>
            <w:tcW w:w="0" w:type="dxa"/>
            <w:vAlign w:val="bottom"/>
          </w:tcPr>
          <w:p>
            <w:pPr>
              <w:spacing w:after="0"/>
              <w:rPr>
                <w:sz w:val="1"/>
                <w:szCs w:val="1"/>
                <w:color w:val="auto"/>
              </w:rPr>
            </w:pPr>
          </w:p>
        </w:tc>
      </w:tr>
      <w:tr>
        <w:trPr>
          <w:trHeight w:val="28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10100" w:type="dxa"/>
            <w:vAlign w:val="bottom"/>
            <w:gridSpan w:val="3"/>
          </w:tcPr>
          <w:p>
            <w:pPr>
              <w:ind w:left="42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 (</w:t>
            </w:r>
            <w:r>
              <w:rPr>
                <w:rFonts w:ascii="Arial" w:cs="Arial" w:eastAsia="Arial" w:hAnsi="Arial"/>
                <w:sz w:val="18"/>
                <w:szCs w:val="18"/>
                <w:i w:val="1"/>
                <w:iCs w:val="1"/>
                <w:color w:val="auto"/>
              </w:rPr>
              <w:t>filed herewith</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10100" w:type="dxa"/>
            <w:vAlign w:val="bottom"/>
            <w:gridSpan w:val="3"/>
          </w:tcPr>
          <w:p>
            <w:pPr>
              <w:ind w:left="42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 (</w:t>
            </w:r>
            <w:r>
              <w:rPr>
                <w:rFonts w:ascii="Arial" w:cs="Arial" w:eastAsia="Arial" w:hAnsi="Arial"/>
                <w:sz w:val="18"/>
                <w:szCs w:val="18"/>
                <w:i w:val="1"/>
                <w:iCs w:val="1"/>
                <w:color w:val="auto"/>
              </w:rPr>
              <w:t>filed herewith</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32.1†</w:t>
            </w:r>
          </w:p>
        </w:tc>
        <w:tc>
          <w:tcPr>
            <w:tcW w:w="10100" w:type="dxa"/>
            <w:vAlign w:val="bottom"/>
            <w:gridSpan w:val="3"/>
          </w:tcPr>
          <w:p>
            <w:pPr>
              <w:ind w:left="420"/>
              <w:spacing w:after="0"/>
              <w:rPr>
                <w:sz w:val="20"/>
                <w:szCs w:val="20"/>
                <w:color w:val="auto"/>
              </w:rPr>
            </w:pPr>
            <w:r>
              <w:rPr>
                <w:rFonts w:ascii="Arial" w:cs="Arial" w:eastAsia="Arial" w:hAnsi="Arial"/>
                <w:sz w:val="18"/>
                <w:szCs w:val="18"/>
                <w:color w:val="auto"/>
                <w:w w:val="90"/>
              </w:rPr>
              <w:t>Certification of Chief Executive Officer and Chief Financial Officer pursuant to 18 U.S.C. Section 1350, as adopted pursuant to Section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100" w:type="dxa"/>
            <w:vAlign w:val="bottom"/>
            <w:gridSpan w:val="3"/>
          </w:tcPr>
          <w:p>
            <w:pPr>
              <w:ind w:left="420"/>
              <w:spacing w:after="0"/>
              <w:rPr>
                <w:sz w:val="20"/>
                <w:szCs w:val="20"/>
                <w:color w:val="auto"/>
              </w:rPr>
            </w:pPr>
            <w:r>
              <w:rPr>
                <w:rFonts w:ascii="Arial" w:cs="Arial" w:eastAsia="Arial" w:hAnsi="Arial"/>
                <w:sz w:val="18"/>
                <w:szCs w:val="18"/>
                <w:color w:val="auto"/>
              </w:rPr>
              <w:t xml:space="preserve">906 of the Sarbanes-Oxley Act of 2002 </w:t>
            </w:r>
            <w:r>
              <w:rPr>
                <w:rFonts w:ascii="Arial" w:cs="Arial" w:eastAsia="Arial" w:hAnsi="Arial"/>
                <w:sz w:val="18"/>
                <w:szCs w:val="18"/>
                <w:i w:val="1"/>
                <w:iCs w:val="1"/>
                <w:color w:val="auto"/>
              </w:rPr>
              <w:t>(filed herewith)</w:t>
            </w:r>
          </w:p>
        </w:tc>
        <w:tc>
          <w:tcPr>
            <w:tcW w:w="0" w:type="dxa"/>
            <w:vAlign w:val="bottom"/>
          </w:tcPr>
          <w:p>
            <w:pPr>
              <w:spacing w:after="0"/>
              <w:rPr>
                <w:sz w:val="1"/>
                <w:szCs w:val="1"/>
                <w:color w:val="auto"/>
              </w:rPr>
            </w:pPr>
          </w:p>
        </w:tc>
      </w:tr>
      <w:tr>
        <w:trPr>
          <w:trHeight w:val="284"/>
        </w:trPr>
        <w:tc>
          <w:tcPr>
            <w:tcW w:w="1300" w:type="dxa"/>
            <w:vAlign w:val="bottom"/>
            <w:gridSpan w:val="3"/>
          </w:tcPr>
          <w:p>
            <w:pPr>
              <w:spacing w:after="0"/>
              <w:rPr>
                <w:sz w:val="20"/>
                <w:szCs w:val="20"/>
                <w:color w:val="auto"/>
              </w:rPr>
            </w:pPr>
            <w:r>
              <w:rPr>
                <w:rFonts w:ascii="Arial" w:cs="Arial" w:eastAsia="Arial" w:hAnsi="Arial"/>
                <w:sz w:val="18"/>
                <w:szCs w:val="18"/>
                <w:color w:val="auto"/>
              </w:rPr>
              <w:t>101.INS ††</w:t>
            </w:r>
          </w:p>
        </w:tc>
        <w:tc>
          <w:tcPr>
            <w:tcW w:w="10100" w:type="dxa"/>
            <w:vAlign w:val="bottom"/>
            <w:gridSpan w:val="3"/>
          </w:tcPr>
          <w:p>
            <w:pPr>
              <w:ind w:left="4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84"/>
        </w:trPr>
        <w:tc>
          <w:tcPr>
            <w:tcW w:w="1300" w:type="dxa"/>
            <w:vAlign w:val="bottom"/>
            <w:gridSpan w:val="3"/>
          </w:tcPr>
          <w:p>
            <w:pPr>
              <w:spacing w:after="0"/>
              <w:rPr>
                <w:sz w:val="20"/>
                <w:szCs w:val="20"/>
                <w:color w:val="auto"/>
              </w:rPr>
            </w:pPr>
            <w:r>
              <w:rPr>
                <w:rFonts w:ascii="Arial" w:cs="Arial" w:eastAsia="Arial" w:hAnsi="Arial"/>
                <w:sz w:val="18"/>
                <w:szCs w:val="18"/>
                <w:color w:val="auto"/>
              </w:rPr>
              <w:t>101.SCH ††</w:t>
            </w:r>
          </w:p>
        </w:tc>
        <w:tc>
          <w:tcPr>
            <w:tcW w:w="1010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84"/>
        </w:trPr>
        <w:tc>
          <w:tcPr>
            <w:tcW w:w="1300" w:type="dxa"/>
            <w:vAlign w:val="bottom"/>
            <w:gridSpan w:val="3"/>
          </w:tcPr>
          <w:p>
            <w:pPr>
              <w:spacing w:after="0"/>
              <w:rPr>
                <w:sz w:val="20"/>
                <w:szCs w:val="20"/>
                <w:color w:val="auto"/>
              </w:rPr>
            </w:pPr>
            <w:r>
              <w:rPr>
                <w:rFonts w:ascii="Arial" w:cs="Arial" w:eastAsia="Arial" w:hAnsi="Arial"/>
                <w:sz w:val="18"/>
                <w:szCs w:val="18"/>
                <w:color w:val="auto"/>
              </w:rPr>
              <w:t>101.CAL ††</w:t>
            </w:r>
          </w:p>
        </w:tc>
        <w:tc>
          <w:tcPr>
            <w:tcW w:w="1010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84"/>
        </w:trPr>
        <w:tc>
          <w:tcPr>
            <w:tcW w:w="1300" w:type="dxa"/>
            <w:vAlign w:val="bottom"/>
            <w:gridSpan w:val="3"/>
          </w:tcPr>
          <w:p>
            <w:pPr>
              <w:spacing w:after="0"/>
              <w:rPr>
                <w:sz w:val="20"/>
                <w:szCs w:val="20"/>
                <w:color w:val="auto"/>
              </w:rPr>
            </w:pPr>
            <w:r>
              <w:rPr>
                <w:rFonts w:ascii="Arial" w:cs="Arial" w:eastAsia="Arial" w:hAnsi="Arial"/>
                <w:sz w:val="18"/>
                <w:szCs w:val="18"/>
                <w:color w:val="auto"/>
              </w:rPr>
              <w:t>101.DEF ††</w:t>
            </w:r>
          </w:p>
        </w:tc>
        <w:tc>
          <w:tcPr>
            <w:tcW w:w="1010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84"/>
        </w:trPr>
        <w:tc>
          <w:tcPr>
            <w:tcW w:w="1300" w:type="dxa"/>
            <w:vAlign w:val="bottom"/>
            <w:gridSpan w:val="3"/>
          </w:tcPr>
          <w:p>
            <w:pPr>
              <w:spacing w:after="0"/>
              <w:rPr>
                <w:sz w:val="20"/>
                <w:szCs w:val="20"/>
                <w:color w:val="auto"/>
              </w:rPr>
            </w:pPr>
            <w:r>
              <w:rPr>
                <w:rFonts w:ascii="Arial" w:cs="Arial" w:eastAsia="Arial" w:hAnsi="Arial"/>
                <w:sz w:val="18"/>
                <w:szCs w:val="18"/>
                <w:color w:val="auto"/>
              </w:rPr>
              <w:t>101.LAB ††</w:t>
            </w:r>
          </w:p>
        </w:tc>
        <w:tc>
          <w:tcPr>
            <w:tcW w:w="1010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84"/>
        </w:trPr>
        <w:tc>
          <w:tcPr>
            <w:tcW w:w="1300" w:type="dxa"/>
            <w:vAlign w:val="bottom"/>
            <w:gridSpan w:val="3"/>
          </w:tcPr>
          <w:p>
            <w:pPr>
              <w:spacing w:after="0"/>
              <w:rPr>
                <w:sz w:val="20"/>
                <w:szCs w:val="20"/>
                <w:color w:val="auto"/>
              </w:rPr>
            </w:pPr>
            <w:r>
              <w:rPr>
                <w:rFonts w:ascii="Arial" w:cs="Arial" w:eastAsia="Arial" w:hAnsi="Arial"/>
                <w:sz w:val="18"/>
                <w:szCs w:val="18"/>
                <w:color w:val="auto"/>
              </w:rPr>
              <w:t>101.PRE ††</w:t>
            </w:r>
          </w:p>
        </w:tc>
        <w:tc>
          <w:tcPr>
            <w:tcW w:w="1010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Denotes a management contract or compensatory plan or arrangement.</w:t>
      </w:r>
    </w:p>
    <w:p>
      <w:pPr>
        <w:spacing w:after="0" w:line="15" w:lineRule="exact"/>
        <w:rPr>
          <w:sz w:val="20"/>
          <w:szCs w:val="20"/>
          <w:color w:val="auto"/>
        </w:rPr>
      </w:pPr>
    </w:p>
    <w:p>
      <w:pPr>
        <w:ind w:left="460" w:right="240" w:hanging="452"/>
        <w:spacing w:after="0" w:line="300"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certifications attached as Exhibit 32.1 that accompany this Annual Report on Form 10-K, are not deemed filed with the Securities and Exchange Commission and are not to be incorporated by reference into any filing of Autodesk, Inc. under the Securities Act of 1933, as amended, or the Securities</w:t>
      </w:r>
    </w:p>
    <w:p>
      <w:pPr>
        <w:spacing w:after="0" w:line="1" w:lineRule="exact"/>
        <w:rPr>
          <w:sz w:val="20"/>
          <w:szCs w:val="20"/>
          <w:color w:val="auto"/>
        </w:rPr>
      </w:pPr>
    </w:p>
    <w:p>
      <w:pPr>
        <w:ind w:left="460" w:right="80"/>
        <w:spacing w:after="0" w:line="250" w:lineRule="auto"/>
        <w:rPr>
          <w:sz w:val="20"/>
          <w:szCs w:val="20"/>
          <w:color w:val="auto"/>
        </w:rPr>
      </w:pPr>
      <w:r>
        <w:rPr>
          <w:rFonts w:ascii="Arial" w:cs="Arial" w:eastAsia="Arial" w:hAnsi="Arial"/>
          <w:sz w:val="18"/>
          <w:szCs w:val="18"/>
          <w:color w:val="auto"/>
        </w:rPr>
        <w:t>Exchange Act of 1934, as amended, whether made before or after the date of this Form 10-K, irrespective of any general incorporation language contained in such filing.</w:t>
      </w:r>
    </w:p>
    <w:p>
      <w:pPr>
        <w:spacing w:after="0" w:line="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 and is furnished, not filed with the Securities and Exchange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106</w:t>
      </w:r>
    </w:p>
    <w:p>
      <w:pPr>
        <w:sectPr>
          <w:pgSz w:w="11900" w:h="16838" w:orient="portrait"/>
          <w:cols w:equalWidth="0" w:num="1">
            <w:col w:w="11400"/>
          </w:cols>
          <w:pgMar w:left="240" w:top="459" w:right="259" w:bottom="1440" w:gutter="0" w:footer="0" w:header="0"/>
        </w:sectPr>
      </w:pPr>
    </w:p>
    <w:bookmarkStart w:id="106" w:name="page107"/>
    <w:bookmarkEnd w:id="106"/>
    <w:p>
      <w:pPr>
        <w:ind w:left="10420"/>
        <w:spacing w:after="0"/>
        <w:rPr>
          <w:sz w:val="20"/>
          <w:szCs w:val="20"/>
          <w:color w:val="auto"/>
        </w:rPr>
      </w:pPr>
      <w:r>
        <w:rPr>
          <w:rFonts w:ascii="Arial" w:cs="Arial" w:eastAsia="Arial" w:hAnsi="Arial"/>
          <w:sz w:val="16"/>
          <w:szCs w:val="16"/>
          <w:b w:val="1"/>
          <w:bCs w:val="1"/>
          <w:color w:val="auto"/>
        </w:rPr>
        <w:t>Exhibit 10.26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2010 (revised January 21,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George M. “Ken” Bado</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u w:val="single" w:color="auto"/>
          <w:color w:val="auto"/>
        </w:rPr>
        <w:t>Separation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Ken:</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Separation Agreement (“Agreement”) is to confirm the understanding and agreement between you and Autodesk, Inc. (the “Company”), regarding your separation from the Company. In consideration of the mutual promises and agreements described herein and in lieu of any other payments in connection with termination of your employment you and the Company agree as follows:</w:t>
      </w:r>
    </w:p>
    <w:p>
      <w:pPr>
        <w:spacing w:after="0" w:line="215" w:lineRule="exact"/>
        <w:rPr>
          <w:sz w:val="20"/>
          <w:szCs w:val="20"/>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 Payments and Benefits upon Transition</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64"/>
        <w:spacing w:after="0" w:line="256"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Effective January 31, 2011, you will be relieved of (i) your duties as Executive Vice President World Wide Sales and Services and (ii) your status as a section 16 (b) officer of the Company. Thereafter, if you execute, not revoke and abide by the terms of this Agreement, you will continue on the Company payroll as an employee providing transitional services through March 28, 2011 as described in Paragraph 2. If you revoke or fail to execute or abide by the terms of this Agreement, your employment will also terminate on January 31, 2011.</w:t>
      </w:r>
    </w:p>
    <w:p>
      <w:pPr>
        <w:spacing w:after="0" w:line="143" w:lineRule="exact"/>
        <w:rPr>
          <w:rFonts w:ascii="Arial" w:cs="Arial" w:eastAsia="Arial" w:hAnsi="Arial"/>
          <w:sz w:val="18"/>
          <w:szCs w:val="18"/>
          <w:color w:val="auto"/>
        </w:rPr>
      </w:pPr>
    </w:p>
    <w:p>
      <w:pPr>
        <w:jc w:val="both"/>
        <w:ind w:right="120" w:firstLine="464"/>
        <w:spacing w:after="0" w:line="256" w:lineRule="auto"/>
        <w:tabs>
          <w:tab w:leader="none" w:pos="7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you participate in the Company’s health benefit programs, you will continue to be covered by the Company’s health insurance plans through the end of January. Notwithstanding the foregoing, if you continue on the payroll, then your health benefits may be extended as set forth in Section 2 below. If you have contributed to the Autodesk Employee Stock Purchase Plan your contribution will be returned to you in accordance with the terms of the Autodesk Employee Stock Purchase Plan.</w:t>
      </w:r>
    </w:p>
    <w:p>
      <w:pPr>
        <w:spacing w:after="0" w:line="143" w:lineRule="exact"/>
        <w:rPr>
          <w:rFonts w:ascii="Arial" w:cs="Arial" w:eastAsia="Arial" w:hAnsi="Arial"/>
          <w:sz w:val="18"/>
          <w:szCs w:val="18"/>
          <w:color w:val="auto"/>
        </w:rPr>
      </w:pPr>
    </w:p>
    <w:p>
      <w:pPr>
        <w:ind w:right="20" w:firstLine="464"/>
        <w:spacing w:after="0" w:line="298" w:lineRule="auto"/>
        <w:tabs>
          <w:tab w:leader="none" w:pos="6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accordance with standard Company policy, the Company will pay you any accrued and unused vacation pay on or prior to January 31, 2011. You will be reimbursed for reasonable and documented outstanding business expenses, incurred by you, and approved by your manager through January 31, 2011 in accordance with Company policy. Notwithstanding any transitional services provided herein, you will not be eligible to earn any bonuses, commissions, or any other compensation, benefits, or perquisites after January 31, 2011, except as expressly provided by the terms of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25" w:right="239" w:bottom="1440" w:gutter="0" w:footer="0" w:header="0"/>
        </w:sectPr>
      </w:pPr>
    </w:p>
    <w:bookmarkStart w:id="107" w:name="page108"/>
    <w:bookmarkEnd w:id="107"/>
    <w:p>
      <w:pPr>
        <w:ind w:right="100" w:firstLine="464"/>
        <w:spacing w:after="0" w:line="259"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your equity awards shall continue to be governed by the terms and conditions (including, but not limited to, with respect to the exercise of vested stock options) of the applicable Company equity plan under which the award was granted and applicable equity award agreement (each an “Equity Award Document”, and together, the “Equity Award Documents”).</w:t>
      </w:r>
    </w:p>
    <w:p>
      <w:pPr>
        <w:spacing w:after="0" w:line="215" w:lineRule="exact"/>
        <w:rPr>
          <w:sz w:val="20"/>
          <w:szCs w:val="20"/>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 Payments And Benefits Subject to Compliance with Agreement</w:t>
      </w:r>
      <w:r>
        <w:rPr>
          <w:rFonts w:ascii="Arial" w:cs="Arial" w:eastAsia="Arial" w:hAnsi="Arial"/>
          <w:sz w:val="18"/>
          <w:szCs w:val="18"/>
          <w:b w:val="1"/>
          <w:bCs w:val="1"/>
          <w:color w:val="auto"/>
        </w:rPr>
        <w:t>.</w:t>
      </w:r>
    </w:p>
    <w:p>
      <w:pPr>
        <w:spacing w:after="0" w:line="96"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Provided that you timely execute and do not revoke this Separation Agreement and associated Addendum, and subject to you remaining fully compliant with the terms herein, the Company shall provide you the following:</w:t>
      </w:r>
    </w:p>
    <w:p>
      <w:pPr>
        <w:spacing w:after="0" w:line="132"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(a) Severance Payment. The Company will provide you with a lump-sum payment equal to six (6) weeks of your current base salary for a total of</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$55,384.62 (less withholdings). You acknowledge and agree that this severance payment shall alone serve as full and binding consideration for your release of claims as provided by Paragraph 4, below, and in the Addendum to this Agreement. You will receive this payment at the end of the Transition Services Period (as defined below).</w:t>
      </w:r>
    </w:p>
    <w:p>
      <w:pPr>
        <w:spacing w:after="0" w:line="144" w:lineRule="exact"/>
        <w:rPr>
          <w:sz w:val="20"/>
          <w:szCs w:val="20"/>
          <w:color w:val="auto"/>
        </w:rPr>
      </w:pPr>
    </w:p>
    <w:p>
      <w:pPr>
        <w:ind w:right="80" w:firstLine="464"/>
        <w:spacing w:after="0" w:line="290" w:lineRule="auto"/>
        <w:tabs>
          <w:tab w:leader="none" w:pos="70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Transition Services. Provided that you agree to remain fully compliant with the terms and conditions of this Agreement (specifically including the non-compete and non-solicit provisions provided by Paragraph 3, below), the Company will allow you to provide transitional services through and including March 28th, 2011 (the “Transition Services Period”), such that you may further vest in certain stock options during the Transition Services Period. You agree, during the Transition Services Period, to give the Company your best efforts in transitioning your work and in performing transitional services. During the Transition Services Period, you shall be paid your base salary and be eligible for health care benefits provided you continue to meet the requirements set forth herein. You may choose to terminate your employment with the Company at any time prior to March 28, 2011. In such event, except for the benefits described in this subparagraph 2(b), you will remain eligible for the payments described in Paragraph 2 after your termination date.</w:t>
      </w:r>
    </w:p>
    <w:p>
      <w:pPr>
        <w:spacing w:after="0" w:line="118" w:lineRule="exact"/>
        <w:rPr>
          <w:rFonts w:ascii="Arial" w:cs="Arial" w:eastAsia="Arial" w:hAnsi="Arial"/>
          <w:sz w:val="16"/>
          <w:szCs w:val="16"/>
          <w:color w:val="auto"/>
        </w:rPr>
      </w:pPr>
    </w:p>
    <w:p>
      <w:pPr>
        <w:ind w:firstLine="464"/>
        <w:spacing w:after="0" w:line="253"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Provided you remain employed through the Transition Services Period, at the conclusion of the Transition Services Period, you will be considered to have vested in the stock options in accordance with the terms of the applicable Equity Award Agreement, but with the express understanding that any and all ownership interests in said equity (including, but not limited to, any ownership interests or rights to said equity and any profits or other proceeds derived from the sale thereof) shall be expressly conditioned upon your subsequent compliance with the provisions of Paragraph 3 (including, but not limited to, the non-compete and non-solicit terms provided therein) because you acknowledge hereby that you would not have any opportunity to perform such transition services (and thereby vest in such equity awards) without such promises to the Company to comply with the provisions of Paragraph 3 (including to not compete and to not solicit) and, accordingly, that any stock ownership rights associated with the transition services shall be immediately forfeited upon any breach of your obligations therein.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80" w:right="239" w:bottom="1440" w:gutter="0" w:footer="0" w:header="0"/>
        </w:sectPr>
      </w:pPr>
    </w:p>
    <w:bookmarkStart w:id="108" w:name="page109"/>
    <w:bookmarkEnd w:id="108"/>
    <w:p>
      <w:pPr>
        <w:jc w:val="both"/>
        <w:ind w:left="-20" w:right="40" w:firstLine="464"/>
        <w:spacing w:after="0" w:line="298" w:lineRule="auto"/>
        <w:tabs>
          <w:tab w:leader="none" w:pos="685" w:val="left"/>
        </w:tabs>
        <w:numPr>
          <w:ilvl w:val="0"/>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Payment. Subject to your continued compliance with the terms of this Agreement, the Company will provide to you an additional payment equivalent to twenty three (23) weeks of your base salary plus target variable, to be provided in two equal installments of $ 181,346.15 each (less applicable withholdings), with such payments to be made on September 1, 2011 and January 31, 2012, provided that you remain compliant with the terms of this Agreement (specifically including the non-compete and non-solicit provisions provided by Paragraph 3, below).</w:t>
      </w:r>
    </w:p>
    <w:p>
      <w:pPr>
        <w:spacing w:after="0" w:line="112" w:lineRule="exact"/>
        <w:rPr>
          <w:rFonts w:ascii="Arial" w:cs="Arial" w:eastAsia="Arial" w:hAnsi="Arial"/>
          <w:sz w:val="16"/>
          <w:szCs w:val="16"/>
          <w:color w:val="auto"/>
        </w:rPr>
      </w:pPr>
    </w:p>
    <w:p>
      <w:pPr>
        <w:ind w:left="680" w:hanging="236"/>
        <w:spacing w:after="0"/>
        <w:tabs>
          <w:tab w:leader="none" w:pos="6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Benefits Upon Death. In the event of your death, any remaining severance payments owed to you under this Agreement will be paid to your estate.</w:t>
      </w:r>
    </w:p>
    <w:p>
      <w:pPr>
        <w:spacing w:after="0" w:line="269" w:lineRule="exact"/>
        <w:rPr>
          <w:sz w:val="20"/>
          <w:szCs w:val="20"/>
          <w:color w:val="auto"/>
        </w:rPr>
      </w:pPr>
    </w:p>
    <w:p>
      <w:pPr>
        <w:ind w:left="620" w:hanging="176"/>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Obligations of Employee</w:t>
      </w:r>
      <w:r>
        <w:rPr>
          <w:rFonts w:ascii="Arial" w:cs="Arial" w:eastAsia="Arial" w:hAnsi="Arial"/>
          <w:sz w:val="18"/>
          <w:szCs w:val="18"/>
          <w:b w:val="1"/>
          <w:bCs w:val="1"/>
          <w:color w:val="auto"/>
        </w:rPr>
        <w:t>.</w:t>
      </w:r>
    </w:p>
    <w:p>
      <w:pPr>
        <w:spacing w:after="0" w:line="96" w:lineRule="exact"/>
        <w:rPr>
          <w:sz w:val="20"/>
          <w:szCs w:val="20"/>
          <w:color w:val="auto"/>
        </w:rPr>
      </w:pPr>
    </w:p>
    <w:p>
      <w:pPr>
        <w:ind w:left="-20" w:firstLine="464"/>
        <w:spacing w:after="0" w:line="285" w:lineRule="auto"/>
        <w:tabs>
          <w:tab w:leader="none" w:pos="675" w:val="left"/>
        </w:tabs>
        <w:numPr>
          <w:ilvl w:val="0"/>
          <w:numId w:val="55"/>
        </w:numPr>
        <w:rPr>
          <w:rFonts w:ascii="Arial" w:cs="Arial" w:eastAsia="Arial" w:hAnsi="Arial"/>
          <w:sz w:val="16"/>
          <w:szCs w:val="16"/>
          <w:color w:val="auto"/>
        </w:rPr>
      </w:pPr>
      <w:r>
        <w:rPr>
          <w:rFonts w:ascii="Arial" w:cs="Arial" w:eastAsia="Arial" w:hAnsi="Arial"/>
          <w:sz w:val="16"/>
          <w:szCs w:val="16"/>
          <w:color w:val="auto"/>
        </w:rPr>
        <w:t>By your execution of this Agreement, you expressly agree at all times hereafter to hold in the strictest confidence, and not to use or disclose to any person or entity other than the Company or its successors or assigns, any Confidential Information of the Company (as defined below). You understand and agree that “Confidential Information” as used in this Agreement means any and all Company proprietary information, technical data, trade secrets or know-how including, without limitation, confidential or proprietary information regarding any employees of the Company (including, but not limited to, any compensation, performance review data, contact information, or other confidential employee data, whether maintained by the Company’s Human Resources Department or otherwise); customer lists and customer identities and contact information (including, but not limited to, any current, former, or potential customers of the Company on whom you have called or became acquainted during the term of your employment with the Company); sales pipelines (including, but not limited to, potential sales prospects); pricing and pricing strategies; current or anticipated markets; marketing, marketing research and activities, marketing development, and marketing strategy; services, products, and product plans; software; source code; developments; inventions; processes; formulas; technology; designs; drawings; engineering; hardware configuration information; finances; business plans; other business information; and confidential information of the Company’s customers, business contacts, or other third parties disclosed to you by the Company either directly or indirectly, in writing, orally, or by drawings or observation of parts or equipment. You acknowledge that Confidential Information does not include any of the foregoing to the extent such information had become publicly known and made generally available through no wrongful act of you or others. You represent that you have not, to date, misused or disclosed any Confidential Information to any unauthorized party. You hereby grant consent to notification by the Company to any new employer about your confidentiality and all other continuing obligations to the Company, under this provision or otherwise.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380"/>
          </w:cols>
          <w:pgMar w:left="260" w:top="280" w:right="259" w:bottom="1440" w:gutter="0" w:footer="0" w:header="0"/>
        </w:sectPr>
      </w:pPr>
    </w:p>
    <w:bookmarkStart w:id="109" w:name="page110"/>
    <w:bookmarkEnd w:id="109"/>
    <w:p>
      <w:pPr>
        <w:ind w:left="-8" w:right="220" w:firstLine="464"/>
        <w:spacing w:after="0" w:line="256" w:lineRule="auto"/>
        <w:tabs>
          <w:tab w:leader="none" w:pos="697"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agree to comply with the terms set forth in any employee confidentiality and intellectual property agreements (including but not limited to those related to product source code) executed by you on or about your hire date and during your employment with the Company. You agree that any program, document, drawing, or other work you worked on at Company’s direction or on Company time, or using Company’s equipment, or using any information proprietary to Company shall remain the property of the Company.</w:t>
      </w:r>
    </w:p>
    <w:p>
      <w:pPr>
        <w:spacing w:after="0" w:line="143" w:lineRule="exact"/>
        <w:rPr>
          <w:rFonts w:ascii="Arial" w:cs="Arial" w:eastAsia="Arial" w:hAnsi="Arial"/>
          <w:sz w:val="18"/>
          <w:szCs w:val="18"/>
          <w:color w:val="auto"/>
        </w:rPr>
      </w:pPr>
    </w:p>
    <w:p>
      <w:pPr>
        <w:jc w:val="both"/>
        <w:ind w:left="-8" w:right="120" w:firstLine="464"/>
        <w:spacing w:after="0" w:line="259" w:lineRule="auto"/>
        <w:tabs>
          <w:tab w:leader="none" w:pos="687" w:val="left"/>
        </w:tabs>
        <w:numPr>
          <w:ilvl w:val="1"/>
          <w:numId w:val="56"/>
        </w:numPr>
        <w:rPr>
          <w:rFonts w:ascii="Arial" w:cs="Arial" w:eastAsia="Arial" w:hAnsi="Arial"/>
          <w:sz w:val="18"/>
          <w:szCs w:val="18"/>
          <w:color w:val="auto"/>
        </w:rPr>
      </w:pPr>
      <w:r>
        <w:rPr>
          <w:rFonts w:ascii="Arial" w:cs="Arial" w:eastAsia="Arial" w:hAnsi="Arial"/>
          <w:sz w:val="18"/>
          <w:szCs w:val="18"/>
          <w:color w:val="auto"/>
        </w:rPr>
        <w:t>You hereby confirm that you will return to the Company all Company property in your possession and execute the attached Termination Certificate by the end of the Transition Services Period. If you fail to timely do so, the Company will not be obligated to make the payment to you described in Paragraph 2 of this Agreement.</w:t>
      </w:r>
    </w:p>
    <w:p>
      <w:pPr>
        <w:spacing w:after="0" w:line="140" w:lineRule="exact"/>
        <w:rPr>
          <w:rFonts w:ascii="Arial" w:cs="Arial" w:eastAsia="Arial" w:hAnsi="Arial"/>
          <w:sz w:val="18"/>
          <w:szCs w:val="18"/>
          <w:color w:val="auto"/>
        </w:rPr>
      </w:pPr>
    </w:p>
    <w:p>
      <w:pPr>
        <w:ind w:left="-8" w:right="240" w:firstLine="464"/>
        <w:spacing w:after="0" w:line="259" w:lineRule="auto"/>
        <w:tabs>
          <w:tab w:leader="none" w:pos="697" w:val="left"/>
        </w:tabs>
        <w:numPr>
          <w:ilvl w:val="1"/>
          <w:numId w:val="56"/>
        </w:numPr>
        <w:rPr>
          <w:rFonts w:ascii="Arial" w:cs="Arial" w:eastAsia="Arial" w:hAnsi="Arial"/>
          <w:sz w:val="18"/>
          <w:szCs w:val="18"/>
          <w:color w:val="auto"/>
        </w:rPr>
      </w:pPr>
      <w:r>
        <w:rPr>
          <w:rFonts w:ascii="Arial" w:cs="Arial" w:eastAsia="Arial" w:hAnsi="Arial"/>
          <w:sz w:val="18"/>
          <w:szCs w:val="18"/>
          <w:color w:val="auto"/>
        </w:rPr>
        <w:t>You agree to keep the terms of this Agreement (including, but not limited to, the payment amount) completely confidential and not disclose any information concerning this Agreement or its terms to anyone other than your immediate family, legal counsel, and/or financial advisors who will be bound by this confidentiality clause.</w:t>
      </w:r>
    </w:p>
    <w:p>
      <w:pPr>
        <w:spacing w:after="0" w:line="140" w:lineRule="exact"/>
        <w:rPr>
          <w:rFonts w:ascii="Arial" w:cs="Arial" w:eastAsia="Arial" w:hAnsi="Arial"/>
          <w:sz w:val="18"/>
          <w:szCs w:val="18"/>
          <w:color w:val="auto"/>
        </w:rPr>
      </w:pPr>
    </w:p>
    <w:p>
      <w:pPr>
        <w:ind w:left="-8" w:firstLine="464"/>
        <w:spacing w:after="0" w:line="259" w:lineRule="auto"/>
        <w:tabs>
          <w:tab w:leader="none" w:pos="687" w:val="left"/>
        </w:tabs>
        <w:numPr>
          <w:ilvl w:val="1"/>
          <w:numId w:val="56"/>
        </w:numPr>
        <w:rPr>
          <w:rFonts w:ascii="Arial" w:cs="Arial" w:eastAsia="Arial" w:hAnsi="Arial"/>
          <w:sz w:val="18"/>
          <w:szCs w:val="18"/>
          <w:color w:val="auto"/>
        </w:rPr>
      </w:pPr>
      <w:r>
        <w:rPr>
          <w:rFonts w:ascii="Arial" w:cs="Arial" w:eastAsia="Arial" w:hAnsi="Arial"/>
          <w:sz w:val="18"/>
          <w:szCs w:val="18"/>
          <w:color w:val="auto"/>
        </w:rPr>
        <w:t>You agree that for a period of twenty four (24) months immediately following the end of the Transition Services Period (or to the greatest extent otherwise permitted by law), you will not directly or indirectly, for yourself or any third party other than the Company, solicit any of the Company’s employees to leave their employment with the Company.</w:t>
      </w:r>
    </w:p>
    <w:p>
      <w:pPr>
        <w:spacing w:after="0" w:line="140" w:lineRule="exact"/>
        <w:rPr>
          <w:rFonts w:ascii="Arial" w:cs="Arial" w:eastAsia="Arial" w:hAnsi="Arial"/>
          <w:sz w:val="18"/>
          <w:szCs w:val="18"/>
          <w:color w:val="auto"/>
        </w:rPr>
      </w:pPr>
    </w:p>
    <w:p>
      <w:pPr>
        <w:ind w:left="-8" w:firstLine="464"/>
        <w:spacing w:after="0" w:line="283" w:lineRule="auto"/>
        <w:tabs>
          <w:tab w:leader="none" w:pos="668" w:val="left"/>
        </w:tabs>
        <w:numPr>
          <w:ilvl w:val="1"/>
          <w:numId w:val="56"/>
        </w:numPr>
        <w:rPr>
          <w:rFonts w:ascii="Arial" w:cs="Arial" w:eastAsia="Arial" w:hAnsi="Arial"/>
          <w:sz w:val="16"/>
          <w:szCs w:val="16"/>
          <w:color w:val="auto"/>
        </w:rPr>
      </w:pPr>
      <w:r>
        <w:rPr>
          <w:rFonts w:ascii="Arial" w:cs="Arial" w:eastAsia="Arial" w:hAnsi="Arial"/>
          <w:sz w:val="16"/>
          <w:szCs w:val="16"/>
          <w:color w:val="auto"/>
        </w:rPr>
        <w:t>You agree that for a period of twelve (12) months immediately following the end of your Transition Period (or to the greatest extent otherwise permitted by law), you will not without the prior written consent of the Company, directly or indirectly, be or become an officer, director, stockholder, owner, affiliate, salesperson, co-owner, partner, trustee, promoter, technician, engineer, analyst, employee, agent, representative, supplier, contractor, consultant, advisor or manager of or to, or otherwise acquire or hold any interest in, or participate in or facilitate the financing, operation, management or control of, any of the following direct competitors of the Company: Dassault Systems and all its subsidiaries including but not limited to Solidworks Corporation, Parametric Technology Corporation (PTC), and Siemens UGS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nothing in this Agreement shall prevent or restrict you from any of the following:</w:t>
      </w:r>
    </w:p>
    <w:p>
      <w:pPr>
        <w:spacing w:after="0" w:line="1" w:lineRule="exact"/>
        <w:rPr>
          <w:rFonts w:ascii="Arial" w:cs="Arial" w:eastAsia="Arial" w:hAnsi="Arial"/>
          <w:sz w:val="16"/>
          <w:szCs w:val="16"/>
          <w:color w:val="auto"/>
        </w:rPr>
      </w:pPr>
    </w:p>
    <w:p>
      <w:pPr>
        <w:ind w:left="-8" w:right="180" w:firstLine="8"/>
        <w:spacing w:after="0" w:line="300" w:lineRule="auto"/>
        <w:tabs>
          <w:tab w:leader="none" w:pos="202" w:val="left"/>
        </w:tabs>
        <w:numPr>
          <w:ilvl w:val="0"/>
          <w:numId w:val="57"/>
        </w:numPr>
        <w:rPr>
          <w:rFonts w:ascii="Arial" w:cs="Arial" w:eastAsia="Arial" w:hAnsi="Arial"/>
          <w:sz w:val="15"/>
          <w:szCs w:val="15"/>
          <w:color w:val="auto"/>
        </w:rPr>
      </w:pPr>
      <w:r>
        <w:rPr>
          <w:rFonts w:ascii="Arial" w:cs="Arial" w:eastAsia="Arial" w:hAnsi="Arial"/>
          <w:sz w:val="15"/>
          <w:szCs w:val="15"/>
          <w:color w:val="auto"/>
        </w:rPr>
        <w:t>owning as a passive investment less than 1% of the outstanding shares of the capital stock of a corporation (whether public or private) that is enumerated herein, provided that you are not otherwise associated with such corporation; (ii) performing speaking engagements and receiving honoraria in connection with such engagements; (iii) being employed by any government agency, college, university or other non-profit research organization; (iv) owning a passive equity interest in a private debt or equity investment fund in which the you do not have the ability to control or exercise any managerial influence over such fund; or</w:t>
      </w:r>
    </w:p>
    <w:p>
      <w:pPr>
        <w:spacing w:after="0" w:line="1" w:lineRule="exact"/>
        <w:rPr>
          <w:rFonts w:ascii="Arial" w:cs="Arial" w:eastAsia="Arial" w:hAnsi="Arial"/>
          <w:sz w:val="15"/>
          <w:szCs w:val="15"/>
          <w:color w:val="auto"/>
        </w:rPr>
      </w:pPr>
    </w:p>
    <w:p>
      <w:pPr>
        <w:ind w:left="-8" w:right="120" w:firstLine="8"/>
        <w:spacing w:after="0" w:line="255" w:lineRule="auto"/>
        <w:tabs>
          <w:tab w:leader="none" w:pos="241"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activity consented to in writing by the Company. As used herein, “Restricted Territory” means the United States, with the understanding that your obligations under this Paragraph 3(f) shall be construed as a series of separate covenants, one for each country, province, state, city or other political subdivision of</w:t>
      </w:r>
    </w:p>
    <w:p>
      <w:pPr>
        <w:spacing w:after="0" w:line="13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72"/>
          </w:cols>
          <w:pgMar w:left="248" w:top="280" w:right="279" w:bottom="1440" w:gutter="0" w:footer="0" w:header="0"/>
        </w:sectPr>
      </w:pPr>
    </w:p>
    <w:bookmarkStart w:id="110" w:name="page111"/>
    <w:bookmarkEnd w:id="11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Restricted Territory. Except for geographic coverage, each such separate covenant shall be deemed identical in terms to the covenant contained herein. If, in any judicial proceeding, a court refuses to enforce any of such separate covenants (or any part thereof), then you agree that such unenforceable covenant (or such part) shall be eliminated from this Agreement to the extent necessary to permit the remaining separate covenants (or portions thereof) to be enforced. In the event that the provisions of this Paragraph 3(f) are deemed to exceed the time, geographic or scope limitations permitted by applicable law, then you agree that such provisions shall be reformed to the maximum time, geographic or scope limitations, as the case may be, permitted by applicable law. You acknowledge and represent that were you to violate this Paragraph 3(f), you would likely jeopardize the good will and other protectable interests of the Company, and it would be difficult for you not to rely on or use the Company’s confidential or trade secret information (including but not limited to current and prospective client and sales information of the Company). You acknowledge that the limitations of time, geography, and scope of activity agreed to herein are reasonable because, among other things, you will be able to obtain suitable and satisfactory employment in your chosen profession without violating this Agreement. You agree to provide the Company advance notice of any contemplated employment relationship within the twelve (12) months immediately following the end of the Transition Services Period, prior to accepting such employment, and to allow the Company an opportunity to confirm that any such employment does not violate your obligations herein.</w:t>
      </w:r>
    </w:p>
    <w:p>
      <w:pPr>
        <w:spacing w:after="0" w:line="124" w:lineRule="exact"/>
        <w:rPr>
          <w:sz w:val="20"/>
          <w:szCs w:val="20"/>
          <w:color w:val="auto"/>
        </w:rPr>
      </w:pPr>
    </w:p>
    <w:p>
      <w:pPr>
        <w:ind w:right="20" w:firstLine="464"/>
        <w:spacing w:after="0" w:line="290" w:lineRule="auto"/>
        <w:tabs>
          <w:tab w:leader="none" w:pos="705" w:val="left"/>
        </w:tabs>
        <w:numPr>
          <w:ilvl w:val="0"/>
          <w:numId w:val="59"/>
        </w:numPr>
        <w:rPr>
          <w:rFonts w:ascii="Arial" w:cs="Arial" w:eastAsia="Arial" w:hAnsi="Arial"/>
          <w:sz w:val="16"/>
          <w:szCs w:val="16"/>
          <w:color w:val="auto"/>
        </w:rPr>
      </w:pPr>
      <w:r>
        <w:rPr>
          <w:rFonts w:ascii="Arial" w:cs="Arial" w:eastAsia="Arial" w:hAnsi="Arial"/>
          <w:sz w:val="16"/>
          <w:szCs w:val="16"/>
          <w:color w:val="auto"/>
        </w:rPr>
        <w:t>You expressly acknowledge and agree that your full and continuing compliance with each of the terms of this Paragraph 3 serves as a condition subsequent for your receipt of the payments described under Paragraph 2(b) and (d) of this Agreement such that, without limiting the recourse otherwise available to the Company, should you fail to continue to comply in full with the terms of this Paragraph 3, (i) any stock rights provided under Paragraph 2(b) of this Agreement shall immediately revert to ownership by the Company (with the Company having the right to recover any profits derived from any sale of such stock ownership rights), and (ii) the Company shall have the right to fully recover any payments provided to you pursuant to Paragraph 2(d) of this Agreement. Notwithstanding any forfeiture provided herein, you expressly acknowledge and agree that the severance provided to you under Paragraph 2(a) shall continue to serve as full and binding consideration for your release of claims under Paragraph 4 of this Agreement.</w:t>
      </w:r>
    </w:p>
    <w:p>
      <w:pPr>
        <w:spacing w:after="0" w:line="193" w:lineRule="exact"/>
        <w:rPr>
          <w:sz w:val="20"/>
          <w:szCs w:val="20"/>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and Release</w:t>
      </w:r>
      <w:r>
        <w:rPr>
          <w:rFonts w:ascii="Arial" w:cs="Arial" w:eastAsia="Arial" w:hAnsi="Arial"/>
          <w:sz w:val="18"/>
          <w:szCs w:val="18"/>
          <w:b w:val="1"/>
          <w:bCs w:val="1"/>
          <w:color w:val="auto"/>
        </w:rPr>
        <w:t>.</w:t>
      </w:r>
    </w:p>
    <w:p>
      <w:pPr>
        <w:spacing w:after="0" w:line="90" w:lineRule="exact"/>
        <w:rPr>
          <w:sz w:val="20"/>
          <w:szCs w:val="20"/>
          <w:color w:val="auto"/>
        </w:rPr>
      </w:pPr>
    </w:p>
    <w:p>
      <w:pPr>
        <w:ind w:right="240" w:firstLine="464"/>
        <w:spacing w:after="0" w:line="275"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General Release</w:t>
      </w:r>
      <w:r>
        <w:rPr>
          <w:rFonts w:ascii="Arial" w:cs="Arial" w:eastAsia="Arial" w:hAnsi="Arial"/>
          <w:sz w:val="18"/>
          <w:szCs w:val="18"/>
          <w:color w:val="auto"/>
        </w:rPr>
        <w:t>. You acknowledge that you have had the opportunity and have been advised to consult with legal counsel regarding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provisions of California Civil Code Section 1542, which provides as follows:</w:t>
      </w:r>
    </w:p>
    <w:p>
      <w:pPr>
        <w:spacing w:after="0" w:line="45"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80" w:right="239" w:bottom="1440" w:gutter="0" w:footer="0" w:header="0"/>
        </w:sectPr>
      </w:pPr>
    </w:p>
    <w:bookmarkStart w:id="111" w:name="page112"/>
    <w:bookmarkEnd w:id="111"/>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being aware of said Code Section, expressly waive any rights you may have there under, as well as under any other statute or common law principles of similar effect. You specifically agree that you are waiving any unknown claims.</w:t>
      </w:r>
    </w:p>
    <w:p>
      <w:pPr>
        <w:spacing w:after="0" w:line="126" w:lineRule="exact"/>
        <w:rPr>
          <w:sz w:val="20"/>
          <w:szCs w:val="20"/>
          <w:color w:val="auto"/>
        </w:rPr>
      </w:pPr>
    </w:p>
    <w:p>
      <w:pPr>
        <w:ind w:right="20" w:firstLine="464"/>
        <w:spacing w:after="0" w:line="283" w:lineRule="auto"/>
        <w:tabs>
          <w:tab w:leader="none" w:pos="705" w:val="left"/>
        </w:tabs>
        <w:numPr>
          <w:ilvl w:val="1"/>
          <w:numId w:val="62"/>
        </w:numPr>
        <w:rPr>
          <w:rFonts w:ascii="Arial" w:cs="Arial" w:eastAsia="Arial" w:hAnsi="Arial"/>
          <w:sz w:val="16"/>
          <w:szCs w:val="16"/>
          <w:color w:val="auto"/>
        </w:rPr>
      </w:pPr>
      <w:r>
        <w:rPr>
          <w:rFonts w:ascii="Arial" w:cs="Arial" w:eastAsia="Arial" w:hAnsi="Arial"/>
          <w:sz w:val="16"/>
          <w:szCs w:val="16"/>
          <w:b w:val="1"/>
          <w:bCs w:val="1"/>
          <w:color w:val="auto"/>
        </w:rPr>
        <w:t>Release of Claims</w:t>
      </w:r>
      <w:r>
        <w:rPr>
          <w:rFonts w:ascii="Arial" w:cs="Arial" w:eastAsia="Arial" w:hAnsi="Arial"/>
          <w:sz w:val="16"/>
          <w:szCs w:val="16"/>
          <w:color w:val="auto"/>
        </w:rPr>
        <w:t>. You agree that this Agreement represents settlement in full of all outstanding obligations owed to you by the Company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your employment with and termination of your employment with the Company. You, on behalf of yourself and your descendants, heirs and successors (“Releasors”), hereby fully release and discharge the Company, its subsidiaries, divisions and affiliated entities and their respective directors, officers, agents, servants, stockholders, employees, representatives, successors and assigns (“Releasees”), from any and all claims, duties, obligations, actions, or causes of action whatsoever, whether presently known or unknown, asserted or unasserted, which are based on, arise from or relate in any way to your employment with the Company or the termination thereof including, but not limited to, claims for (i) wrongful termination, interference with contract, breach of contract, fraud, misrepresentation and infliction of emotional distress under statutory or common law, (ii) discrimination, harassment or retaliation under state or federal or common law including the California Fair Employment and Housing Act, the Civil Rights Act of 1964, the Age Discrimination in Employment Act, the Older Workers’ Benefit Protection Act and the Americans With Disabilities Act (where applicable), (iii) any wages that are disputed in good faith between you and the Company (if any), (iv) claims for attorneys’ fees and costs, (v) any and all claims for violation of any federal, state, or municipal statute, law, or regulation,</w:t>
      </w:r>
    </w:p>
    <w:p>
      <w:pPr>
        <w:spacing w:after="0" w:line="3" w:lineRule="exact"/>
        <w:rPr>
          <w:rFonts w:ascii="Arial" w:cs="Arial" w:eastAsia="Arial" w:hAnsi="Arial"/>
          <w:sz w:val="16"/>
          <w:szCs w:val="16"/>
          <w:color w:val="auto"/>
        </w:rPr>
      </w:pPr>
    </w:p>
    <w:p>
      <w:pPr>
        <w:ind w:right="40" w:firstLine="8"/>
        <w:spacing w:after="0" w:line="254" w:lineRule="auto"/>
        <w:tabs>
          <w:tab w:leader="none" w:pos="2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claim for any loss, cost, damage, or expense arising out of any dispute over the non-withholding or other tax treatment of any of the proceeds received by you as a result of this Agreement, and (vii) any and all other claims relating to or arising from your employment relationship with the Company and the anticipated termination of that relationship (together “Claims”), with your agreement that your release of Claims set forth herein shall be and remain in effect in all respects as a complete general release as to the matters released.</w:t>
      </w:r>
    </w:p>
    <w:p>
      <w:pPr>
        <w:spacing w:after="0" w:line="137" w:lineRule="exact"/>
        <w:rPr>
          <w:rFonts w:ascii="Arial" w:cs="Arial" w:eastAsia="Arial" w:hAnsi="Arial"/>
          <w:sz w:val="18"/>
          <w:szCs w:val="18"/>
          <w:color w:val="auto"/>
        </w:rPr>
      </w:pPr>
    </w:p>
    <w:p>
      <w:pPr>
        <w:ind w:firstLine="464"/>
        <w:spacing w:after="0" w:line="291" w:lineRule="auto"/>
        <w:tabs>
          <w:tab w:leader="none" w:pos="695" w:val="left"/>
        </w:tabs>
        <w:numPr>
          <w:ilvl w:val="1"/>
          <w:numId w:val="63"/>
        </w:numPr>
        <w:rPr>
          <w:rFonts w:ascii="Arial" w:cs="Arial" w:eastAsia="Arial" w:hAnsi="Arial"/>
          <w:sz w:val="16"/>
          <w:szCs w:val="16"/>
          <w:color w:val="auto"/>
        </w:rPr>
      </w:pPr>
      <w:r>
        <w:rPr>
          <w:rFonts w:ascii="Arial" w:cs="Arial" w:eastAsia="Arial" w:hAnsi="Arial"/>
          <w:sz w:val="16"/>
          <w:szCs w:val="16"/>
          <w:b w:val="1"/>
          <w:bCs w:val="1"/>
          <w:color w:val="auto"/>
        </w:rPr>
        <w:t>Claims Not Released</w:t>
      </w:r>
      <w:r>
        <w:rPr>
          <w:rFonts w:ascii="Arial" w:cs="Arial" w:eastAsia="Arial" w:hAnsi="Arial"/>
          <w:sz w:val="16"/>
          <w:szCs w:val="16"/>
          <w:color w:val="auto"/>
        </w:rPr>
        <w:t>. This release of claims does not apply to any rights or claims that you cannot release as a matter of law, nor does it apply to any</w:t>
      </w:r>
      <w:r>
        <w:rPr>
          <w:rFonts w:ascii="Arial" w:cs="Arial" w:eastAsia="Arial" w:hAnsi="Arial"/>
          <w:sz w:val="16"/>
          <w:szCs w:val="16"/>
          <w:b w:val="1"/>
          <w:bCs w:val="1"/>
          <w:color w:val="auto"/>
        </w:rPr>
        <w:t xml:space="preserve"> </w:t>
      </w:r>
      <w:r>
        <w:rPr>
          <w:rFonts w:ascii="Arial" w:cs="Arial" w:eastAsia="Arial" w:hAnsi="Arial"/>
          <w:sz w:val="16"/>
          <w:szCs w:val="16"/>
          <w:color w:val="auto"/>
        </w:rPr>
        <w:t>Claims that first arise after the date on which you sign this Agreement. In addition, this Agreement does not prohibit you from (i) filing a charge or complaint with the Equal Employment Opportunity Commission (“EEOC”) or any other local, state, or federal administrative body or government agency that is authorized to enforce or administer laws related to employment or (ii) participating in any investigation or other process conducted by the EEOC (with the understanding that any such filing or participation does not give you the right to recover any monetary damages against the Company; your release of claims herein bars you from recovering such monetary relief from the Company). You understand and acknowledge that by reason of your execution of this release of Claims you are receiving from the Company pay and benefits described in Paragraph 2 that are in addition to anything of value to which you were already entitled.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80" w:right="239" w:bottom="1440" w:gutter="0" w:footer="0" w:header="0"/>
        </w:sectPr>
      </w:pPr>
    </w:p>
    <w:bookmarkStart w:id="112" w:name="page113"/>
    <w:bookmarkEnd w:id="112"/>
    <w:p>
      <w:pPr>
        <w:ind w:right="60" w:firstLine="464"/>
        <w:spacing w:after="0" w:line="258" w:lineRule="auto"/>
        <w:tabs>
          <w:tab w:leader="none" w:pos="705"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 Not to Sue</w:t>
      </w:r>
      <w:r>
        <w:rPr>
          <w:rFonts w:ascii="Arial" w:cs="Arial" w:eastAsia="Arial" w:hAnsi="Arial"/>
          <w:sz w:val="18"/>
          <w:szCs w:val="18"/>
          <w:color w:val="auto"/>
        </w:rPr>
        <w:t>. You represent and agree that you have not already, and will not at any time in the future, file any lawsuit,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or other legal action against the Company or any of the Releasees that is based upon, in whole or in part, any of the Claims. In the event that you file any such legal action, the Company and any Releasees against which you bring that legal action will be entitled to recover from you its/their attorneys’ fees and costs incurred in defending that action.</w:t>
      </w:r>
    </w:p>
    <w:p>
      <w:pPr>
        <w:spacing w:after="0" w:line="136" w:lineRule="exact"/>
        <w:rPr>
          <w:rFonts w:ascii="Arial" w:cs="Arial" w:eastAsia="Arial" w:hAnsi="Arial"/>
          <w:sz w:val="18"/>
          <w:szCs w:val="18"/>
          <w:color w:val="auto"/>
        </w:rPr>
      </w:pPr>
    </w:p>
    <w:p>
      <w:pPr>
        <w:ind w:right="20" w:firstLine="464"/>
        <w:spacing w:after="0" w:line="290" w:lineRule="auto"/>
        <w:tabs>
          <w:tab w:leader="none" w:pos="695"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Acknowledgements</w:t>
      </w:r>
      <w:r>
        <w:rPr>
          <w:rFonts w:ascii="Arial" w:cs="Arial" w:eastAsia="Arial" w:hAnsi="Arial"/>
          <w:sz w:val="16"/>
          <w:szCs w:val="16"/>
          <w:color w:val="auto"/>
        </w:rPr>
        <w:t>. You understand and acknowledge that this Agreement and Addendum hereto, constitutes a compromise and settlement of any and</w:t>
      </w:r>
      <w:r>
        <w:rPr>
          <w:rFonts w:ascii="Arial" w:cs="Arial" w:eastAsia="Arial" w:hAnsi="Arial"/>
          <w:sz w:val="16"/>
          <w:szCs w:val="16"/>
          <w:b w:val="1"/>
          <w:bCs w:val="1"/>
          <w:color w:val="auto"/>
        </w:rPr>
        <w:t xml:space="preserve"> </w:t>
      </w:r>
      <w:r>
        <w:rPr>
          <w:rFonts w:ascii="Arial" w:cs="Arial" w:eastAsia="Arial" w:hAnsi="Arial"/>
          <w:sz w:val="16"/>
          <w:szCs w:val="16"/>
          <w:color w:val="auto"/>
        </w:rPr>
        <w:t>all actual or potential disputed claims by you. No action taken by the Company hereto, either previously or in connection with this Agreement or related Addendum, shall be deemed or construed to be (i) an admission of the truth or falsity of any actual or potential claims or (ii) an acknowledgment or admission by the Company of any fault or liability whatsoever to you or to any third party. Other than the payments expressly anticipated by this Agreement, you acknowledge and represent that the Company has paid or provided you all salary, wages, bonuses, accrued vacation, leave, housing allowances, relocation costs, interest, severance, outplacement costs, fees, reimbursable expenses, commissions, stock, stock options, vesting, and any and all other benefits and compensation due to you. You further acknowledge and represent that you have received any leave to which you were entitled or which you requested, if any, under the California Family Rights Act and/or the Family Medical Leave Act, and that you did not sustain any workplace injury during your employment with the Company.</w:t>
      </w:r>
    </w:p>
    <w:p>
      <w:pPr>
        <w:spacing w:after="0" w:line="193" w:lineRule="exact"/>
        <w:rPr>
          <w:sz w:val="20"/>
          <w:szCs w:val="20"/>
          <w:color w:val="auto"/>
        </w:rPr>
      </w:pPr>
    </w:p>
    <w:p>
      <w:pPr>
        <w:ind w:left="640" w:hanging="17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References</w:t>
      </w:r>
      <w:r>
        <w:rPr>
          <w:rFonts w:ascii="Arial" w:cs="Arial" w:eastAsia="Arial" w:hAnsi="Arial"/>
          <w:sz w:val="18"/>
          <w:szCs w:val="18"/>
          <w:b w:val="1"/>
          <w:bCs w:val="1"/>
          <w:color w:val="auto"/>
        </w:rPr>
        <w: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the event prospective employers ask the Company for a job reference, the Company will provide your name, title and dates of employment only, as per the Company’s reference policies.</w:t>
      </w:r>
    </w:p>
    <w:p>
      <w:pPr>
        <w:spacing w:after="0" w:line="207" w:lineRule="exact"/>
        <w:rPr>
          <w:sz w:val="20"/>
          <w:szCs w:val="20"/>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96" w:lineRule="exact"/>
        <w:rPr>
          <w:sz w:val="20"/>
          <w:szCs w:val="20"/>
          <w:color w:val="auto"/>
        </w:rPr>
      </w:pPr>
    </w:p>
    <w:p>
      <w:pPr>
        <w:ind w:left="700" w:hanging="23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Agreement and Addendum shall be governed by the laws of the State of California.</w:t>
      </w:r>
    </w:p>
    <w:p>
      <w:pPr>
        <w:spacing w:after="0" w:line="171" w:lineRule="exact"/>
        <w:rPr>
          <w:rFonts w:ascii="Arial" w:cs="Arial" w:eastAsia="Arial" w:hAnsi="Arial"/>
          <w:sz w:val="18"/>
          <w:szCs w:val="18"/>
          <w:color w:val="auto"/>
        </w:rPr>
      </w:pPr>
    </w:p>
    <w:p>
      <w:pPr>
        <w:ind w:firstLine="464"/>
        <w:spacing w:after="0" w:line="294"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This Agreement and Addendum represents the entire understanding and agreement between the Company and you concerning your termination from the Company as employee, and supersedes and replaces any and all prior agreements and understandings concerning your employment relationship with the Company and your compensation by the Company, with the exception of your Employee Agreements on Intellectual Property and Confidentiality of Product Source Code, the Termination Certificate and the Equity Award Documents, which shall remain in full force and effect. This Agreement and Addendum may only be amended in writing signed by you and a duly authorized manager of the Company.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80"/>
          </w:cols>
          <w:pgMar w:left="240" w:top="274" w:right="279" w:bottom="1440" w:gutter="0" w:footer="0" w:header="0"/>
        </w:sectPr>
      </w:pPr>
    </w:p>
    <w:bookmarkStart w:id="113" w:name="page114"/>
    <w:bookmarkEnd w:id="113"/>
    <w:p>
      <w:pPr>
        <w:ind w:left="-40" w:firstLine="464"/>
        <w:spacing w:after="0" w:line="256"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agree not to disparage the Company in any manner likely to be harmful to the Company’s business or business reputation. You may respond accurately and fully to any question, inquiry, or request for information when required by legal process. As we discussed, the Company will abide by its reference policy of providing neutral and objective information about you. The Company will communicate this message to key members of CEO staff to reinforce our intentions.</w:t>
      </w:r>
    </w:p>
    <w:p>
      <w:pPr>
        <w:spacing w:after="0" w:line="143" w:lineRule="exact"/>
        <w:rPr>
          <w:rFonts w:ascii="Arial" w:cs="Arial" w:eastAsia="Arial" w:hAnsi="Arial"/>
          <w:sz w:val="18"/>
          <w:szCs w:val="18"/>
          <w:color w:val="auto"/>
        </w:rPr>
      </w:pPr>
    </w:p>
    <w:p>
      <w:pPr>
        <w:jc w:val="both"/>
        <w:ind w:left="-40" w:right="160" w:firstLine="464"/>
        <w:spacing w:after="0" w:line="259" w:lineRule="auto"/>
        <w:tabs>
          <w:tab w:leader="none" w:pos="6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You have carefully read and understand the scope and effect of the provisions of this Agreement. By signing below, you are knowingly, willingly and voluntarily agreeing to all of the terms set forth in this Agreement. You have not relied upon any representations or statements made by Autodesk which are not specifically set forth herein.</w:t>
      </w:r>
    </w:p>
    <w:p>
      <w:pPr>
        <w:spacing w:after="0" w:line="140" w:lineRule="exact"/>
        <w:rPr>
          <w:rFonts w:ascii="Arial" w:cs="Arial" w:eastAsia="Arial" w:hAnsi="Arial"/>
          <w:sz w:val="18"/>
          <w:szCs w:val="18"/>
          <w:color w:val="auto"/>
        </w:rPr>
      </w:pPr>
    </w:p>
    <w:p>
      <w:pPr>
        <w:ind w:left="-40" w:right="20" w:firstLine="464"/>
        <w:spacing w:after="0" w:line="286" w:lineRule="auto"/>
        <w:tabs>
          <w:tab w:leader="none" w:pos="6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You understand and acknowledge that you are waiving and releasing any rights you may have under the Age Discrimination in Employment Act of 1967 (“ADEA”), and that this waiver and release is knowing and voluntary. You understand and agree that this waiver and release does not apply to any rights or claims that may arise under the ADEA after the date your sign this Agreement. You understand and acknowledge that the payments to be provided to you under Paragraph 2 are in addition to anything of value to which you were already entitled. You further understand and acknowledge that you have been advised by this writing that: (a) you should consult with an attorney prior to executing this Agreement; (b) you have twenty-one (21) days within which to consider this Agreement; (c) you have seven (7) days following your execution of this Agreement to revoke this Agreement (any such revocation must be in writing and must be sent by certified mail, return receipt requested, to the General Counsel, Autodesk Inc., 111 McInnis Parkway, San Rafael, CA 94903); (d) this Agreement shall not be effective until after the revocation period has expired; and (e) nothing in this Agreement prevents or precludes you from challenging or seeking a determination in good faith of the validity of this waiver under the ADEA, nor does it impose any condition precedent, penalties, or costs for doing so, unless specifically authorized by federal law. In the event you sign this Agreement and return it to the Company in less than the 21-day period identified above, you hereby acknowledge that you have freely and voluntarily chosen to waive the time period allotted for considering this Agreement.</w:t>
      </w:r>
    </w:p>
    <w:p>
      <w:pPr>
        <w:spacing w:after="0" w:line="127" w:lineRule="exact"/>
        <w:rPr>
          <w:rFonts w:ascii="Arial" w:cs="Arial" w:eastAsia="Arial" w:hAnsi="Arial"/>
          <w:sz w:val="16"/>
          <w:szCs w:val="16"/>
          <w:color w:val="auto"/>
        </w:rPr>
      </w:pPr>
    </w:p>
    <w:p>
      <w:pPr>
        <w:ind w:left="-40" w:right="40" w:firstLine="464"/>
        <w:spacing w:after="0" w:line="294" w:lineRule="auto"/>
        <w:tabs>
          <w:tab w:leader="none" w:pos="636" w:val="left"/>
        </w:tabs>
        <w:numPr>
          <w:ilvl w:val="0"/>
          <w:numId w:val="68"/>
        </w:numPr>
        <w:rPr>
          <w:rFonts w:ascii="Arial" w:cs="Arial" w:eastAsia="Arial" w:hAnsi="Arial"/>
          <w:sz w:val="16"/>
          <w:szCs w:val="16"/>
          <w:color w:val="auto"/>
        </w:rPr>
      </w:pPr>
      <w:r>
        <w:rPr>
          <w:rFonts w:ascii="Arial" w:cs="Arial" w:eastAsia="Arial" w:hAnsi="Arial"/>
          <w:sz w:val="16"/>
          <w:szCs w:val="16"/>
          <w:color w:val="auto"/>
        </w:rPr>
        <w:t>You understand that you are not entitled to any benefits under the Agreement unless and until you timely sign the Addendum and do not revoke it. You must sign the Addendum on you on the last day of the Transition Period, no sooner and no later. You understand that you may consider the Addendum for up to twenty-one (21) calendar days and, by the final day of the Transition Services Period; you will have had twenty-one days to consider it. After signing this Addendum you may revoke it within seven (7) calendar days provided you give Autodesk written notice of your intention to revoke it. Any such revocation must be in writing and must be sent by certified mail, return receipt requested, to the General Counsel, Autodesk Inc., 111 McInnis Parkway, San Rafael, CA 94903.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40"/>
          </w:cols>
          <w:pgMar w:left="280" w:top="280" w:right="279" w:bottom="1440" w:gutter="0" w:footer="0" w:header="0"/>
        </w:sectPr>
      </w:pPr>
    </w:p>
    <w:bookmarkStart w:id="114" w:name="page115"/>
    <w:bookmarkEnd w:id="114"/>
    <w:p>
      <w:pPr>
        <w:ind w:right="200" w:firstLine="464"/>
        <w:spacing w:after="0" w:line="268" w:lineRule="auto"/>
        <w:tabs>
          <w:tab w:leader="none" w:pos="705"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timely revoked, this Agreement shall become effective and binding upon you and the Company upon the eighth day following your signature (“Effective Date” of Agreement).</w:t>
      </w:r>
    </w:p>
    <w:p>
      <w:pPr>
        <w:spacing w:after="0" w:line="131" w:lineRule="exact"/>
        <w:rPr>
          <w:rFonts w:ascii="Arial" w:cs="Arial" w:eastAsia="Arial" w:hAnsi="Arial"/>
          <w:sz w:val="18"/>
          <w:szCs w:val="18"/>
          <w:color w:val="auto"/>
        </w:rPr>
      </w:pPr>
    </w:p>
    <w:p>
      <w:pPr>
        <w:ind w:right="100" w:firstLine="464"/>
        <w:spacing w:after="0" w:line="259" w:lineRule="auto"/>
        <w:tabs>
          <w:tab w:leader="none" w:pos="7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makes no representations or warranties with respect to the tax consequences (including Section 409A) of the payments provided to you under the terms of this Agreement. You agree and understand that you are responsible for payment, if any, of local, state, and/or federal taxes on the payments provided hereunder by the Company and any penalties or assessments thereon.</w:t>
      </w:r>
    </w:p>
    <w:p>
      <w:pPr>
        <w:spacing w:after="0" w:line="140" w:lineRule="exact"/>
        <w:rPr>
          <w:rFonts w:ascii="Arial" w:cs="Arial" w:eastAsia="Arial" w:hAnsi="Arial"/>
          <w:sz w:val="18"/>
          <w:szCs w:val="18"/>
          <w:color w:val="auto"/>
        </w:rPr>
      </w:pPr>
    </w:p>
    <w:p>
      <w:pPr>
        <w:ind w:firstLine="464"/>
        <w:spacing w:after="0" w:line="259" w:lineRule="auto"/>
        <w:tabs>
          <w:tab w:leader="none" w:pos="666"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If the foregoing reflects our understanding and agreement, please sign the enclosed copy of this Agreement, in the space provided below, and return it to Jan Becker no later than January 30,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AUTODESK, INC.</w:t>
      </w:r>
    </w:p>
    <w:p>
      <w:pPr>
        <w:spacing w:after="0" w:line="225" w:lineRule="exact"/>
        <w:rPr>
          <w:sz w:val="20"/>
          <w:szCs w:val="20"/>
          <w:color w:val="auto"/>
        </w:rPr>
      </w:pPr>
    </w:p>
    <w:p>
      <w:pPr>
        <w:jc w:val="center"/>
        <w:ind w:left="382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AN</w:t>
      </w:r>
      <w:r>
        <w:rPr>
          <w:rFonts w:ascii="Arial" w:cs="Arial" w:eastAsia="Arial" w:hAnsi="Arial"/>
          <w:sz w:val="18"/>
          <w:szCs w:val="18"/>
          <w:color w:val="auto"/>
        </w:rPr>
        <w:t xml:space="preserve"> B</w:t>
      </w:r>
      <w:r>
        <w:rPr>
          <w:rFonts w:ascii="Arial" w:cs="Arial" w:eastAsia="Arial" w:hAnsi="Arial"/>
          <w:sz w:val="14"/>
          <w:szCs w:val="14"/>
          <w:color w:val="auto"/>
        </w:rPr>
        <w:t>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Jan Becker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SVP Human Resources</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Autodesk, Inc.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w:t>
      </w:r>
      <w:r>
        <w:rPr>
          <w:rFonts w:ascii="Arial" w:cs="Arial" w:eastAsia="Arial" w:hAnsi="Arial"/>
          <w:sz w:val="18"/>
          <w:szCs w:val="18"/>
          <w:color w:val="auto"/>
        </w:rPr>
        <w:t xml:space="preserve"> B</w:t>
      </w:r>
      <w:r>
        <w:rPr>
          <w:rFonts w:ascii="Arial" w:cs="Arial" w:eastAsia="Arial" w:hAnsi="Arial"/>
          <w:sz w:val="14"/>
          <w:szCs w:val="14"/>
          <w:color w:val="auto"/>
        </w:rPr>
        <w:t>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Ken Bado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60"/>
          </w:cols>
          <w:pgMar w:left="240" w:top="280" w:right="29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CERTIFICATION</w:t>
      </w:r>
    </w:p>
    <w:p>
      <w:pPr>
        <w:spacing w:after="0" w:line="177"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This is to certify that I do not have in my possession, nor have I failed to return, any devices, records, data, notes, reports, proposals, lists, correspondence, specifications, drawings, blueprints, sketches, materials, equipment, books, media, software, credit cards, keys, sales books, intellectual property, other documents or property or reproductions of any aforementioned items belonging to Autodesk, Inc., its subsidiaries, affiliates, successors or assigns (together, the “Company”).</w:t>
      </w:r>
    </w:p>
    <w:p>
      <w:pPr>
        <w:spacing w:after="0" w:line="88"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 further certify that I have complied with all the terms of any employee confidentiality and intellectual property agreements (including but not limited to those related to product source code) executed by me on or about my hire date and during my employment with the Company (“Employee Confidentiality and Intellectual Property Agreements”). I further agree that, in compliance with such Employee Confidentiality and Intellectual Property Agreements, I will preserve as confidential all trade secrets, confidential knowledge, data or other proprietary information relating to products, processes, know-how, designs, formulas, developmental or experimental work, computer programs, data bases, other original works or authorship, customer lists, dealer lists, business plans, financial information or other subject matter pertaining to any business (including contracts), of the Company or any of its clients, customers, dealers, consultants or licensees.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Ken Bado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Employee Printed Name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w:t>
            </w:r>
            <w:r>
              <w:rPr>
                <w:rFonts w:ascii="Arial" w:cs="Arial" w:eastAsia="Arial" w:hAnsi="Arial"/>
                <w:sz w:val="18"/>
                <w:szCs w:val="18"/>
                <w:color w:val="auto"/>
              </w:rPr>
              <w:t xml:space="preserve"> B</w:t>
            </w:r>
            <w:r>
              <w:rPr>
                <w:rFonts w:ascii="Arial" w:cs="Arial" w:eastAsia="Arial" w:hAnsi="Arial"/>
                <w:sz w:val="14"/>
                <w:szCs w:val="14"/>
                <w:color w:val="auto"/>
              </w:rPr>
              <w:t>ADO</w:t>
            </w:r>
          </w:p>
        </w:tc>
        <w:tc>
          <w:tcPr>
            <w:tcW w:w="102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January 28, 2011</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Employee Signature</w:t>
            </w:r>
          </w:p>
        </w:tc>
        <w:tc>
          <w:tcPr>
            <w:tcW w:w="10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Date</w:t>
            </w:r>
          </w:p>
        </w:tc>
      </w:tr>
      <w:tr>
        <w:trPr>
          <w:trHeight w:val="461"/>
        </w:trPr>
        <w:tc>
          <w:tcPr>
            <w:tcW w:w="526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Manager’s Signature</w:t>
            </w:r>
          </w:p>
        </w:tc>
        <w:tc>
          <w:tcPr>
            <w:tcW w:w="10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Date</w:t>
            </w:r>
          </w:p>
        </w:tc>
      </w:tr>
      <w:tr>
        <w:trPr>
          <w:trHeight w:val="370"/>
        </w:trPr>
        <w:tc>
          <w:tcPr>
            <w:tcW w:w="5260" w:type="dxa"/>
            <w:vAlign w:val="bottom"/>
          </w:tcPr>
          <w:p>
            <w:pPr>
              <w:spacing w:after="0"/>
              <w:rPr>
                <w:sz w:val="24"/>
                <w:szCs w:val="24"/>
                <w:color w:val="auto"/>
              </w:rPr>
            </w:pPr>
          </w:p>
        </w:tc>
        <w:tc>
          <w:tcPr>
            <w:tcW w:w="6160" w:type="dxa"/>
            <w:vAlign w:val="bottom"/>
            <w:gridSpan w:val="2"/>
          </w:tcPr>
          <w:p>
            <w:pPr>
              <w:ind w:left="180"/>
              <w:spacing w:after="0"/>
              <w:rPr>
                <w:sz w:val="20"/>
                <w:szCs w:val="20"/>
                <w:color w:val="auto"/>
              </w:rPr>
            </w:pPr>
            <w:r>
              <w:rPr>
                <w:rFonts w:ascii="Arial" w:cs="Arial" w:eastAsia="Arial" w:hAnsi="Arial"/>
                <w:sz w:val="18"/>
                <w:szCs w:val="18"/>
                <w:color w:val="auto"/>
              </w:rPr>
              <w:t>Page 10</w:t>
            </w:r>
          </w:p>
        </w:tc>
      </w:tr>
    </w:tbl>
    <w:p>
      <w:pPr>
        <w:sectPr>
          <w:pgSz w:w="11900" w:h="16838" w:orient="portrait"/>
          <w:cols w:equalWidth="0" w:num="1">
            <w:col w:w="11420"/>
          </w:cols>
          <w:pgMar w:left="240" w:top="274" w:right="2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ADDENDUM TO THE SEPARATION AGREEMENT</w:t>
      </w:r>
    </w:p>
    <w:p>
      <w:pPr>
        <w:spacing w:after="0" w:line="177" w:lineRule="exact"/>
        <w:rPr>
          <w:sz w:val="20"/>
          <w:szCs w:val="20"/>
          <w:color w:val="auto"/>
        </w:rPr>
      </w:pPr>
    </w:p>
    <w:p>
      <w:pPr>
        <w:jc w:val="both"/>
        <w:ind w:right="480"/>
        <w:spacing w:after="0" w:line="370" w:lineRule="auto"/>
        <w:rPr>
          <w:sz w:val="20"/>
          <w:szCs w:val="20"/>
          <w:color w:val="auto"/>
        </w:rPr>
      </w:pPr>
      <w:r>
        <w:rPr>
          <w:rFonts w:ascii="Arial" w:cs="Arial" w:eastAsia="Arial" w:hAnsi="Arial"/>
          <w:sz w:val="15"/>
          <w:szCs w:val="15"/>
          <w:color w:val="auto"/>
        </w:rPr>
        <w:t>This is an addendum to the Separation Agreement (“Agreement”) dated March 28, 2011 between you and Autodesk, Inc. (the “Company”), regarding your separation from the Company. In consideration of the mutual promises and agreements described in the Agreement you and the Company agree as follows:</w:t>
      </w:r>
    </w:p>
    <w:p>
      <w:pPr>
        <w:spacing w:after="0" w:line="137" w:lineRule="exact"/>
        <w:rPr>
          <w:sz w:val="20"/>
          <w:szCs w:val="20"/>
          <w:color w:val="auto"/>
        </w:rPr>
      </w:pPr>
    </w:p>
    <w:p>
      <w:pPr>
        <w:ind w:left="640" w:hanging="17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and Release</w:t>
      </w:r>
      <w:r>
        <w:rPr>
          <w:rFonts w:ascii="Arial" w:cs="Arial" w:eastAsia="Arial" w:hAnsi="Arial"/>
          <w:sz w:val="18"/>
          <w:szCs w:val="18"/>
          <w:b w:val="1"/>
          <w:bCs w:val="1"/>
          <w:color w:val="auto"/>
        </w:rPr>
        <w:t>.</w:t>
      </w:r>
    </w:p>
    <w:p>
      <w:pPr>
        <w:spacing w:after="0" w:line="90" w:lineRule="exact"/>
        <w:rPr>
          <w:sz w:val="20"/>
          <w:szCs w:val="20"/>
          <w:color w:val="auto"/>
        </w:rPr>
      </w:pPr>
    </w:p>
    <w:p>
      <w:pPr>
        <w:ind w:right="220" w:firstLine="464"/>
        <w:spacing w:after="0" w:line="275"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General Release</w:t>
      </w:r>
      <w:r>
        <w:rPr>
          <w:rFonts w:ascii="Arial" w:cs="Arial" w:eastAsia="Arial" w:hAnsi="Arial"/>
          <w:sz w:val="18"/>
          <w:szCs w:val="18"/>
          <w:color w:val="auto"/>
        </w:rPr>
        <w:t>. You acknowledge that you have had the opportunity and have been advised to consult with legal counsel regarding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provisions of California Civil Code Section 1542, which provides as follows:</w:t>
      </w:r>
    </w:p>
    <w:p>
      <w:pPr>
        <w:spacing w:after="0" w:line="45"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being aware of said Code Section, expressly waive any rights you may have there under, as well as under any other statute or common law principles of similar effect. You specifically agree that you are waiving any unknown claims.</w:t>
      </w:r>
    </w:p>
    <w:p>
      <w:pPr>
        <w:spacing w:after="0" w:line="126" w:lineRule="exact"/>
        <w:rPr>
          <w:sz w:val="20"/>
          <w:szCs w:val="20"/>
          <w:color w:val="auto"/>
        </w:rPr>
      </w:pPr>
    </w:p>
    <w:p>
      <w:pPr>
        <w:ind w:firstLine="464"/>
        <w:spacing w:after="0" w:line="286" w:lineRule="auto"/>
        <w:tabs>
          <w:tab w:leader="none" w:pos="705"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Release of Claims</w:t>
      </w:r>
      <w:r>
        <w:rPr>
          <w:rFonts w:ascii="Arial" w:cs="Arial" w:eastAsia="Arial" w:hAnsi="Arial"/>
          <w:sz w:val="16"/>
          <w:szCs w:val="16"/>
          <w:color w:val="auto"/>
        </w:rPr>
        <w:t>. You agree that the Agreement, together with this Addendum, represents settlement in full of all outstanding obligations owed to you</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Company as a result of your employment with and termination of your employment with the Company. You, on behalf of yourself and your descendants, heirs and successors (“Releasors”), hereby fully release and discharge the Company, its subsidiaries, divisions and affiliated entities and their respective directors, officers, agents, servants, stockholders, employees, representatives, successors and assigns (“Releasees”), from any and all claims, duties, obligations, actions, or causes of action whatsoever, whether presently known or unknown, asserted or unasserted, which are based on, arise from or relate in any way to your employment with the Company or the termination thereof including, but not limited to, claims for (i) wrongful termination, interference with contract, breach of contract, fraud, misrepresentation and infliction of emotional distress under statutory or common law, (ii) discrimination, harassment or retaliation under state or federal or common law including the California Fair Employment and Housing Act, the Civil Rights Act of 1964, the Age Discrimination in Employment Act, the Older Workers’ Benefit Protection Act and the Americans With Disabilities Act (where applicable), (iii) any wages that are disputed in good faith between you and the Company (if any), (iv) claims for attorneys’ fees and costs, (v) any and all claims for violation of any federal, state, or municipal statute, law, or regulation, (vi) any claim for any loss, cost, damage, or expense arising out of any dispute over the non-withholding or other tax treatment of any of the proceeds received by you as a result of this Agreement, and (vii) any and all other claims relating to or arising from your employment relationship with the Company and the anticipated termination of that relationship (together “Claims”), with your agreement that your release of Claims set forth herein shall be and remain in effect in all respects as a complete general release as to the matters released.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00"/>
          </w:cols>
          <w:pgMar w:left="240" w:top="274" w:right="259" w:bottom="1440" w:gutter="0" w:footer="0" w:header="0"/>
        </w:sectPr>
      </w:pPr>
    </w:p>
    <w:bookmarkStart w:id="117" w:name="page118"/>
    <w:bookmarkEnd w:id="117"/>
    <w:p>
      <w:pPr>
        <w:ind w:firstLine="464"/>
        <w:spacing w:after="0" w:line="291" w:lineRule="auto"/>
        <w:tabs>
          <w:tab w:leader="none" w:pos="695"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Claims Not Released</w:t>
      </w:r>
      <w:r>
        <w:rPr>
          <w:rFonts w:ascii="Arial" w:cs="Arial" w:eastAsia="Arial" w:hAnsi="Arial"/>
          <w:sz w:val="16"/>
          <w:szCs w:val="16"/>
          <w:color w:val="auto"/>
        </w:rPr>
        <w:t>. This release of claims does not apply to any rights or claims that you cannot release as a matter of law, nor does it apply to any</w:t>
      </w:r>
      <w:r>
        <w:rPr>
          <w:rFonts w:ascii="Arial" w:cs="Arial" w:eastAsia="Arial" w:hAnsi="Arial"/>
          <w:sz w:val="16"/>
          <w:szCs w:val="16"/>
          <w:b w:val="1"/>
          <w:bCs w:val="1"/>
          <w:color w:val="auto"/>
        </w:rPr>
        <w:t xml:space="preserve"> </w:t>
      </w:r>
      <w:r>
        <w:rPr>
          <w:rFonts w:ascii="Arial" w:cs="Arial" w:eastAsia="Arial" w:hAnsi="Arial"/>
          <w:sz w:val="16"/>
          <w:szCs w:val="16"/>
          <w:color w:val="auto"/>
        </w:rPr>
        <w:t>Claims that first arise after the date on which you sign this Agreement. In addition, this Agreement does not prohibit you from (i) filing a charge or complaint with the Equal Employment Opportunity Commission (“EEOC”) or any other local, state, or federal administrative body or government agency that is authorized to enforce or administer laws related to employment or (ii) participating in any investigation or other process conducted by the EEOC (with the understanding that any such filing or participation does not give you the right to recover any monetary damages against the Company; your release of claims herein bars you from recovering such monetary relief from the Company). You understand and acknowledge that by reason of your execution of this release of Claims you are receiving from the Company pay and benefits described in Paragraph 2 that are in addition to anything of value to which you were already entitled.</w:t>
      </w:r>
    </w:p>
    <w:p>
      <w:pPr>
        <w:spacing w:after="0" w:line="113" w:lineRule="exact"/>
        <w:rPr>
          <w:rFonts w:ascii="Arial" w:cs="Arial" w:eastAsia="Arial" w:hAnsi="Arial"/>
          <w:sz w:val="16"/>
          <w:szCs w:val="16"/>
          <w:color w:val="auto"/>
        </w:rPr>
      </w:pPr>
    </w:p>
    <w:p>
      <w:pPr>
        <w:ind w:right="100" w:firstLine="464"/>
        <w:spacing w:after="0" w:line="258"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Covenant Not to Sue</w:t>
      </w:r>
      <w:r>
        <w:rPr>
          <w:rFonts w:ascii="Arial" w:cs="Arial" w:eastAsia="Arial" w:hAnsi="Arial"/>
          <w:sz w:val="18"/>
          <w:szCs w:val="18"/>
          <w:color w:val="auto"/>
        </w:rPr>
        <w:t>. You represent and agree that you have not already, and will not at any time in the future, file any lawsuit,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or other legal action against the Company or any of the Releasees that is based upon, in whole or in part, any of the Claims. In the event that you file any such legal action, the Company and any Releasees against which you bring that legal action will be entitled to recover from you its/their attorneys’ fees and costs incurred in defending that action.</w:t>
      </w:r>
    </w:p>
    <w:p>
      <w:pPr>
        <w:spacing w:after="0" w:line="217" w:lineRule="exact"/>
        <w:rPr>
          <w:sz w:val="20"/>
          <w:szCs w:val="20"/>
          <w:color w:val="auto"/>
        </w:rPr>
      </w:pPr>
    </w:p>
    <w:p>
      <w:pPr>
        <w:ind w:left="640" w:hanging="17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96" w:lineRule="exact"/>
        <w:rPr>
          <w:sz w:val="20"/>
          <w:szCs w:val="20"/>
          <w:color w:val="auto"/>
        </w:rPr>
      </w:pPr>
    </w:p>
    <w:p>
      <w:pPr>
        <w:ind w:left="700" w:hanging="236"/>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Agreement and Addendum shall be governed by the laws of the State of California.</w:t>
      </w:r>
    </w:p>
    <w:p>
      <w:pPr>
        <w:spacing w:after="0" w:line="171" w:lineRule="exact"/>
        <w:rPr>
          <w:rFonts w:ascii="Arial" w:cs="Arial" w:eastAsia="Arial" w:hAnsi="Arial"/>
          <w:sz w:val="18"/>
          <w:szCs w:val="18"/>
          <w:color w:val="auto"/>
        </w:rPr>
      </w:pPr>
    </w:p>
    <w:p>
      <w:pPr>
        <w:ind w:right="20" w:firstLine="464"/>
        <w:spacing w:after="0" w:line="294" w:lineRule="auto"/>
        <w:tabs>
          <w:tab w:leader="none" w:pos="70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This Agreement and Addendum represents the entire understanding and agreement between the Company and you concerning your termination from the Company as employee, and supersedes and replaces any and all prior agreements and understandings concerning your employment relationship with the Company and your compensation by the Company, with the exception of your Employee Agreements on Intellectual Property and Confidentiality of Product Source Code, the Termination Certificate and the Equity Award Documents, which shall remain in full force and effect. This Agreement and Addendum may only be amended in writing signed by you and a duly authorized manager of the Company.</w:t>
      </w:r>
    </w:p>
    <w:p>
      <w:pPr>
        <w:spacing w:after="0" w:line="115" w:lineRule="exact"/>
        <w:rPr>
          <w:rFonts w:ascii="Arial" w:cs="Arial" w:eastAsia="Arial" w:hAnsi="Arial"/>
          <w:sz w:val="16"/>
          <w:szCs w:val="16"/>
          <w:color w:val="auto"/>
        </w:rPr>
      </w:pPr>
    </w:p>
    <w:p>
      <w:pPr>
        <w:ind w:right="120" w:firstLine="464"/>
        <w:spacing w:after="0" w:line="306" w:lineRule="auto"/>
        <w:tabs>
          <w:tab w:leader="none" w:pos="695" w:val="left"/>
        </w:tabs>
        <w:numPr>
          <w:ilvl w:val="0"/>
          <w:numId w:val="75"/>
        </w:numPr>
        <w:rPr>
          <w:rFonts w:ascii="Arial" w:cs="Arial" w:eastAsia="Arial" w:hAnsi="Arial"/>
          <w:sz w:val="16"/>
          <w:szCs w:val="16"/>
          <w:color w:val="auto"/>
        </w:rPr>
      </w:pPr>
      <w:r>
        <w:rPr>
          <w:rFonts w:ascii="Arial" w:cs="Arial" w:eastAsia="Arial" w:hAnsi="Arial"/>
          <w:sz w:val="16"/>
          <w:szCs w:val="16"/>
          <w:color w:val="auto"/>
        </w:rPr>
        <w:t>You have carefully read and understand the scope and effect of the provisions of this Addendum. You are hereby advised to consult with an attorney of your choice prior to executing this Addendum. By signing below, you are knowingly, willingly and voluntarily agreeing to all of the terms set forth in this Addendum. You have not relied upon any representations or statements made by Autodesk which are not specifically set forth herein.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sectPr>
      </w:pPr>
    </w:p>
    <w:bookmarkStart w:id="118" w:name="page119"/>
    <w:bookmarkEnd w:id="118"/>
    <w:p>
      <w:pPr>
        <w:ind w:left="-60" w:firstLine="464"/>
        <w:spacing w:after="0" w:line="268" w:lineRule="auto"/>
        <w:tabs>
          <w:tab w:leader="none" w:pos="645"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understand that you are not entitled to any benefits under the Agreement unless and until you timely sign this Addendum and do not revoke it. You must sign the Addendum on the final day of the Transition Services Period, no sooner and no later.</w:t>
      </w:r>
    </w:p>
    <w:p>
      <w:pPr>
        <w:spacing w:after="0" w:line="131" w:lineRule="exact"/>
        <w:rPr>
          <w:rFonts w:ascii="Arial" w:cs="Arial" w:eastAsia="Arial" w:hAnsi="Arial"/>
          <w:sz w:val="18"/>
          <w:szCs w:val="18"/>
          <w:color w:val="auto"/>
        </w:rPr>
      </w:pPr>
    </w:p>
    <w:p>
      <w:pPr>
        <w:ind w:left="-60" w:firstLine="464"/>
        <w:spacing w:after="0" w:line="286" w:lineRule="auto"/>
        <w:tabs>
          <w:tab w:leader="none" w:pos="6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You understand and acknowledge that you are waiving and releasing any rights you may have under the Age Discrimination in Employment Act of 1967 (“ADEA”), and that this waiver and release is knowing and voluntary. You understand and agree that this waiver and release does not apply to any rights or claims that may arise under the ADEA after the date your sign this Agreement. You understand and acknowledge that the payments to be provided to you under Paragraph 2 are in addition to anything of value to which you were already entitled. You further understand and acknowledge that you have been advised by this writing that: (a) you should consult with an attorney prior to executing this Agreement; (b) you have twenty-one (21) days within which to consider this Agreement; (c) you have seven (7) days following your execution of this Agreement to revoke this Agreement (any such revocation must be in writing and must be sent by certified mail, return receipt requested, to the General Counsel, Autodesk Inc., 111 McInnis Parkway, San Rafael, CA 94903); (d) this Agreement shall not be effective until after the revocation period has expired; and (e) nothing in this Agreement prevents or precludes you from challenging or seeking a determination in good faith of the validity of this waiver under the ADEA, nor does it impose any condition precedent, penalties, or costs for doing so, unless specifically authorized by federal law. In the event you sign this Agreement and return it to the Company in less than the 21-day period identified above, you hereby acknowledge that you have freely and voluntarily chosen to waive the time period allotted for considering this Agreement.</w:t>
      </w:r>
    </w:p>
    <w:p>
      <w:pPr>
        <w:spacing w:after="0" w:line="127" w:lineRule="exact"/>
        <w:rPr>
          <w:rFonts w:ascii="Arial" w:cs="Arial" w:eastAsia="Arial" w:hAnsi="Arial"/>
          <w:sz w:val="16"/>
          <w:szCs w:val="16"/>
          <w:color w:val="auto"/>
        </w:rPr>
      </w:pPr>
    </w:p>
    <w:p>
      <w:pPr>
        <w:ind w:left="-60" w:right="240" w:firstLine="464"/>
        <w:spacing w:after="0" w:line="268" w:lineRule="auto"/>
        <w:tabs>
          <w:tab w:leader="none" w:pos="616"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Unless timely revoked, this Addendum shall become effective and binding upon you and the Company upon the eighth day following your signature (“Effective Date” of Addendum).</w:t>
      </w:r>
    </w:p>
    <w:p>
      <w:pPr>
        <w:spacing w:after="0" w:line="131" w:lineRule="exact"/>
        <w:rPr>
          <w:rFonts w:ascii="Arial" w:cs="Arial" w:eastAsia="Arial" w:hAnsi="Arial"/>
          <w:sz w:val="18"/>
          <w:szCs w:val="18"/>
          <w:color w:val="auto"/>
        </w:rPr>
      </w:pPr>
    </w:p>
    <w:p>
      <w:pPr>
        <w:ind w:left="-60" w:firstLine="464"/>
        <w:spacing w:after="0" w:line="259" w:lineRule="auto"/>
        <w:tabs>
          <w:tab w:leader="none" w:pos="6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00"/>
          </w:cols>
          <w:pgMar w:left="300" w:top="280" w:right="299" w:bottom="1440" w:gutter="0" w:footer="0" w:header="0"/>
        </w:sectPr>
      </w:pPr>
    </w:p>
    <w:bookmarkStart w:id="119" w:name="page120"/>
    <w:bookmarkEnd w:id="11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reflects our understanding and agreement, please sign the enclosed copy of this Addendum, in the space provided below, and return it to Jan Becker, on March 28,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AUTODESK,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w:t>
      </w:r>
      <w:r>
        <w:rPr>
          <w:rFonts w:ascii="Arial" w:cs="Arial" w:eastAsia="Arial" w:hAnsi="Arial"/>
          <w:sz w:val="14"/>
          <w:szCs w:val="14"/>
          <w:color w:val="auto"/>
        </w:rPr>
        <w:t>AN</w:t>
      </w:r>
      <w:r>
        <w:rPr>
          <w:rFonts w:ascii="Arial" w:cs="Arial" w:eastAsia="Arial" w:hAnsi="Arial"/>
          <w:sz w:val="18"/>
          <w:szCs w:val="18"/>
          <w:color w:val="auto"/>
        </w:rPr>
        <w:t xml:space="preserve"> B</w:t>
      </w:r>
      <w:r>
        <w:rPr>
          <w:rFonts w:ascii="Arial" w:cs="Arial" w:eastAsia="Arial" w:hAnsi="Arial"/>
          <w:sz w:val="14"/>
          <w:szCs w:val="14"/>
          <w:color w:val="auto"/>
        </w:rPr>
        <w:t>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Jan Becker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SVP, Human Resources</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Autodesk, Inc.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w:t>
      </w:r>
      <w:r>
        <w:rPr>
          <w:rFonts w:ascii="Arial" w:cs="Arial" w:eastAsia="Arial" w:hAnsi="Arial"/>
          <w:sz w:val="18"/>
          <w:szCs w:val="18"/>
          <w:color w:val="auto"/>
        </w:rPr>
        <w:t xml:space="preserve"> B</w:t>
      </w:r>
      <w:r>
        <w:rPr>
          <w:rFonts w:ascii="Arial" w:cs="Arial" w:eastAsia="Arial" w:hAnsi="Arial"/>
          <w:sz w:val="14"/>
          <w:szCs w:val="14"/>
          <w:color w:val="auto"/>
        </w:rPr>
        <w:t>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Ken Bado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160"/>
          </w:cols>
          <w:pgMar w:left="240" w:top="280" w:right="4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780" w:type="dxa"/>
            <w:vAlign w:val="bottom"/>
            <w:gridSpan w:val="2"/>
          </w:tcPr>
          <w:p>
            <w:pPr>
              <w:jc w:val="center"/>
              <w:ind w:right="193"/>
              <w:spacing w:after="0"/>
              <w:rPr>
                <w:sz w:val="20"/>
                <w:szCs w:val="20"/>
                <w:color w:val="auto"/>
              </w:rPr>
            </w:pPr>
            <w:r>
              <w:rPr>
                <w:rFonts w:ascii="Arial" w:cs="Arial" w:eastAsia="Arial" w:hAnsi="Arial"/>
                <w:sz w:val="18"/>
                <w:szCs w:val="18"/>
                <w:b w:val="1"/>
                <w:bCs w:val="1"/>
                <w:color w:val="auto"/>
                <w:w w:val="97"/>
              </w:rPr>
              <w:t>SUBSIDIARIES OF AUTODESK, INC.,</w:t>
            </w:r>
          </w:p>
        </w:tc>
      </w:tr>
      <w:tr>
        <w:trPr>
          <w:trHeight w:val="216"/>
        </w:trPr>
        <w:tc>
          <w:tcPr>
            <w:tcW w:w="10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780" w:type="dxa"/>
            <w:vAlign w:val="bottom"/>
            <w:gridSpan w:val="2"/>
          </w:tcPr>
          <w:p>
            <w:pPr>
              <w:jc w:val="center"/>
              <w:ind w:right="193"/>
              <w:spacing w:after="0"/>
              <w:rPr>
                <w:sz w:val="20"/>
                <w:szCs w:val="20"/>
                <w:color w:val="auto"/>
              </w:rPr>
            </w:pPr>
            <w:r>
              <w:rPr>
                <w:rFonts w:ascii="Arial" w:cs="Arial" w:eastAsia="Arial" w:hAnsi="Arial"/>
                <w:sz w:val="18"/>
                <w:szCs w:val="18"/>
                <w:b w:val="1"/>
                <w:bCs w:val="1"/>
                <w:color w:val="auto"/>
                <w:w w:val="90"/>
              </w:rPr>
              <w:t>a Delaware Corporation</w:t>
            </w:r>
          </w:p>
        </w:tc>
      </w:tr>
      <w:tr>
        <w:trPr>
          <w:trHeight w:val="228"/>
        </w:trPr>
        <w:tc>
          <w:tcPr>
            <w:tcW w:w="10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780" w:type="dxa"/>
            <w:vAlign w:val="bottom"/>
            <w:gridSpan w:val="2"/>
          </w:tcPr>
          <w:p>
            <w:pPr>
              <w:jc w:val="center"/>
              <w:ind w:right="193"/>
              <w:spacing w:after="0"/>
              <w:rPr>
                <w:sz w:val="20"/>
                <w:szCs w:val="20"/>
                <w:color w:val="auto"/>
              </w:rPr>
            </w:pPr>
            <w:r>
              <w:rPr>
                <w:rFonts w:ascii="Arial" w:cs="Arial" w:eastAsia="Arial" w:hAnsi="Arial"/>
                <w:sz w:val="18"/>
                <w:szCs w:val="18"/>
                <w:b w:val="1"/>
                <w:bCs w:val="1"/>
                <w:color w:val="auto"/>
                <w:w w:val="86"/>
              </w:rPr>
              <w:t>as of January 31, 2011</w:t>
            </w:r>
          </w:p>
        </w:tc>
      </w:tr>
      <w:tr>
        <w:trPr>
          <w:trHeight w:val="353"/>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Subsidiary Name</w:t>
            </w:r>
          </w:p>
        </w:tc>
        <w:tc>
          <w:tcPr>
            <w:tcW w:w="20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4"/>
                <w:szCs w:val="14"/>
                <w:b w:val="1"/>
                <w:bCs w:val="1"/>
                <w:color w:val="auto"/>
                <w:w w:val="92"/>
              </w:rPr>
              <w:t>Jurisdiction of Incorporation</w:t>
            </w:r>
          </w:p>
        </w:tc>
      </w:tr>
      <w:tr>
        <w:trPr>
          <w:trHeight w:val="201"/>
        </w:trPr>
        <w:tc>
          <w:tcPr>
            <w:tcW w:w="1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7"/>
              </w:rPr>
              <w:t>ADSK Canada</w:t>
            </w:r>
          </w:p>
        </w:tc>
        <w:tc>
          <w:tcPr>
            <w:tcW w:w="2920" w:type="dxa"/>
            <w:vAlign w:val="bottom"/>
          </w:tcPr>
          <w:p>
            <w:pPr>
              <w:ind w:left="60"/>
              <w:spacing w:after="0" w:line="201" w:lineRule="exact"/>
              <w:rPr>
                <w:sz w:val="20"/>
                <w:szCs w:val="20"/>
                <w:color w:val="auto"/>
              </w:rPr>
            </w:pPr>
            <w:r>
              <w:rPr>
                <w:rFonts w:ascii="Arial" w:cs="Arial" w:eastAsia="Arial" w:hAnsi="Arial"/>
                <w:sz w:val="18"/>
                <w:szCs w:val="18"/>
                <w:color w:val="auto"/>
              </w:rPr>
              <w:t>Inc.</w:t>
            </w:r>
          </w:p>
        </w:tc>
        <w:tc>
          <w:tcPr>
            <w:tcW w:w="2000" w:type="dxa"/>
            <w:vAlign w:val="bottom"/>
          </w:tcPr>
          <w:p>
            <w:pPr>
              <w:spacing w:after="0"/>
              <w:rPr>
                <w:sz w:val="17"/>
                <w:szCs w:val="17"/>
                <w:color w:val="auto"/>
              </w:rPr>
            </w:pPr>
          </w:p>
        </w:tc>
        <w:tc>
          <w:tcPr>
            <w:tcW w:w="1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Canada (Ontario)</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ADSK Ireland Limited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Algor, Inc.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U.S. (Pennsylvania)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Alias Systems Limited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(EMEA) Sàrl</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AB</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Sweden</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Asia Pte Ltd.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Australia Pty Ltd.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B.V.</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Canada Co.</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w w:val="99"/>
              </w:rPr>
              <w:t>Canada (Nova Scotia)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de Argentina S.A.</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Argentina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de Mexico, S.A. de C.V.</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de Venezuela, S.A.</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Venezuela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Design Software (Shanghai) Co., Ltd.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Development B.V.</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Development Sàrl</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do Brasil Ltda</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Far East Ltd.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Hong Kong</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Ges.mbH</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Austria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GmbH</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Hungary Kft</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Hungary</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India Private Limited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International Holding Co.</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U.S.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Israel Ltd.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Israel</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Korea Ltd.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South Korea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Limited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Saudi Arabia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Limited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Ltd. Japan</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SA</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S.r.l.</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Software (China) Co., Ltd.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Software, Unipessoal, Lda.</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Portugal</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Sp. z.o.o.</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Poland</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spol. s.r.o.</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Strategies Ltd.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Taiwan Limited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Taiwan</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w w:val="98"/>
              </w:rPr>
              <w:t>Autodesk Yazilim Hizmetleri Ticaret Limited Sirketi</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Turkey</w:t>
            </w:r>
          </w:p>
        </w:tc>
      </w:tr>
      <w:tr>
        <w:trPr>
          <w:trHeight w:val="216"/>
        </w:trPr>
        <w:tc>
          <w:tcPr>
            <w:tcW w:w="3960" w:type="dxa"/>
            <w:vAlign w:val="bottom"/>
            <w:gridSpan w:val="2"/>
          </w:tcPr>
          <w:p>
            <w:pPr>
              <w:ind w:left="180"/>
              <w:spacing w:after="0"/>
              <w:rPr>
                <w:sz w:val="20"/>
                <w:szCs w:val="20"/>
                <w:color w:val="auto"/>
              </w:rPr>
            </w:pPr>
            <w:r>
              <w:rPr>
                <w:rFonts w:ascii="Arial" w:cs="Arial" w:eastAsia="Arial" w:hAnsi="Arial"/>
                <w:sz w:val="18"/>
                <w:szCs w:val="18"/>
                <w:i w:val="1"/>
                <w:iCs w:val="1"/>
                <w:color w:val="auto"/>
              </w:rPr>
              <w:t>(Autodesk Limited Sirketi)</w:t>
            </w: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Autodesk, S.A.</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Spain</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Hanna Strategies Holdings, Inc.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U.S.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Hanna Technologies Private Ltd.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India</w:t>
            </w:r>
          </w:p>
        </w:tc>
      </w:t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Illuminate Labs AB *</w:t>
            </w:r>
          </w:p>
        </w:tc>
        <w:tc>
          <w:tcPr>
            <w:tcW w:w="200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Sweden</w:t>
            </w: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Kynogon Inc. *</w:t>
            </w:r>
          </w:p>
        </w:tc>
        <w:tc>
          <w:tcPr>
            <w:tcW w:w="200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Canada (Quebec)</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Limited Liability Company Autodesk (CIS)</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Russia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(Europe) Ltd.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B.V.</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Corporation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U.S.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Iberia S.L.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Spain</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International Pty Ltd.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Netherlands Limited</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Moldflow Pty. Ltd. *</w:t>
            </w:r>
          </w:p>
        </w:tc>
        <w:tc>
          <w:tcPr>
            <w:tcW w:w="20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Australia</w:t>
            </w:r>
          </w:p>
        </w:tc>
      </w:t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Moldflow Singapore Pte Ltd. *</w:t>
            </w:r>
          </w:p>
        </w:tc>
        <w:tc>
          <w:tcPr>
            <w:tcW w:w="200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Singapore</w:t>
            </w:r>
          </w:p>
        </w:tc>
      </w:tr>
    </w:tbl>
    <w:p>
      <w:pPr>
        <w:sectPr>
          <w:pgSz w:w="11900" w:h="16838" w:orient="portrait"/>
          <w:cols w:equalWidth="0" w:num="1">
            <w:col w:w="11420"/>
          </w:cols>
          <w:pgMar w:left="240" w:top="125" w:right="239" w:bottom="1440" w:gutter="0" w:footer="0" w:header="0"/>
        </w:sectPr>
      </w:pPr>
    </w:p>
    <w:bookmarkStart w:id="121" w:name="page122"/>
    <w:bookmarkEnd w:id="1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4920" w:type="dxa"/>
            <w:vAlign w:val="bottom"/>
            <w:gridSpan w:val="2"/>
          </w:tcPr>
          <w:p>
            <w:pPr>
              <w:spacing w:after="0"/>
              <w:rPr>
                <w:sz w:val="14"/>
                <w:szCs w:val="14"/>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Jurisdiction of Incorporation</w:t>
            </w:r>
          </w:p>
        </w:tc>
      </w:tr>
      <w:tr>
        <w:trPr>
          <w:trHeight w:val="201"/>
        </w:trPr>
        <w:tc>
          <w:tcPr>
            <w:tcW w:w="5960" w:type="dxa"/>
            <w:vAlign w:val="bottom"/>
            <w:gridSpan w:val="3"/>
          </w:tcPr>
          <w:p>
            <w:pPr>
              <w:spacing w:after="0" w:line="201" w:lineRule="exact"/>
              <w:rPr>
                <w:sz w:val="20"/>
                <w:szCs w:val="20"/>
                <w:color w:val="auto"/>
              </w:rPr>
            </w:pPr>
            <w:r>
              <w:rPr>
                <w:rFonts w:ascii="Arial" w:cs="Arial" w:eastAsia="Arial" w:hAnsi="Arial"/>
                <w:sz w:val="18"/>
                <w:szCs w:val="18"/>
                <w:color w:val="auto"/>
              </w:rPr>
              <w:t>Moldflow Taiwan, Inc. *</w:t>
            </w:r>
          </w:p>
        </w:tc>
        <w:tc>
          <w:tcPr>
            <w:tcW w:w="1780" w:type="dxa"/>
            <w:vAlign w:val="bottom"/>
          </w:tcPr>
          <w:p>
            <w:pPr>
              <w:spacing w:after="0" w:line="201" w:lineRule="exact"/>
              <w:rPr>
                <w:sz w:val="20"/>
                <w:szCs w:val="20"/>
                <w:color w:val="auto"/>
              </w:rPr>
            </w:pPr>
            <w:r>
              <w:rPr>
                <w:rFonts w:ascii="Arial" w:cs="Arial" w:eastAsia="Arial" w:hAnsi="Arial"/>
                <w:sz w:val="18"/>
                <w:szCs w:val="18"/>
                <w:color w:val="auto"/>
              </w:rPr>
              <w:t>Taiwan</w:t>
            </w: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NavisWorks Limited *</w:t>
            </w:r>
          </w:p>
        </w:tc>
        <w:tc>
          <w:tcPr>
            <w:tcW w:w="17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NavisWorks (UK) Limited *</w:t>
            </w:r>
          </w:p>
        </w:tc>
        <w:tc>
          <w:tcPr>
            <w:tcW w:w="17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Robobat (UK) Limited *</w:t>
            </w:r>
          </w:p>
        </w:tc>
        <w:tc>
          <w:tcPr>
            <w:tcW w:w="17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22"/>
        </w:trPr>
        <w:tc>
          <w:tcPr>
            <w:tcW w:w="5960" w:type="dxa"/>
            <w:vAlign w:val="bottom"/>
            <w:gridSpan w:val="3"/>
          </w:tcPr>
          <w:p>
            <w:pPr>
              <w:spacing w:after="0"/>
              <w:rPr>
                <w:sz w:val="20"/>
                <w:szCs w:val="20"/>
                <w:color w:val="auto"/>
              </w:rPr>
            </w:pPr>
            <w:r>
              <w:rPr>
                <w:rFonts w:ascii="Arial" w:cs="Arial" w:eastAsia="Arial" w:hAnsi="Arial"/>
                <w:sz w:val="18"/>
                <w:szCs w:val="18"/>
                <w:color w:val="auto"/>
              </w:rPr>
              <w:t>SCI Topole</w:t>
            </w:r>
          </w:p>
        </w:tc>
        <w:tc>
          <w:tcPr>
            <w:tcW w:w="1780" w:type="dxa"/>
            <w:vAlign w:val="bottom"/>
          </w:tcPr>
          <w:p>
            <w:pPr>
              <w:spacing w:after="0"/>
              <w:rPr>
                <w:sz w:val="20"/>
                <w:szCs w:val="20"/>
                <w:color w:val="auto"/>
              </w:rPr>
            </w:pPr>
            <w:r>
              <w:rPr>
                <w:rFonts w:ascii="Arial" w:cs="Arial" w:eastAsia="Arial" w:hAnsi="Arial"/>
                <w:sz w:val="18"/>
                <w:szCs w:val="18"/>
                <w:color w:val="auto"/>
              </w:rPr>
              <w:t>France</w:t>
            </w:r>
          </w:p>
        </w:tc>
      </w:tr>
      <w:tr>
        <w:trPr>
          <w:trHeight w:val="110"/>
        </w:trPr>
        <w:tc>
          <w:tcPr>
            <w:tcW w:w="1160" w:type="dxa"/>
            <w:vAlign w:val="bottom"/>
            <w:tcBorders>
              <w:bottom w:val="single" w:sz="8" w:color="auto"/>
            </w:tcBorders>
            <w:gridSpan w:val="2"/>
          </w:tcPr>
          <w:p>
            <w:pPr>
              <w:spacing w:after="0"/>
              <w:rPr>
                <w:sz w:val="9"/>
                <w:szCs w:val="9"/>
                <w:color w:val="auto"/>
              </w:rPr>
            </w:pPr>
          </w:p>
        </w:tc>
        <w:tc>
          <w:tcPr>
            <w:tcW w:w="480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35"/>
        </w:trPr>
        <w:tc>
          <w:tcPr>
            <w:tcW w:w="5960" w:type="dxa"/>
            <w:vAlign w:val="bottom"/>
            <w:gridSpan w:val="3"/>
          </w:tcPr>
          <w:p>
            <w:pPr>
              <w:spacing w:after="0"/>
              <w:rPr>
                <w:sz w:val="20"/>
                <w:szCs w:val="20"/>
                <w:color w:val="auto"/>
              </w:rPr>
            </w:pPr>
            <w:r>
              <w:rPr>
                <w:rFonts w:ascii="Arial" w:cs="Arial" w:eastAsia="Arial" w:hAnsi="Arial"/>
                <w:sz w:val="18"/>
                <w:szCs w:val="18"/>
                <w:color w:val="auto"/>
              </w:rPr>
              <w:t>*  Inactive subsidiaries; subsidiaries scheduled to be wound up</w:t>
            </w:r>
          </w:p>
        </w:tc>
        <w:tc>
          <w:tcPr>
            <w:tcW w:w="1780" w:type="dxa"/>
            <w:vAlign w:val="bottom"/>
          </w:tcPr>
          <w:p>
            <w:pPr>
              <w:spacing w:after="0"/>
              <w:rPr>
                <w:sz w:val="20"/>
                <w:szCs w:val="20"/>
                <w:color w:val="auto"/>
              </w:rPr>
            </w:pPr>
          </w:p>
        </w:tc>
      </w:tr>
    </w:tbl>
    <w:p>
      <w:pPr>
        <w:sectPr>
          <w:pgSz w:w="11900" w:h="16838" w:orient="portrait"/>
          <w:cols w:equalWidth="0" w:num="1">
            <w:col w:w="10219"/>
          </w:cols>
          <w:pgMar w:left="240" w:top="275"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left="460" w:right="1680" w:firstLine="1218"/>
        <w:spacing w:after="0" w:line="463" w:lineRule="auto"/>
        <w:rPr>
          <w:sz w:val="20"/>
          <w:szCs w:val="20"/>
          <w:color w:val="auto"/>
        </w:rPr>
      </w:pPr>
      <w:r>
        <w:rPr>
          <w:rFonts w:ascii="Arial" w:cs="Arial" w:eastAsia="Arial" w:hAnsi="Arial"/>
          <w:sz w:val="18"/>
          <w:szCs w:val="18"/>
          <w:b w:val="1"/>
          <w:bCs w:val="1"/>
          <w:color w:val="auto"/>
        </w:rPr>
        <w:t xml:space="preserve">CONSENT OF ERNST &amp; YOUNG LLP,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33-39458</w:t>
            </w:r>
          </w:p>
        </w:tc>
        <w:tc>
          <w:tcPr>
            <w:tcW w:w="640" w:type="dxa"/>
            <w:vAlign w:val="bottom"/>
          </w:tcPr>
          <w:p>
            <w:pPr>
              <w:ind w:left="260"/>
              <w:spacing w:after="0"/>
              <w:rPr>
                <w:sz w:val="20"/>
                <w:szCs w:val="20"/>
                <w:color w:val="auto"/>
              </w:rPr>
            </w:pPr>
            <w:r>
              <w:rPr>
                <w:rFonts w:ascii="Arial" w:cs="Arial" w:eastAsia="Arial" w:hAnsi="Arial"/>
                <w:sz w:val="18"/>
                <w:szCs w:val="18"/>
                <w:color w:val="auto"/>
                <w:w w:val="89"/>
              </w:rPr>
              <w:t>1996</w:t>
            </w:r>
          </w:p>
        </w:tc>
        <w:tc>
          <w:tcPr>
            <w:tcW w:w="8120" w:type="dxa"/>
            <w:vAlign w:val="bottom"/>
          </w:tcPr>
          <w:p>
            <w:pPr>
              <w:ind w:left="20"/>
              <w:spacing w:after="0"/>
              <w:rPr>
                <w:sz w:val="20"/>
                <w:szCs w:val="20"/>
                <w:color w:val="auto"/>
              </w:rPr>
            </w:pPr>
            <w:r>
              <w:rPr>
                <w:rFonts w:ascii="Arial" w:cs="Arial" w:eastAsia="Arial" w:hAnsi="Arial"/>
                <w:sz w:val="18"/>
                <w:szCs w:val="18"/>
                <w:color w:val="auto"/>
              </w:rPr>
              <w:t>Stock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33-51110</w:t>
            </w:r>
          </w:p>
        </w:tc>
        <w:tc>
          <w:tcPr>
            <w:tcW w:w="8760" w:type="dxa"/>
            <w:vAlign w:val="bottom"/>
            <w:gridSpan w:val="2"/>
          </w:tcPr>
          <w:p>
            <w:pPr>
              <w:ind w:left="260"/>
              <w:spacing w:after="0"/>
              <w:rPr>
                <w:sz w:val="20"/>
                <w:szCs w:val="20"/>
                <w:color w:val="auto"/>
              </w:rPr>
            </w:pPr>
            <w:r>
              <w:rPr>
                <w:rFonts w:ascii="Arial" w:cs="Arial" w:eastAsia="Arial" w:hAnsi="Arial"/>
                <w:sz w:val="18"/>
                <w:szCs w:val="18"/>
                <w:color w:val="auto"/>
              </w:rPr>
              <w:t>Nonstatutory Stock Option Plan</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333-08693</w:t>
            </w:r>
          </w:p>
        </w:tc>
        <w:tc>
          <w:tcPr>
            <w:tcW w:w="640" w:type="dxa"/>
            <w:vAlign w:val="bottom"/>
          </w:tcPr>
          <w:p>
            <w:pPr>
              <w:ind w:left="260"/>
              <w:spacing w:after="0"/>
              <w:rPr>
                <w:sz w:val="20"/>
                <w:szCs w:val="20"/>
                <w:color w:val="auto"/>
              </w:rPr>
            </w:pPr>
            <w:r>
              <w:rPr>
                <w:rFonts w:ascii="Arial" w:cs="Arial" w:eastAsia="Arial" w:hAnsi="Arial"/>
                <w:sz w:val="18"/>
                <w:szCs w:val="18"/>
                <w:color w:val="auto"/>
                <w:w w:val="89"/>
              </w:rPr>
              <w:t>1996</w:t>
            </w:r>
          </w:p>
        </w:tc>
        <w:tc>
          <w:tcPr>
            <w:tcW w:w="8120" w:type="dxa"/>
            <w:vAlign w:val="bottom"/>
          </w:tcPr>
          <w:p>
            <w:pPr>
              <w:ind w:left="20"/>
              <w:spacing w:after="0"/>
              <w:rPr>
                <w:sz w:val="20"/>
                <w:szCs w:val="20"/>
                <w:color w:val="auto"/>
              </w:rPr>
            </w:pPr>
            <w:r>
              <w:rPr>
                <w:rFonts w:ascii="Arial" w:cs="Arial" w:eastAsia="Arial" w:hAnsi="Arial"/>
                <w:sz w:val="18"/>
                <w:szCs w:val="18"/>
                <w:color w:val="auto"/>
                <w:w w:val="87"/>
              </w:rPr>
              <w:t>Stock Plan, 1990 Directors’ Option Plan, 1998 Employee Qualified Stock Purchase Plan and Teleos Research 1996</w:t>
            </w:r>
          </w:p>
        </w:tc>
      </w:tr>
      <w:tr>
        <w:trPr>
          <w:trHeight w:val="222"/>
        </w:trPr>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760" w:type="dxa"/>
            <w:vAlign w:val="bottom"/>
            <w:gridSpan w:val="2"/>
          </w:tcPr>
          <w:p>
            <w:pPr>
              <w:ind w:left="260"/>
              <w:spacing w:after="0"/>
              <w:rPr>
                <w:sz w:val="20"/>
                <w:szCs w:val="20"/>
                <w:color w:val="auto"/>
              </w:rPr>
            </w:pPr>
            <w:r>
              <w:rPr>
                <w:rFonts w:ascii="Arial" w:cs="Arial" w:eastAsia="Arial" w:hAnsi="Arial"/>
                <w:sz w:val="18"/>
                <w:szCs w:val="18"/>
                <w:color w:val="auto"/>
              </w:rPr>
              <w:t>Stock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333-15037</w:t>
            </w:r>
          </w:p>
        </w:tc>
        <w:tc>
          <w:tcPr>
            <w:tcW w:w="8760" w:type="dxa"/>
            <w:vAlign w:val="bottom"/>
            <w:gridSpan w:val="2"/>
          </w:tcPr>
          <w:p>
            <w:pPr>
              <w:ind w:left="260"/>
              <w:spacing w:after="0"/>
              <w:rPr>
                <w:sz w:val="20"/>
                <w:szCs w:val="20"/>
                <w:color w:val="auto"/>
              </w:rPr>
            </w:pPr>
            <w:r>
              <w:rPr>
                <w:rFonts w:ascii="Arial" w:cs="Arial" w:eastAsia="Arial" w:hAnsi="Arial"/>
                <w:sz w:val="18"/>
                <w:szCs w:val="18"/>
                <w:color w:val="auto"/>
              </w:rPr>
              <w:t>Nonstatutory Stock Option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333-62655</w:t>
            </w:r>
          </w:p>
        </w:tc>
        <w:tc>
          <w:tcPr>
            <w:tcW w:w="640" w:type="dxa"/>
            <w:vAlign w:val="bottom"/>
          </w:tcPr>
          <w:p>
            <w:pPr>
              <w:ind w:left="260"/>
              <w:spacing w:after="0"/>
              <w:rPr>
                <w:sz w:val="20"/>
                <w:szCs w:val="20"/>
                <w:color w:val="auto"/>
              </w:rPr>
            </w:pPr>
            <w:r>
              <w:rPr>
                <w:rFonts w:ascii="Arial" w:cs="Arial" w:eastAsia="Arial" w:hAnsi="Arial"/>
                <w:sz w:val="18"/>
                <w:szCs w:val="18"/>
                <w:color w:val="auto"/>
                <w:w w:val="89"/>
              </w:rPr>
              <w:t>1996</w:t>
            </w:r>
          </w:p>
        </w:tc>
        <w:tc>
          <w:tcPr>
            <w:tcW w:w="812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333-81207</w:t>
            </w:r>
          </w:p>
        </w:tc>
        <w:tc>
          <w:tcPr>
            <w:tcW w:w="640" w:type="dxa"/>
            <w:vAlign w:val="bottom"/>
          </w:tcPr>
          <w:p>
            <w:pPr>
              <w:ind w:left="260"/>
              <w:spacing w:after="0"/>
              <w:rPr>
                <w:sz w:val="20"/>
                <w:szCs w:val="20"/>
                <w:color w:val="auto"/>
              </w:rPr>
            </w:pPr>
            <w:r>
              <w:rPr>
                <w:rFonts w:ascii="Arial" w:cs="Arial" w:eastAsia="Arial" w:hAnsi="Arial"/>
                <w:sz w:val="18"/>
                <w:szCs w:val="18"/>
                <w:color w:val="auto"/>
                <w:w w:val="89"/>
              </w:rPr>
              <w:t>1996</w:t>
            </w:r>
          </w:p>
        </w:tc>
        <w:tc>
          <w:tcPr>
            <w:tcW w:w="8120" w:type="dxa"/>
            <w:vAlign w:val="bottom"/>
          </w:tcPr>
          <w:p>
            <w:pPr>
              <w:ind w:left="2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333-92539</w:t>
            </w:r>
          </w:p>
        </w:tc>
        <w:tc>
          <w:tcPr>
            <w:tcW w:w="8760" w:type="dxa"/>
            <w:vAlign w:val="bottom"/>
            <w:gridSpan w:val="2"/>
          </w:tcPr>
          <w:p>
            <w:pPr>
              <w:ind w:left="260"/>
              <w:spacing w:after="0"/>
              <w:rPr>
                <w:sz w:val="20"/>
                <w:szCs w:val="20"/>
                <w:color w:val="auto"/>
              </w:rPr>
            </w:pPr>
            <w:r>
              <w:rPr>
                <w:rFonts w:ascii="Arial" w:cs="Arial" w:eastAsia="Arial" w:hAnsi="Arial"/>
                <w:sz w:val="18"/>
                <w:szCs w:val="18"/>
                <w:color w:val="auto"/>
              </w:rPr>
              <w:t>Nonstatutory Stock Option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333-45928</w:t>
            </w:r>
          </w:p>
        </w:tc>
        <w:tc>
          <w:tcPr>
            <w:tcW w:w="640" w:type="dxa"/>
            <w:vAlign w:val="bottom"/>
          </w:tcPr>
          <w:p>
            <w:pPr>
              <w:ind w:left="260"/>
              <w:spacing w:after="0"/>
              <w:rPr>
                <w:sz w:val="20"/>
                <w:szCs w:val="20"/>
                <w:color w:val="auto"/>
              </w:rPr>
            </w:pPr>
            <w:r>
              <w:rPr>
                <w:rFonts w:ascii="Arial" w:cs="Arial" w:eastAsia="Arial" w:hAnsi="Arial"/>
                <w:sz w:val="18"/>
                <w:szCs w:val="18"/>
                <w:color w:val="auto"/>
                <w:w w:val="89"/>
              </w:rPr>
              <w:t>1996</w:t>
            </w:r>
          </w:p>
        </w:tc>
        <w:tc>
          <w:tcPr>
            <w:tcW w:w="8120" w:type="dxa"/>
            <w:vAlign w:val="bottom"/>
          </w:tcPr>
          <w:p>
            <w:pPr>
              <w:ind w:left="20"/>
              <w:spacing w:after="0"/>
              <w:rPr>
                <w:sz w:val="20"/>
                <w:szCs w:val="20"/>
                <w:color w:val="auto"/>
              </w:rPr>
            </w:pPr>
            <w:r>
              <w:rPr>
                <w:rFonts w:ascii="Arial" w:cs="Arial" w:eastAsia="Arial" w:hAnsi="Arial"/>
                <w:sz w:val="18"/>
                <w:szCs w:val="18"/>
                <w:color w:val="auto"/>
              </w:rPr>
              <w:t>Stock Plan, 2000 Directors’ Option Plan and 1998 Employee Qualified Stock Purchase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333-67974</w:t>
            </w:r>
          </w:p>
        </w:tc>
        <w:tc>
          <w:tcPr>
            <w:tcW w:w="640" w:type="dxa"/>
            <w:vAlign w:val="bottom"/>
          </w:tcPr>
          <w:p>
            <w:pPr>
              <w:ind w:left="260"/>
              <w:spacing w:after="0"/>
              <w:rPr>
                <w:sz w:val="20"/>
                <w:szCs w:val="20"/>
                <w:color w:val="auto"/>
              </w:rPr>
            </w:pPr>
            <w:r>
              <w:rPr>
                <w:rFonts w:ascii="Arial" w:cs="Arial" w:eastAsia="Arial" w:hAnsi="Arial"/>
                <w:sz w:val="18"/>
                <w:szCs w:val="18"/>
                <w:color w:val="auto"/>
                <w:w w:val="89"/>
              </w:rPr>
              <w:t>1996</w:t>
            </w:r>
          </w:p>
        </w:tc>
        <w:tc>
          <w:tcPr>
            <w:tcW w:w="8120" w:type="dxa"/>
            <w:vAlign w:val="bottom"/>
          </w:tcPr>
          <w:p>
            <w:pPr>
              <w:ind w:left="2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333-88682</w:t>
            </w:r>
          </w:p>
        </w:tc>
        <w:tc>
          <w:tcPr>
            <w:tcW w:w="8760" w:type="dxa"/>
            <w:vAlign w:val="bottom"/>
            <w:gridSpan w:val="2"/>
          </w:tcPr>
          <w:p>
            <w:pPr>
              <w:ind w:left="260"/>
              <w:spacing w:after="0"/>
              <w:rPr>
                <w:sz w:val="20"/>
                <w:szCs w:val="20"/>
                <w:color w:val="auto"/>
              </w:rPr>
            </w:pPr>
            <w:r>
              <w:rPr>
                <w:rFonts w:ascii="Arial" w:cs="Arial" w:eastAsia="Arial" w:hAnsi="Arial"/>
                <w:sz w:val="18"/>
                <w:szCs w:val="18"/>
                <w:color w:val="auto"/>
                <w:w w:val="91"/>
              </w:rPr>
              <w:t>Revit Technology Corporation 1998 Stock Plan, 1996 Stock Plan and 1998 Employee Qualified Stock Purchase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333-106556</w:t>
            </w:r>
          </w:p>
        </w:tc>
        <w:tc>
          <w:tcPr>
            <w:tcW w:w="640" w:type="dxa"/>
            <w:vAlign w:val="bottom"/>
          </w:tcPr>
          <w:p>
            <w:pPr>
              <w:ind w:left="260"/>
              <w:spacing w:after="0"/>
              <w:rPr>
                <w:sz w:val="20"/>
                <w:szCs w:val="20"/>
                <w:color w:val="auto"/>
              </w:rPr>
            </w:pPr>
            <w:r>
              <w:rPr>
                <w:rFonts w:ascii="Arial" w:cs="Arial" w:eastAsia="Arial" w:hAnsi="Arial"/>
                <w:sz w:val="18"/>
                <w:szCs w:val="18"/>
                <w:color w:val="auto"/>
                <w:w w:val="89"/>
              </w:rPr>
              <w:t>1996</w:t>
            </w:r>
          </w:p>
        </w:tc>
        <w:tc>
          <w:tcPr>
            <w:tcW w:w="812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333-116203</w:t>
            </w:r>
          </w:p>
        </w:tc>
        <w:tc>
          <w:tcPr>
            <w:tcW w:w="640" w:type="dxa"/>
            <w:vAlign w:val="bottom"/>
          </w:tcPr>
          <w:p>
            <w:pPr>
              <w:ind w:left="260"/>
              <w:spacing w:after="0"/>
              <w:rPr>
                <w:sz w:val="20"/>
                <w:szCs w:val="20"/>
                <w:color w:val="auto"/>
              </w:rPr>
            </w:pPr>
            <w:r>
              <w:rPr>
                <w:rFonts w:ascii="Arial" w:cs="Arial" w:eastAsia="Arial" w:hAnsi="Arial"/>
                <w:sz w:val="18"/>
                <w:szCs w:val="18"/>
                <w:color w:val="auto"/>
                <w:w w:val="89"/>
              </w:rPr>
              <w:t>1996</w:t>
            </w:r>
          </w:p>
        </w:tc>
        <w:tc>
          <w:tcPr>
            <w:tcW w:w="812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333-133015</w:t>
            </w:r>
          </w:p>
        </w:tc>
        <w:tc>
          <w:tcPr>
            <w:tcW w:w="8760" w:type="dxa"/>
            <w:vAlign w:val="bottom"/>
            <w:gridSpan w:val="2"/>
          </w:tcPr>
          <w:p>
            <w:pPr>
              <w:ind w:left="260"/>
              <w:spacing w:after="0"/>
              <w:rPr>
                <w:sz w:val="20"/>
                <w:szCs w:val="20"/>
                <w:color w:val="auto"/>
              </w:rPr>
            </w:pPr>
            <w:r>
              <w:rPr>
                <w:rFonts w:ascii="Arial" w:cs="Arial" w:eastAsia="Arial" w:hAnsi="Arial"/>
                <w:sz w:val="18"/>
                <w:szCs w:val="18"/>
                <w:color w:val="auto"/>
              </w:rPr>
              <w:t>Emerging Solutions, Inc. 1999 Equity Ownership Plan</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333-134560</w:t>
            </w:r>
          </w:p>
        </w:tc>
        <w:tc>
          <w:tcPr>
            <w:tcW w:w="8760" w:type="dxa"/>
            <w:vAlign w:val="bottom"/>
            <w:gridSpan w:val="2"/>
          </w:tcPr>
          <w:p>
            <w:pPr>
              <w:ind w:left="260"/>
              <w:spacing w:after="0"/>
              <w:rPr>
                <w:sz w:val="20"/>
                <w:szCs w:val="20"/>
                <w:color w:val="auto"/>
              </w:rPr>
            </w:pPr>
            <w:r>
              <w:rPr>
                <w:rFonts w:ascii="Arial" w:cs="Arial" w:eastAsia="Arial" w:hAnsi="Arial"/>
                <w:sz w:val="18"/>
                <w:szCs w:val="18"/>
                <w:color w:val="auto"/>
                <w:w w:val="90"/>
              </w:rPr>
              <w:t>Autodesk, Inc. 2006 Employee Stock Plan, Autodesk, Inc. 2000 Directors’ Option Plan, Autodesk, Inc. 1998 Employee</w:t>
            </w:r>
          </w:p>
        </w:tc>
      </w:tr>
      <w:tr>
        <w:trPr>
          <w:trHeight w:val="222"/>
        </w:trPr>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760" w:type="dxa"/>
            <w:vAlign w:val="bottom"/>
            <w:gridSpan w:val="2"/>
          </w:tcPr>
          <w:p>
            <w:pPr>
              <w:ind w:left="260"/>
              <w:spacing w:after="0"/>
              <w:rPr>
                <w:sz w:val="20"/>
                <w:szCs w:val="20"/>
                <w:color w:val="auto"/>
              </w:rPr>
            </w:pPr>
            <w:r>
              <w:rPr>
                <w:rFonts w:ascii="Arial" w:cs="Arial" w:eastAsia="Arial" w:hAnsi="Arial"/>
                <w:sz w:val="18"/>
                <w:szCs w:val="18"/>
                <w:color w:val="auto"/>
              </w:rPr>
              <w:t>Qualified Stock Purchase Plan, and Alias Systems Holdings Inc. 2004 Stock Option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333-149964</w:t>
            </w:r>
          </w:p>
        </w:tc>
        <w:tc>
          <w:tcPr>
            <w:tcW w:w="8760" w:type="dxa"/>
            <w:vAlign w:val="bottom"/>
            <w:gridSpan w:val="2"/>
          </w:tcPr>
          <w:p>
            <w:pPr>
              <w:ind w:left="260"/>
              <w:spacing w:after="0"/>
              <w:rPr>
                <w:sz w:val="20"/>
                <w:szCs w:val="20"/>
                <w:color w:val="auto"/>
              </w:rPr>
            </w:pPr>
            <w:r>
              <w:rPr>
                <w:rFonts w:ascii="Arial" w:cs="Arial" w:eastAsia="Arial" w:hAnsi="Arial"/>
                <w:sz w:val="18"/>
                <w:szCs w:val="18"/>
                <w:color w:val="auto"/>
              </w:rPr>
              <w:t>Autodesk, Inc. 2008 Employee Stock Plan, Autodesk, Inc. 1998 Employee Qualified Stock Purchase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333-153372</w:t>
            </w:r>
          </w:p>
        </w:tc>
        <w:tc>
          <w:tcPr>
            <w:tcW w:w="8760" w:type="dxa"/>
            <w:vAlign w:val="bottom"/>
            <w:gridSpan w:val="2"/>
          </w:tcPr>
          <w:p>
            <w:pPr>
              <w:ind w:left="260"/>
              <w:spacing w:after="0"/>
              <w:rPr>
                <w:sz w:val="20"/>
                <w:szCs w:val="20"/>
                <w:color w:val="auto"/>
              </w:rPr>
            </w:pPr>
            <w:r>
              <w:rPr>
                <w:rFonts w:ascii="Arial" w:cs="Arial" w:eastAsia="Arial" w:hAnsi="Arial"/>
                <w:sz w:val="18"/>
                <w:szCs w:val="18"/>
                <w:color w:val="auto"/>
              </w:rPr>
              <w:t>Autodesk, Inc. 2000 Directors’ Option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333-158131</w:t>
            </w:r>
          </w:p>
        </w:tc>
        <w:tc>
          <w:tcPr>
            <w:tcW w:w="8760" w:type="dxa"/>
            <w:vAlign w:val="bottom"/>
            <w:gridSpan w:val="2"/>
          </w:tcPr>
          <w:p>
            <w:pPr>
              <w:ind w:left="26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333-165561</w:t>
            </w:r>
          </w:p>
        </w:tc>
        <w:tc>
          <w:tcPr>
            <w:tcW w:w="8760" w:type="dxa"/>
            <w:vAlign w:val="bottom"/>
            <w:gridSpan w:val="2"/>
          </w:tcPr>
          <w:p>
            <w:pPr>
              <w:ind w:left="260"/>
              <w:spacing w:after="0"/>
              <w:rPr>
                <w:sz w:val="20"/>
                <w:szCs w:val="20"/>
                <w:color w:val="auto"/>
              </w:rPr>
            </w:pPr>
            <w:r>
              <w:rPr>
                <w:rFonts w:ascii="Arial" w:cs="Arial" w:eastAsia="Arial" w:hAnsi="Arial"/>
                <w:sz w:val="18"/>
                <w:szCs w:val="18"/>
                <w:color w:val="auto"/>
                <w:w w:val="91"/>
              </w:rPr>
              <w:t>Autodesk, Inc. 1998 Employee Qualified Stock Purchase Plan and Autodesk, Inc. 2010 Outside Directors’ Stock Plan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ind w:left="240"/>
              <w:spacing w:after="0"/>
              <w:rPr>
                <w:sz w:val="20"/>
                <w:szCs w:val="20"/>
                <w:color w:val="auto"/>
              </w:rPr>
            </w:pPr>
            <w:r>
              <w:rPr>
                <w:rFonts w:ascii="Arial" w:cs="Arial" w:eastAsia="Arial" w:hAnsi="Arial"/>
                <w:sz w:val="18"/>
                <w:szCs w:val="18"/>
                <w:color w:val="auto"/>
              </w:rPr>
              <w:t>333-169137</w:t>
            </w:r>
          </w:p>
        </w:tc>
        <w:tc>
          <w:tcPr>
            <w:tcW w:w="8760" w:type="dxa"/>
            <w:vAlign w:val="bottom"/>
            <w:gridSpan w:val="2"/>
          </w:tcPr>
          <w:p>
            <w:pPr>
              <w:ind w:left="260"/>
              <w:spacing w:after="0"/>
              <w:rPr>
                <w:sz w:val="20"/>
                <w:szCs w:val="20"/>
                <w:color w:val="auto"/>
              </w:rPr>
            </w:pPr>
            <w:r>
              <w:rPr>
                <w:rFonts w:ascii="Arial" w:cs="Arial" w:eastAsia="Arial" w:hAnsi="Arial"/>
                <w:sz w:val="18"/>
                <w:szCs w:val="18"/>
                <w:color w:val="auto"/>
              </w:rPr>
              <w:t>Autodesk, Inc. 2008 Employee Stock Plan, As Amended and Restated</w:t>
            </w:r>
          </w:p>
        </w:tc>
      </w:tr>
    </w:tbl>
    <w:p>
      <w:pPr>
        <w:spacing w:after="0" w:line="15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of our reports dated March 18, 2011, with respect to the consolidated financial statements and schedule of Autodesk, Inc., and the effectiveness of internal control over financial reporting of Autodesk, Inc., included in this Annual Report (Form 10-K) of Autodesk, Inc. for the year ended January 31, 2011.</w:t>
      </w:r>
    </w:p>
    <w:p>
      <w:pPr>
        <w:spacing w:after="0" w:line="8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2011</w:t>
      </w:r>
    </w:p>
    <w:p>
      <w:pPr>
        <w:sectPr>
          <w:pgSz w:w="11900" w:h="16838" w:orient="portrait"/>
          <w:cols w:equalWidth="0" w:num="1">
            <w:col w:w="11420"/>
          </w:cols>
          <w:pgMar w:left="240" w:top="12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90"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400"/>
        <w:spacing w:after="0"/>
        <w:tabs>
          <w:tab w:leader="none" w:pos="87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ARL</w:t>
      </w:r>
      <w:r>
        <w:rPr>
          <w:rFonts w:ascii="Arial" w:cs="Arial" w:eastAsia="Arial" w:hAnsi="Arial"/>
          <w:sz w:val="16"/>
          <w:szCs w:val="16"/>
          <w:color w:val="auto"/>
        </w:rPr>
        <w:t xml:space="preserve"> B</w:t>
      </w:r>
      <w:r>
        <w:rPr>
          <w:rFonts w:ascii="Arial" w:cs="Arial" w:eastAsia="Arial" w:hAnsi="Arial"/>
          <w:sz w:val="13"/>
          <w:szCs w:val="13"/>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2011</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90"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2011</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Annual Report of Autodesk, Inc. on Form 10-K for the annual period ended January 31, 2011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184" w:lineRule="exact"/>
        <w:rPr>
          <w:sz w:val="20"/>
          <w:szCs w:val="20"/>
          <w:color w:val="auto"/>
        </w:rPr>
      </w:pPr>
    </w:p>
    <w:p>
      <w:pPr>
        <w:ind w:left="8400"/>
        <w:spacing w:after="0"/>
        <w:tabs>
          <w:tab w:leader="none" w:pos="87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ARL</w:t>
      </w:r>
      <w:r>
        <w:rPr>
          <w:rFonts w:ascii="Arial" w:cs="Arial" w:eastAsia="Arial" w:hAnsi="Arial"/>
          <w:sz w:val="16"/>
          <w:szCs w:val="16"/>
          <w:color w:val="auto"/>
        </w:rPr>
        <w:t xml:space="preserve"> B</w:t>
      </w:r>
      <w:r>
        <w:rPr>
          <w:rFonts w:ascii="Arial" w:cs="Arial" w:eastAsia="Arial" w:hAnsi="Arial"/>
          <w:sz w:val="13"/>
          <w:szCs w:val="13"/>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March 18, 2011</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Based on my knowledge, I, Mark J. Hawkins, certify, pursuant to 18 U.S.C. Section 1350, as adopted pursuant to Section 906 of the Sarbanes-Oxley Act of 2002, that the Annual Report of Autodesk, Inc. on Form 10-K for the annual period ended January 31, 2011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184"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March 18,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decimal"/>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1)"/>
      <w:numFmt w:val="decimal"/>
      <w:start w:val="2"/>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decimal"/>
      <w:start w:val="1"/>
    </w:lvl>
  </w:abstractNum>
  <w:abstractNum w:abstractNumId="33">
    <w:nsid w:val="275AC794"/>
    <w:multiLevelType w:val="hybridMultilevel"/>
    <w:lvl w:ilvl="0">
      <w:lvlJc w:val="left"/>
      <w:lvlText w:val="(%1)"/>
      <w:numFmt w:val="decimal"/>
      <w:start w:val="1"/>
    </w:lvl>
  </w:abstractNum>
  <w:abstractNum w:abstractNumId="34">
    <w:nsid w:val="39386575"/>
    <w:multiLevelType w:val="hybridMultilevel"/>
    <w:lvl w:ilvl="0">
      <w:lvlJc w:val="left"/>
      <w:lvlText w:val="%1."/>
      <w:numFmt w:val="decimal"/>
      <w:start w:val="3"/>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1)"/>
      <w:numFmt w:val="lowerLetter"/>
      <w:start w:val="1"/>
    </w:lvl>
    <w:lvl w:ilvl="1">
      <w:lvlJc w:val="left"/>
      <w:lvlText w:val="%2."/>
      <w:numFmt w:val="decimal"/>
      <w:start w:val="1"/>
    </w:lvl>
  </w:abstractNum>
  <w:abstractNum w:abstractNumId="41">
    <w:nsid w:val="741226BB"/>
    <w:multiLevelType w:val="hybridMultilevel"/>
    <w:lvl w:ilvl="0">
      <w:lvlJc w:val="left"/>
      <w:lvlText w:val="%1"/>
      <w:numFmt w:val="lowerLetter"/>
      <w:start w:val="1"/>
    </w:lvl>
    <w:lvl w:ilvl="1">
      <w:lvlJc w:val="left"/>
      <w:lvlText w:val="%2."/>
      <w:numFmt w:val="decimal"/>
      <w:start w:val="3"/>
    </w:lvl>
  </w:abstractNum>
  <w:abstractNum w:abstractNumId="42">
    <w:nsid w:val="D34B6A8"/>
    <w:multiLevelType w:val="hybridMultilevel"/>
    <w:lvl w:ilvl="0">
      <w:lvlJc w:val="left"/>
      <w:lvlText w:val="(%1)"/>
      <w:numFmt w:val="lowerLetter"/>
      <w:start w:val="2"/>
    </w:lvl>
    <w:lvl w:ilvl="1">
      <w:lvlJc w:val="left"/>
      <w:lvlText w:val="%2"/>
      <w:numFmt w:val="decimal"/>
      <w:start w:val="1"/>
    </w:lvl>
  </w:abstractNum>
  <w:abstractNum w:abstractNumId="43">
    <w:nsid w:val="10233C99"/>
    <w:multiLevelType w:val="hybridMultilevel"/>
    <w:lvl w:ilvl="0">
      <w:lvlJc w:val="left"/>
      <w:lvlText w:val="(%1)"/>
      <w:numFmt w:val="lowerLetter"/>
      <w:start w:val="3"/>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1)"/>
      <w:numFmt w:val="lowerLetter"/>
      <w:start w:val="1"/>
    </w:lvl>
  </w:abstractNum>
  <w:abstractNum w:abstractNumId="49">
    <w:nsid w:val="310C50B3"/>
    <w:multiLevelType w:val="hybridMultilevel"/>
    <w:lvl w:ilvl="0">
      <w:lvlJc w:val="left"/>
      <w:lvlText w:val="(%1)"/>
      <w:numFmt w:val="lowerLetter"/>
      <w:start w:val="4"/>
    </w:lvl>
  </w:abstractNum>
  <w:abstractNum w:abstractNumId="50">
    <w:nsid w:val="5FF87E05"/>
    <w:multiLevelType w:val="hybridMultilevel"/>
    <w:lvl w:ilvl="0">
      <w:lvlJc w:val="left"/>
      <w:lvlText w:val="%1."/>
      <w:numFmt w:val="decimal"/>
      <w:start w:val="2"/>
    </w:lvl>
  </w:abstractNum>
  <w:abstractNum w:abstractNumId="51">
    <w:nsid w:val="2F305DEF"/>
    <w:multiLevelType w:val="hybridMultilevel"/>
    <w:lvl w:ilvl="0">
      <w:lvlJc w:val="left"/>
      <w:lvlText w:val="(%1)"/>
      <w:numFmt w:val="lowerLetter"/>
      <w:start w:val="2"/>
    </w:lvl>
  </w:abstractNum>
  <w:abstractNum w:abstractNumId="52">
    <w:nsid w:val="25A70BF7"/>
    <w:multiLevelType w:val="hybridMultilevel"/>
    <w:lvl w:ilvl="0">
      <w:lvlJc w:val="left"/>
      <w:lvlText w:val="(%1)"/>
      <w:numFmt w:val="lowerLetter"/>
      <w:start w:val="4"/>
    </w:lvl>
  </w:abstractNum>
  <w:abstractNum w:abstractNumId="53">
    <w:nsid w:val="1DBABF00"/>
    <w:multiLevelType w:val="hybridMultilevel"/>
    <w:lvl w:ilvl="0">
      <w:lvlJc w:val="left"/>
      <w:lvlText w:val="%1."/>
      <w:numFmt w:val="decimal"/>
      <w:start w:val="3"/>
    </w:lvl>
  </w:abstractNum>
  <w:abstractNum w:abstractNumId="54">
    <w:nsid w:val="4AD084E9"/>
    <w:multiLevelType w:val="hybridMultilevel"/>
    <w:lvl w:ilvl="0">
      <w:lvlJc w:val="left"/>
      <w:lvlText w:val="(%1)"/>
      <w:numFmt w:val="lowerLetter"/>
      <w:start w:val="1"/>
    </w:lvl>
  </w:abstractNum>
  <w:abstractNum w:abstractNumId="55">
    <w:nsid w:val="1F48EAA1"/>
    <w:multiLevelType w:val="hybridMultilevel"/>
    <w:lvl w:ilvl="0">
      <w:lvlJc w:val="left"/>
      <w:lvlText w:val="%1"/>
      <w:numFmt w:val="lowerLetter"/>
      <w:start w:val="1"/>
    </w:lvl>
    <w:lvl w:ilvl="1">
      <w:lvlJc w:val="left"/>
      <w:lvlText w:val="(%2)"/>
      <w:numFmt w:val="lowerLetter"/>
      <w:start w:val="2"/>
    </w:lvl>
  </w:abstractNum>
  <w:abstractNum w:abstractNumId="56">
    <w:nsid w:val="1381823A"/>
    <w:multiLevelType w:val="hybridMultilevel"/>
    <w:lvl w:ilvl="0">
      <w:lvlJc w:val="left"/>
      <w:lvlText w:val="(%1)"/>
      <w:numFmt w:val="lowerLetter"/>
      <w:start w:val="9"/>
    </w:lvl>
    <w:lvl w:ilvl="1">
      <w:lvlJc w:val="left"/>
      <w:lvlText w:val="%2"/>
      <w:numFmt w:val="lowerLetter"/>
      <w:start w:val="1"/>
    </w:lvl>
  </w:abstractNum>
  <w:abstractNum w:abstractNumId="57">
    <w:nsid w:val="5DB70AE5"/>
    <w:multiLevelType w:val="hybridMultilevel"/>
    <w:lvl w:ilvl="0">
      <w:lvlJc w:val="left"/>
      <w:lvlText w:val="(%1)"/>
      <w:numFmt w:val="lowerLetter"/>
      <w:start w:val="22"/>
    </w:lvl>
    <w:lvl w:ilvl="1">
      <w:lvlJc w:val="left"/>
      <w:lvlText w:val="%2"/>
      <w:numFmt w:val="lowerLetter"/>
      <w:start w:val="1"/>
    </w:lvl>
  </w:abstractNum>
  <w:abstractNum w:abstractNumId="58">
    <w:nsid w:val="100F8FCA"/>
    <w:multiLevelType w:val="hybridMultilevel"/>
    <w:lvl w:ilvl="0">
      <w:lvlJc w:val="left"/>
      <w:lvlText w:val="(%1)"/>
      <w:numFmt w:val="lowerLetter"/>
      <w:start w:val="7"/>
    </w:lvl>
  </w:abstractNum>
  <w:abstractNum w:abstractNumId="59">
    <w:nsid w:val="6590700B"/>
    <w:multiLevelType w:val="hybridMultilevel"/>
    <w:lvl w:ilvl="0">
      <w:lvlJc w:val="left"/>
      <w:lvlText w:val="%1."/>
      <w:numFmt w:val="decimal"/>
      <w:start w:val="4"/>
    </w:lvl>
  </w:abstractNum>
  <w:abstractNum w:abstractNumId="60">
    <w:nsid w:val="15014ACB"/>
    <w:multiLevelType w:val="hybridMultilevel"/>
    <w:lvl w:ilvl="0">
      <w:lvlJc w:val="left"/>
      <w:lvlText w:val="(%1)"/>
      <w:numFmt w:val="lowerLetter"/>
      <w:start w:val="1"/>
    </w:lvl>
  </w:abstractNum>
  <w:abstractNum w:abstractNumId="61">
    <w:nsid w:val="5F5E7FD0"/>
    <w:multiLevelType w:val="hybridMultilevel"/>
    <w:lvl w:ilvl="0">
      <w:lvlJc w:val="left"/>
      <w:lvlText w:val="%1"/>
      <w:numFmt w:val="lowerRoman"/>
      <w:start w:val="1"/>
    </w:lvl>
    <w:lvl w:ilvl="1">
      <w:lvlJc w:val="left"/>
      <w:lvlText w:val="(%2)"/>
      <w:numFmt w:val="lowerLetter"/>
      <w:start w:val="2"/>
    </w:lvl>
  </w:abstractNum>
  <w:abstractNum w:abstractNumId="62">
    <w:nsid w:val="98A3148"/>
    <w:multiLevelType w:val="hybridMultilevel"/>
    <w:lvl w:ilvl="0">
      <w:lvlJc w:val="left"/>
      <w:lvlText w:val="(%1)"/>
      <w:numFmt w:val="lowerRoman"/>
      <w:start w:val="6"/>
    </w:lvl>
    <w:lvl w:ilvl="1">
      <w:lvlJc w:val="left"/>
      <w:lvlText w:val="(%2)"/>
      <w:numFmt w:val="lowerLetter"/>
      <w:start w:val="3"/>
    </w:lvl>
  </w:abstractNum>
  <w:abstractNum w:abstractNumId="63">
    <w:nsid w:val="799D0247"/>
    <w:multiLevelType w:val="hybridMultilevel"/>
    <w:lvl w:ilvl="0">
      <w:lvlJc w:val="left"/>
      <w:lvlText w:val="(%1)"/>
      <w:numFmt w:val="lowerLetter"/>
      <w:start w:val="4"/>
    </w:lvl>
  </w:abstractNum>
  <w:abstractNum w:abstractNumId="64">
    <w:nsid w:val="6B94764"/>
    <w:multiLevelType w:val="hybridMultilevel"/>
    <w:lvl w:ilvl="0">
      <w:lvlJc w:val="left"/>
      <w:lvlText w:val="%1."/>
      <w:numFmt w:val="decimal"/>
      <w:start w:val="5"/>
    </w:lvl>
  </w:abstractNum>
  <w:abstractNum w:abstractNumId="65">
    <w:nsid w:val="42C296BD"/>
    <w:multiLevelType w:val="hybridMultilevel"/>
    <w:lvl w:ilvl="0">
      <w:lvlJc w:val="left"/>
      <w:lvlText w:val="%1."/>
      <w:numFmt w:val="decimal"/>
      <w:start w:val="6"/>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3"/>
    </w:lvl>
  </w:abstractNum>
  <w:abstractNum w:abstractNumId="68">
    <w:nsid w:val="661E3F1E"/>
    <w:multiLevelType w:val="hybridMultilevel"/>
    <w:lvl w:ilvl="0">
      <w:lvlJc w:val="left"/>
      <w:lvlText w:val="(%1)"/>
      <w:numFmt w:val="lowerLetter"/>
      <w:start w:val="7"/>
    </w:lvl>
  </w:abstractNum>
  <w:abstractNum w:abstractNumId="69">
    <w:nsid w:val="5DC79EA8"/>
    <w:multiLevelType w:val="hybridMultilevel"/>
    <w:lvl w:ilvl="0">
      <w:lvlJc w:val="left"/>
      <w:lvlText w:val="%1."/>
      <w:numFmt w:val="decimal"/>
      <w:start w:val="1"/>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lowerLetter"/>
      <w:start w:val="2"/>
    </w:lvl>
  </w:abstractNum>
  <w:abstractNum w:abstractNumId="72">
    <w:nsid w:val="51D9C564"/>
    <w:multiLevelType w:val="hybridMultilevel"/>
    <w:lvl w:ilvl="0">
      <w:lvlJc w:val="left"/>
      <w:lvlText w:val="(%1)"/>
      <w:numFmt w:val="lowerLetter"/>
      <w:start w:val="3"/>
    </w:lvl>
  </w:abstractNum>
  <w:abstractNum w:abstractNumId="73">
    <w:nsid w:val="613EFDC5"/>
    <w:multiLevelType w:val="hybridMultilevel"/>
    <w:lvl w:ilvl="0">
      <w:lvlJc w:val="left"/>
      <w:lvlText w:val="%1."/>
      <w:numFmt w:val="decimal"/>
      <w:start w:val="2"/>
    </w:lvl>
  </w:abstractNum>
  <w:abstractNum w:abstractNumId="74">
    <w:nsid w:val="BF72B14"/>
    <w:multiLevelType w:val="hybridMultilevel"/>
    <w:lvl w:ilvl="0">
      <w:lvlJc w:val="left"/>
      <w:lvlText w:val="(%1)"/>
      <w:numFmt w:val="lowerLetter"/>
      <w:start w:val="1"/>
    </w:lvl>
  </w:abstractNum>
  <w:abstractNum w:abstractNumId="75">
    <w:nsid w:val="11447B73"/>
    <w:multiLevelType w:val="hybridMultilevel"/>
    <w:lvl w:ilvl="0">
      <w:lvlJc w:val="left"/>
      <w:lvlText w:val="(%1)"/>
      <w:numFmt w:val="lowerLetter"/>
      <w:start w:val="4"/>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2019-12-10T07:10:10Z</dcterms:created>
  <dcterms:modified xsi:type="dcterms:W3CDTF">2019-12-10T07:10:10Z</dcterms:modified>
</cp:coreProperties>
</file>