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27, 2013, registrant had outstanding approximately 223.0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4"/>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754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Three and Six Months Ended July 31, 2013 and 2012</w:t>
              </w:r>
            </w:hyperlink>
          </w:p>
        </w:tc>
        <w:tc>
          <w:tcPr>
            <w:tcW w:w="13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1"/>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Condensed Consolidated Statements of Comprehensive Income Three and Six Months Ended July 31, 2013 and 2012</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1040" w:type="dxa"/>
            <w:vAlign w:val="bottom"/>
          </w:tcPr>
          <w:p>
            <w:pPr>
              <w:spacing w:after="0"/>
              <w:rPr>
                <w:sz w:val="24"/>
                <w:szCs w:val="24"/>
                <w:color w:val="auto"/>
              </w:rPr>
            </w:pPr>
          </w:p>
        </w:tc>
        <w:tc>
          <w:tcPr>
            <w:tcW w:w="55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July 31, 2013 and January 31, 2013</w:t>
              </w:r>
            </w:hyperlink>
          </w:p>
        </w:tc>
        <w:tc>
          <w:tcPr>
            <w:tcW w:w="2920" w:type="dxa"/>
            <w:vAlign w:val="bottom"/>
            <w:tcBorders>
              <w:top w:val="single" w:sz="8" w:color="0000FF"/>
            </w:tcBorders>
            <w:gridSpan w:val="5"/>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Six Months Ended July 31, 2013 and 2012</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1040" w:type="dxa"/>
            <w:vAlign w:val="bottom"/>
          </w:tcPr>
          <w:p>
            <w:pPr>
              <w:spacing w:after="0"/>
              <w:rPr>
                <w:sz w:val="24"/>
                <w:szCs w:val="24"/>
                <w:color w:val="auto"/>
              </w:rPr>
            </w:pPr>
          </w:p>
        </w:tc>
        <w:tc>
          <w:tcPr>
            <w:tcW w:w="6820" w:type="dxa"/>
            <w:vAlign w:val="bottom"/>
            <w:tcBorders>
              <w:top w:val="single" w:sz="8" w:color="0000FF"/>
            </w:tcBorders>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20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1"/>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Controls and Procedures</w:t>
              </w:r>
            </w:hyperlink>
          </w:p>
        </w:tc>
        <w:tc>
          <w:tcPr>
            <w:tcW w:w="420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1"/>
          </w:tcPr>
          <w:p>
            <w:pPr>
              <w:jc w:val="center"/>
              <w:ind w:right="2900"/>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5">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5"/>
          </w:tcPr>
          <w:p>
            <w:pPr>
              <w:spacing w:after="0"/>
              <w:rPr>
                <w:sz w:val="24"/>
                <w:szCs w:val="24"/>
                <w:color w:val="auto"/>
              </w:rPr>
            </w:pPr>
          </w:p>
        </w:tc>
        <w:tc>
          <w:tcPr>
            <w:tcW w:w="306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Risk Factors</w:t>
              </w:r>
            </w:hyperlink>
          </w:p>
        </w:tc>
        <w:tc>
          <w:tcPr>
            <w:tcW w:w="746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1"/>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58">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8">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58">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59">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9">
              <w:r>
                <w:rPr>
                  <w:rFonts w:ascii="Arial" w:cs="Arial" w:eastAsia="Arial" w:hAnsi="Arial"/>
                  <w:sz w:val="18"/>
                  <w:szCs w:val="18"/>
                  <w:b w:val="1"/>
                  <w:bCs w:val="1"/>
                  <w:color w:val="0000FF"/>
                  <w:w w:val="85"/>
                </w:rPr>
                <w:t>Signatures</w:t>
              </w:r>
            </w:hyperlink>
          </w:p>
        </w:tc>
        <w:tc>
          <w:tcPr>
            <w:tcW w:w="804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636.7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689.2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561.7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1,132.1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Restructuring charges, net</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9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9"/>
              </w:rPr>
              <w:t>Three Months Ended July 31,</w:t>
            </w:r>
          </w:p>
        </w:tc>
        <w:tc>
          <w:tcPr>
            <w:tcW w:w="120" w:type="dxa"/>
            <w:vAlign w:val="bottom"/>
          </w:tcPr>
          <w:p>
            <w:pPr>
              <w:spacing w:after="0"/>
              <w:rPr>
                <w:sz w:val="14"/>
                <w:szCs w:val="14"/>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3"/>
              </w:rPr>
              <w:t>Six Months Ended July</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1"/>
              </w:rPr>
              <w:t>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117.3</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$0.0, $0.3, $0.2 and ($0.3))</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w w:val="94"/>
              </w:rPr>
              <w:t>Change in net unrealized gain on available-for-sale securities (net of tax effect of ($0.1), ($2.0), $0.1 and ($2.6))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Net change in cumulative foreign currency translation gain (loss) (net of tax effect of $0.5, ($0.2), $1.8 and $1.8)</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other comprehensive (loss)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115.5</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2013</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2013</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37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2,552.4</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647.0</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1,043.7</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1,449.8</w:t>
            </w:r>
          </w:p>
        </w:tc>
        <w:tc>
          <w:tcPr>
            <w:tcW w:w="0" w:type="dxa"/>
            <w:vAlign w:val="bottom"/>
          </w:tcPr>
          <w:p>
            <w:pPr>
              <w:spacing w:after="0"/>
              <w:rPr>
                <w:sz w:val="1"/>
                <w:szCs w:val="1"/>
                <w:color w:val="auto"/>
              </w:rPr>
            </w:pPr>
          </w:p>
        </w:tc>
      </w:tr>
      <w:tr>
        <w:trPr>
          <w:trHeight w:val="224"/>
        </w:trPr>
        <w:tc>
          <w:tcPr>
            <w:tcW w:w="80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217"/>
        </w:trPr>
        <w:tc>
          <w:tcPr>
            <w:tcW w:w="80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4,308.4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93"/>
              </w:rPr>
              <w:t>Six Months Ended July 31,</w:t>
            </w:r>
          </w:p>
        </w:tc>
      </w:tr>
      <w:tr>
        <w:trPr>
          <w:trHeight w:val="264"/>
        </w:trPr>
        <w:tc>
          <w:tcPr>
            <w:tcW w:w="94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r>
      <w:tr>
        <w:trPr>
          <w:trHeight w:val="23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143.5</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58.1</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 charges, net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48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246.4</w:t>
            </w:r>
          </w:p>
        </w:tc>
      </w:tr>
      <w:tr>
        <w:trPr>
          <w:trHeight w:val="3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(725.3)</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250.5</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(451.3)</w:t>
            </w:r>
          </w:p>
        </w:tc>
      </w:tr>
      <w:tr>
        <w:trPr>
          <w:trHeight w:val="3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158.8</w:t>
            </w:r>
          </w:p>
        </w:tc>
      </w:tr>
      <w:tr>
        <w:trPr>
          <w:trHeight w:val="33"/>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3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(226.7)</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1,156.9</w:t>
            </w:r>
          </w:p>
        </w:tc>
      </w:tr>
      <w:tr>
        <w:trPr>
          <w:trHeight w:val="3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July 31, 2013, and for the three and six months ended July 31, 2013,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2013 are not necessarily indicative of the results for the entire fiscal year ending January 31, 2014,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2013, filed on March 18, 2013.</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During the first quarter of fiscal 2014, Autodesk combined maintenance revenue and cloud services offering-related revenue into one category named “Subscription.” As a result, revenue and cost of revenue related to cloud service offerings previously reflected in “License and other revenue” and “Cost of license and other revenue” were reclassified to “Subscription revenue” and “Cost of subscription revenue.” These revenues and expenses have been reclassified in the Consolidated Statements of Operations for the three and six months ended July 31, 2012 to conform to the current period presentation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Six Months Ended</w:t>
            </w:r>
          </w:p>
        </w:tc>
      </w:tr>
      <w:tr>
        <w:trPr>
          <w:trHeight w:val="250"/>
        </w:trPr>
        <w:tc>
          <w:tcPr>
            <w:tcW w:w="8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2012</w:t>
            </w:r>
          </w:p>
        </w:tc>
        <w:tc>
          <w:tcPr>
            <w:tcW w:w="140" w:type="dxa"/>
            <w:vAlign w:val="bottom"/>
          </w:tcPr>
          <w:p>
            <w:pPr>
              <w:spacing w:after="0"/>
              <w:rPr>
                <w:sz w:val="21"/>
                <w:szCs w:val="21"/>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auto"/>
              </w:rPr>
              <w:t>July 31, 2012</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revenue: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(Decrease) to license and other revenue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to subscription revenue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Reclassifications within cost of revenue: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to cost of license and other revenue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Increase to cost of subscription revenue</w:t>
            </w:r>
          </w:p>
        </w:tc>
        <w:tc>
          <w:tcPr>
            <w:tcW w:w="2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12.9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2013,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Six Months Ended July 31, 2013</w:t>
      </w:r>
    </w:p>
    <w:p>
      <w:pPr>
        <w:spacing w:after="0" w:line="225"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Effective February 1, 2013, Autodesk adopted FASB's Accounting Standards Update (“ASU”) 2013-02, Comprehensive Income (Topic 220) - Reporting of Amounts Reclassified Out of Accumulated Other Comprehensive Income. This ASU requires additional disclosure about the changes in the components of accumulated other comprehensive income, including amounts reclassified and amounts due to current period other comprehensive income. The adoption of this standard did not impact the Company's financial condition, results of operations or cash flows.</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Effective February 1, 2013, Autodesk adopted FASB's ASU 2011-11 and ASU 2013-01 regarding ASC Topic 210 "Balance Sheet: Disclosure about Offsetting Assets and Liabilities." This ASU requires that entities disclose additional information about offsetting and related arrangements to enable users of the financial statements to understand the effect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those arrangements on the financial position. The adoption of this standard did not impact the Company's financial condition, results of operations or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July 2013, the FASB issued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This ASU will be effective for Autodesk's fiscal year beginning February 1, 2014. Early adoption is permitted. At this time, Autodesk expects that the adoption of this ASU will impact the presentation of tax assets and liabilities on the statement of financial position, but will not impact its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24% and 25% of Autodesk’s total net revenue for the three and six months ended July 31, 2013, respectively, and 23% and 22% of Autodesk's total net revenue for the three and six months ended July 31, 2012, respectively. The majority of the net revenue from sales to Tech Data relates to Autodesk’s Platform Solutions and Emerging Business ("PSEB") segment and is for sales made outside of the United States. In addition, Tech Data accounted for 26% and 23% of trade accounts receivable at July 31, 2013 and January 31, 2013,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2013 and January 31,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July 31, 2013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w w:val="96"/>
              </w:rPr>
              <w:t>Commercial paper and 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Certificates of deposit and time deposits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treasury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Other (2)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Short-term trading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6"/>
                <w:szCs w:val="16"/>
                <w:color w:val="auto"/>
              </w:rPr>
              <w:t>Long-term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treasury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(4)</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4"/>
        </w:trPr>
        <w:tc>
          <w:tcPr>
            <w:tcW w:w="392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1,858.1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1,867.0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sovereign debt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3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5"/>
        </w:trPr>
        <w:tc>
          <w:tcPr>
            <w:tcW w:w="368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1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w w:val="92"/>
              </w:rPr>
              <w:t>Commercial paper and 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Sovereign debt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trading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500"/>
              <w:spacing w:after="0"/>
              <w:rPr>
                <w:sz w:val="20"/>
                <w:szCs w:val="20"/>
                <w:color w:val="auto"/>
              </w:rPr>
            </w:pPr>
            <w:r>
              <w:rPr>
                <w:rFonts w:ascii="Arial" w:cs="Arial" w:eastAsia="Arial" w:hAnsi="Arial"/>
                <w:sz w:val="16"/>
                <w:szCs w:val="16"/>
                <w:color w:val="auto"/>
              </w:rPr>
              <w:t>Sovereign debt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Taxable auction-rate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4"/>
        </w:trPr>
        <w:tc>
          <w:tcPr>
            <w:tcW w:w="368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678.3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1,327.3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8" w:right="239" w:bottom="1440" w:gutter="0" w:footer="0" w:header="0"/>
        </w:sectPr>
      </w:pPr>
    </w:p>
    <w:bookmarkStart w:id="10" w:name="page11"/>
    <w:bookmarkEnd w:id="10"/>
    <w:p>
      <w:pPr>
        <w:ind w:right="460"/>
        <w:spacing w:after="0" w:line="277" w:lineRule="auto"/>
        <w:rPr>
          <w:sz w:val="20"/>
          <w:szCs w:val="20"/>
          <w:color w:val="auto"/>
        </w:rPr>
      </w:pPr>
      <w:r>
        <w:rPr>
          <w:rFonts w:ascii="Arial" w:cs="Arial" w:eastAsia="Arial" w:hAnsi="Arial"/>
          <w:sz w:val="18"/>
          <w:szCs w:val="18"/>
          <w:color w:val="auto"/>
        </w:rPr>
        <w:t>data and relies on unobservable inputs only when observable market data is not available. There have been no transfers between fair value measurement levels during the three and six months ended July 31, 2013.</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in which some of the inputs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2013 was as follows: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12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129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(losses)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Balance at July 31, 2013</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2013</w:t>
            </w:r>
          </w:p>
        </w:tc>
        <w:tc>
          <w:tcPr>
            <w:tcW w:w="108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557.0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557.0</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431.2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431.5</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988.2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988.5</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July 31, 2013 and January 31, 2013, Autodesk did not have any securities in a continuous unrealized loss position for greater than twelve months.</w:t>
      </w:r>
    </w:p>
    <w:p>
      <w:pPr>
        <w:spacing w:after="0" w:line="24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six months ended July 31, 2013, Autodesk recorded no other-than-temporary impairment on its privately held equity investments.</w:t>
      </w:r>
    </w:p>
    <w:p>
      <w:pPr>
        <w:spacing w:after="0" w:line="1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sale or settlement of "available-for-sale securities" during the six months ended July 31, 2013 and 2012 resulted in a loss of $0.2 million and a gain of $5.0 million, respectively. The losses and gains were recorded in “Interest and other (expense) income, net” on the Company's Condensed Consolidated Statement of Operations.</w:t>
      </w:r>
    </w:p>
    <w:p>
      <w:pPr>
        <w:spacing w:after="0" w:line="1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2013 and 2012 were $447.0 million and $389.4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monthly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Condensed Consolidated Financial Statements at that time.</w:t>
      </w:r>
    </w:p>
    <w:p>
      <w:pPr>
        <w:spacing w:after="0" w:line="179"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$353.0 million at July 31, 2013 and $359.8 million at January 31, 2013. Outstanding contracts are recognized as either assets or liabilities on the balance sheet at fair value. The majority of the net gain of $7.7 million remaining in “Accumulated other comprehensive loss” as of July 31, 2013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on a monthly basis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$23.8 million at July 31, 2013 and $78.4 million at January 31, 2013.</w:t>
      </w:r>
    </w:p>
    <w:p>
      <w:pPr>
        <w:spacing w:after="0" w:line="17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July 31, 2013 and January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2013</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assets (1)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4"/>
        </w:trPr>
        <w:tc>
          <w:tcPr>
            <w:tcW w:w="57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5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6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$7.5 million and $8.2 million at July 31, 2013 and January 31, 2013, respectively.</w:t>
      </w:r>
    </w:p>
    <w:p>
      <w:pPr>
        <w:ind w:left="420" w:right="26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$3.2 million and $5.4 million at July 31, 2013 and January 31, 2013,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2013 and 2012, respectively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180" w:type="dxa"/>
            <w:vAlign w:val="bottom"/>
          </w:tcPr>
          <w:p>
            <w:pPr>
              <w:spacing w:after="0"/>
              <w:rPr>
                <w:sz w:val="22"/>
                <w:szCs w:val="22"/>
                <w:color w:val="auto"/>
              </w:rPr>
            </w:pPr>
          </w:p>
        </w:tc>
        <w:tc>
          <w:tcPr>
            <w:tcW w:w="19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Amount of (loss) gain recognized in accumulated other comprehensive income on derivatives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(effective portion)</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gain (loss) reclassified from accumulated other comprehensive income into income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6"/>
              </w:rPr>
              <w:t>Amount and location of (loss) gain recognized in income on derivatives (ineffective portion and amount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200"/>
              <w:spacing w:after="0"/>
              <w:rPr>
                <w:sz w:val="20"/>
                <w:szCs w:val="20"/>
                <w:color w:val="auto"/>
              </w:rPr>
            </w:pPr>
            <w:r>
              <w:rPr>
                <w:rFonts w:ascii="Arial" w:cs="Arial" w:eastAsia="Arial" w:hAnsi="Arial"/>
                <w:sz w:val="16"/>
                <w:szCs w:val="16"/>
                <w:i w:val="1"/>
                <w:iCs w:val="1"/>
                <w:color w:val="auto"/>
              </w:rPr>
              <w:t>excluded from effectiveness testing)</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2013 and 2012, respectively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Three Months Ended July</w:t>
            </w:r>
          </w:p>
        </w:tc>
        <w:tc>
          <w:tcPr>
            <w:tcW w:w="120" w:type="dxa"/>
            <w:vAlign w:val="bottom"/>
          </w:tcPr>
          <w:p>
            <w:pPr>
              <w:spacing w:after="0"/>
              <w:rPr>
                <w:sz w:val="14"/>
                <w:szCs w:val="14"/>
                <w:color w:val="auto"/>
              </w:rPr>
            </w:pPr>
          </w:p>
        </w:tc>
        <w:tc>
          <w:tcPr>
            <w:tcW w:w="1780" w:type="dxa"/>
            <w:vAlign w:val="bottom"/>
            <w:gridSpan w:val="4"/>
            <w:vMerge w:val="restart"/>
          </w:tcPr>
          <w:p>
            <w:pPr>
              <w:jc w:val="right"/>
              <w:ind w:right="23"/>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other (expense) income, net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of July 31, 2013,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5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and became effective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July 31, 2013, 9.0 million shares subject to options and restricted stock units have been granted under the 2012 Employee Plan. Options and restricted stock units that were granted under the 2012 Stock Plan vest over periods ranging from immediately upon grant to over a three-year period and options expire 10 years from the date of grant. The 2012 Employee Plan will expire on June 30, 2022. At July 31, 2013, 12.9 million shares were available for future issuance under the 2012 Employee Plan.</w:t>
      </w:r>
    </w:p>
    <w:p>
      <w:pPr>
        <w:spacing w:after="0" w:line="178"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July 31, 2013, 0.4 million restricted stock units have been granted under the 2012 Directors' Plan. Restricted stock units that were granted under the 2012 Directors' Plan vest over one to three years from the date of grant. The 2012 Directors' Plan reserved 2.6 million shares of Autodesk common stock. The 2012 Directors' Plan will expire on June 30, 2022. At July 31, 2013, 2.2 million shares were available for future issuance under the 2012 Directors' Plan.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six months ended July 31,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44.53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31, 2013</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July 31,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30.14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July 31, 2013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July 31, 2013</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six months ended July 31, 2013.</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38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$35.39 per share as of July 31, 2013, which would have been received by the option holders had all option holders exercised their options as of that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40" w:firstLine="432"/>
        <w:spacing w:after="0" w:line="264" w:lineRule="auto"/>
        <w:rPr>
          <w:sz w:val="20"/>
          <w:szCs w:val="20"/>
          <w:color w:val="auto"/>
        </w:rPr>
      </w:pPr>
      <w:r>
        <w:rPr>
          <w:rFonts w:ascii="Arial" w:cs="Arial" w:eastAsia="Arial" w:hAnsi="Arial"/>
          <w:sz w:val="18"/>
          <w:szCs w:val="18"/>
          <w:color w:val="auto"/>
        </w:rPr>
        <w:t>As of July 31, 2013, total compensation cost of $20.8 million related to non-vested options is expected to be recognized over a weighted average period of one year. The following table summarizes information about the pre-tax intrinsic value of options exercised, and the weighted average grant date fair value per share of options granted, during the three and six months ended July 31, 2013 and 2012.</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2013</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2012</w:t>
            </w:r>
          </w:p>
        </w:tc>
        <w:tc>
          <w:tcPr>
            <w:tcW w:w="22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2013</w:t>
            </w:r>
          </w:p>
        </w:tc>
        <w:tc>
          <w:tcPr>
            <w:tcW w:w="22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Arial" w:cs="Arial" w:eastAsia="Arial" w:hAnsi="Arial"/>
                <w:sz w:val="14"/>
                <w:szCs w:val="14"/>
                <w:b w:val="1"/>
                <w:bCs w:val="1"/>
                <w:color w:val="auto"/>
              </w:rPr>
              <w:t>July 31, 2012</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65.9</w:t>
            </w:r>
          </w:p>
        </w:tc>
      </w:tr>
      <w:tr>
        <w:trPr>
          <w:trHeight w:val="220"/>
        </w:trPr>
        <w:tc>
          <w:tcPr>
            <w:tcW w:w="51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25"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The following table summarizes information about options outstanding and exercisable at July 31,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$19.55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$20.12 - $29.49</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$29.50 - $34.53</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31.64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$34.70 - $38.55</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$41.62 - $49.80</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8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$35.39 per share as of July 31, 2013,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six months ended July 31, 2013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January 31, 2013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July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5,020.8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1,216.5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(1,409.8)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(282.8)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4,530.7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943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540" w:space="720"/>
            <w:col w:w="316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943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p>
      <w:pPr>
        <w:ind w:left="420" w:right="320" w:hanging="412"/>
        <w:spacing w:after="0" w:line="254"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 financial results for the performance period, the fiscal 2013 performance stock units were earned at 92.3% of the target award. The fiscal 2013 performance stock units will pay out at 92.3% percent of the target award; however, the vesting of the performance stock units is subject to the holders satisfying the remaining service condition of the awards.</w:t>
      </w:r>
    </w:p>
    <w:p>
      <w:pPr>
        <w:spacing w:after="0" w:line="18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During the six months ended July 31, 2013, Autodesk granted 0.7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$17.1 million and $33.1 million during the three and six months ended July 31, 2013, respectively. Autodesk recorded stock-based compensation expense related to restricted stock units of $12.5 million and $23.3 million during the three and six months ended July 31, 2012, respectively. As of July 31, 2013, total compensation cost not yet recognized of $87.3 million related to non-vested restricted stock units, is expected to be recognized over a weighted average period of 1.6 years. At July 31, 2013, the number of restricted stock units granted but unreleased was 3.7 million.</w:t>
      </w:r>
    </w:p>
    <w:p>
      <w:pPr>
        <w:spacing w:after="0" w:line="16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six months ended July 31, 2013, Autodesk granted 0.5 million performance restricted stock units (“PSUs”) for which the ultimate number of shares earned is determined based on the achievement of performance criteria at the end of the stated performance period. The performance criteria is based upon annual revenue and non-GAAP operating margin goals adopted by the Compensation and Human Resource Committee (the “Annual Financial Results”), as well as total stockholder return compared against the S&amp;P Computer Software Select Index (“Relative TSR”). Each PSU covers a three year period:</w:t>
      </w:r>
    </w:p>
    <w:p>
      <w:pPr>
        <w:spacing w:after="0" w:line="188" w:lineRule="exact"/>
        <w:rPr>
          <w:sz w:val="20"/>
          <w:szCs w:val="20"/>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straight-line method over the vesting period. Autodesk recorded stock-based compensation expense related to PSUs of $2.8 million and $5.5 million for the three and six months ended July 31, 2013, respectively. Autodesk recorded stock-based compensation expense related to PSUs of $2.1 million and $3.3 million during the three and six months ended July 31, 2012, respectively. As of July 31, 2013, total compensation cost not yet recognized of $7.1 million related to non-vested performance restricted stock units, is expected to be recognized over a weighted average period of 1.4 years. At July 31, 2013, the number of PSUs granted but not vested was 0.8 million.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July 31, 2013, a total of 34.7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Autodesk issued 1.5 million shares under the ESP Plan during the six months ended July 31, 2013 with an average price of $22.32 per share. During the six months ended July 31, 2012, Autodesk issued 1.6 million shares under the ESP Plan, at average prices of $21.63 per share. The weighted average grant date fair value of awards granted under the ESP Plan during the six months ended July 31, 2013, calculated as of the award grant date using the Black-Scholes-Merton option pricing model, was $11.84 per share. The weighted average grant date fair value of awards granted under the ESP Plan during the six months ended July 31, 2012, calculated as of the award grant date using the Black-Scholes-Merton option pricing model, was $14.00 per share.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2013 and 2012, respectively,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 July</w:t>
            </w:r>
          </w:p>
        </w:tc>
        <w:tc>
          <w:tcPr>
            <w:tcW w:w="1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Three Months Ended July</w:t>
            </w:r>
          </w:p>
        </w:tc>
      </w:tr>
      <w:tr>
        <w:trPr>
          <w:trHeight w:val="192"/>
        </w:trPr>
        <w:tc>
          <w:tcPr>
            <w:tcW w:w="7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31, 2013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31, 2012</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2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10.4</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33.5</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26.2</w:t>
            </w:r>
          </w:p>
        </w:tc>
      </w:tr>
      <w:tr>
        <w:trPr>
          <w:trHeight w:val="33"/>
        </w:trPr>
        <w:tc>
          <w:tcPr>
            <w:tcW w:w="76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133"/>
        </w:trPr>
        <w:tc>
          <w:tcPr>
            <w:tcW w:w="7660" w:type="dxa"/>
            <w:vAlign w:val="bottom"/>
          </w:tcPr>
          <w:p>
            <w:pPr>
              <w:spacing w:after="0"/>
              <w:rPr>
                <w:sz w:val="11"/>
                <w:szCs w:val="11"/>
                <w:color w:val="auto"/>
              </w:rPr>
            </w:pPr>
          </w:p>
        </w:tc>
        <w:tc>
          <w:tcPr>
            <w:tcW w:w="196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Six Months Ended July 31,</w:t>
            </w:r>
          </w:p>
        </w:tc>
        <w:tc>
          <w:tcPr>
            <w:tcW w:w="18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Six Months Ended July 31,</w:t>
            </w:r>
          </w:p>
        </w:tc>
      </w:tr>
      <w:tr>
        <w:trPr>
          <w:trHeight w:val="192"/>
        </w:trPr>
        <w:tc>
          <w:tcPr>
            <w:tcW w:w="7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2012</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12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0.8</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21.5</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66.9</w:t>
            </w:r>
          </w:p>
        </w:tc>
      </w:tr>
      <w:tr>
        <w:trPr>
          <w:trHeight w:val="33"/>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7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381" w:lineRule="exact"/>
        <w:rPr>
          <w:sz w:val="20"/>
          <w:szCs w:val="20"/>
          <w:color w:val="auto"/>
        </w:rPr>
      </w:pPr>
    </w:p>
    <w:tbl>
      <w:tblPr>
        <w:tblLayout w:type="fixed"/>
        <w:tblInd w:w="5380" w:type="dxa"/>
        <w:tblCellMar>
          <w:top w:w="0" w:type="dxa"/>
          <w:left w:w="0" w:type="dxa"/>
          <w:bottom w:w="0" w:type="dxa"/>
          <w:right w:w="0" w:type="dxa"/>
        </w:tblCellMar>
      </w:tblPr>
      <w:tr>
        <w:trPr>
          <w:trHeight w:val="192"/>
        </w:trPr>
        <w:tc>
          <w:tcPr>
            <w:tcW w:w="28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Three Months Ended July 31, 2013</w:t>
            </w: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Three Months Ended July 31, 2012</w:t>
            </w:r>
          </w:p>
        </w:tc>
        <w:tc>
          <w:tcPr>
            <w:tcW w:w="0" w:type="dxa"/>
            <w:vAlign w:val="bottom"/>
          </w:tcPr>
          <w:p>
            <w:pPr>
              <w:spacing w:after="0"/>
              <w:rPr>
                <w:sz w:val="1"/>
                <w:szCs w:val="1"/>
                <w:color w:val="auto"/>
              </w:rPr>
            </w:pPr>
          </w:p>
        </w:tc>
      </w:tr>
      <w:tr>
        <w:trPr>
          <w:trHeight w:val="152"/>
        </w:trPr>
        <w:tc>
          <w:tcPr>
            <w:tcW w:w="174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Performance Stock Unit</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ESP Plan (2)</w:t>
            </w:r>
          </w:p>
        </w:tc>
        <w:tc>
          <w:tcPr>
            <w:tcW w:w="16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Stock Option (3)</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ESP Plan (2)</w:t>
            </w:r>
          </w:p>
        </w:tc>
        <w:tc>
          <w:tcPr>
            <w:tcW w:w="0" w:type="dxa"/>
            <w:vAlign w:val="bottom"/>
          </w:tcPr>
          <w:p>
            <w:pPr>
              <w:spacing w:after="0"/>
              <w:rPr>
                <w:sz w:val="1"/>
                <w:szCs w:val="1"/>
                <w:color w:val="auto"/>
              </w:rPr>
            </w:pPr>
          </w:p>
        </w:tc>
      </w:tr>
      <w:tr>
        <w:trPr>
          <w:trHeight w:val="186"/>
        </w:trPr>
        <w:tc>
          <w:tcPr>
            <w:tcW w:w="1740" w:type="dxa"/>
            <w:vAlign w:val="bottom"/>
          </w:tcPr>
          <w:p>
            <w:pPr>
              <w:jc w:val="right"/>
              <w:ind w:right="768"/>
              <w:spacing w:after="0"/>
              <w:rPr>
                <w:sz w:val="20"/>
                <w:szCs w:val="20"/>
                <w:color w:val="auto"/>
              </w:rPr>
            </w:pPr>
            <w:r>
              <w:rPr>
                <w:rFonts w:ascii="Arial" w:cs="Arial" w:eastAsia="Arial" w:hAnsi="Arial"/>
                <w:sz w:val="14"/>
                <w:szCs w:val="14"/>
                <w:b w:val="1"/>
                <w:bCs w:val="1"/>
                <w:color w:val="auto"/>
              </w:rPr>
              <w:t>(1)</w:t>
            </w:r>
          </w:p>
        </w:tc>
        <w:tc>
          <w:tcPr>
            <w:tcW w:w="124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forfeitures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jc w:val="center"/>
              <w:ind w:right="102"/>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right="82"/>
              <w:spacing w:after="0"/>
              <w:rPr>
                <w:sz w:val="20"/>
                <w:szCs w:val="20"/>
                <w:color w:val="auto"/>
              </w:rPr>
            </w:pPr>
            <w:r>
              <w:rPr>
                <w:rFonts w:ascii="Arial" w:cs="Arial" w:eastAsia="Arial" w:hAnsi="Arial"/>
                <w:sz w:val="16"/>
                <w:szCs w:val="16"/>
                <w:color w:val="auto"/>
                <w:w w:val="93"/>
              </w:rPr>
              <w:t>41 - 43%</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jc w:val="center"/>
              <w:ind w:right="102"/>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right="62"/>
              <w:spacing w:after="0"/>
              <w:rPr>
                <w:sz w:val="20"/>
                <w:szCs w:val="20"/>
                <w:color w:val="auto"/>
              </w:rPr>
            </w:pPr>
            <w:r>
              <w:rPr>
                <w:rFonts w:ascii="Arial" w:cs="Arial" w:eastAsia="Arial" w:hAnsi="Arial"/>
                <w:sz w:val="16"/>
                <w:szCs w:val="16"/>
                <w:color w:val="auto"/>
                <w:w w:val="91"/>
              </w:rPr>
              <w:t>3.6 - 4.6</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jc w:val="center"/>
              <w:ind w:right="102"/>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right="62"/>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jc w:val="center"/>
              <w:ind w:right="102"/>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right="82"/>
              <w:spacing w:after="0"/>
              <w:rPr>
                <w:sz w:val="20"/>
                <w:szCs w:val="20"/>
                <w:color w:val="auto"/>
              </w:rPr>
            </w:pPr>
            <w:r>
              <w:rPr>
                <w:rFonts w:ascii="Arial" w:cs="Arial" w:eastAsia="Arial" w:hAnsi="Arial"/>
                <w:sz w:val="16"/>
                <w:szCs w:val="16"/>
                <w:color w:val="auto"/>
                <w:w w:val="93"/>
              </w:rPr>
              <w:t>0.5 - 0.6%</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780" w:type="dxa"/>
            <w:vAlign w:val="bottom"/>
          </w:tcPr>
          <w:p>
            <w:pPr>
              <w:jc w:val="center"/>
              <w:ind w:right="102"/>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right="62"/>
              <w:spacing w:after="0"/>
              <w:rPr>
                <w:sz w:val="20"/>
                <w:szCs w:val="20"/>
                <w:color w:val="auto"/>
              </w:rPr>
            </w:pPr>
            <w:r>
              <w:rPr>
                <w:rFonts w:ascii="Arial" w:cs="Arial" w:eastAsia="Arial" w:hAnsi="Arial"/>
                <w:sz w:val="16"/>
                <w:szCs w:val="16"/>
                <w:color w:val="auto"/>
                <w:w w:val="93"/>
              </w:rPr>
              <w:t>7.7%</w:t>
            </w:r>
          </w:p>
        </w:tc>
        <w:tc>
          <w:tcPr>
            <w:tcW w:w="14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Six Months Ended July 31, 2013</w:t>
            </w:r>
          </w:p>
        </w:tc>
        <w:tc>
          <w:tcPr>
            <w:tcW w:w="100" w:type="dxa"/>
            <w:vAlign w:val="bottom"/>
          </w:tcPr>
          <w:p>
            <w:pPr>
              <w:spacing w:after="0"/>
              <w:rPr>
                <w:sz w:val="24"/>
                <w:szCs w:val="24"/>
                <w:color w:val="auto"/>
              </w:rPr>
            </w:pPr>
          </w:p>
        </w:tc>
        <w:tc>
          <w:tcPr>
            <w:tcW w:w="30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Six Months Ended July 31, 2012</w:t>
            </w:r>
          </w:p>
        </w:tc>
        <w:tc>
          <w:tcPr>
            <w:tcW w:w="0" w:type="dxa"/>
            <w:vAlign w:val="bottom"/>
          </w:tcPr>
          <w:p>
            <w:pPr>
              <w:spacing w:after="0"/>
              <w:rPr>
                <w:sz w:val="1"/>
                <w:szCs w:val="1"/>
                <w:color w:val="auto"/>
              </w:rPr>
            </w:pPr>
          </w:p>
        </w:tc>
      </w:tr>
      <w:tr>
        <w:trPr>
          <w:trHeight w:val="152"/>
        </w:trPr>
        <w:tc>
          <w:tcPr>
            <w:tcW w:w="178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Performance Stock Unit</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ESP Plan</w:t>
            </w:r>
          </w:p>
        </w:tc>
        <w:tc>
          <w:tcPr>
            <w:tcW w:w="16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Stock Option (3)</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ESP Plan</w:t>
            </w:r>
          </w:p>
        </w:tc>
        <w:tc>
          <w:tcPr>
            <w:tcW w:w="0" w:type="dxa"/>
            <w:vAlign w:val="bottom"/>
          </w:tcPr>
          <w:p>
            <w:pPr>
              <w:spacing w:after="0"/>
              <w:rPr>
                <w:sz w:val="1"/>
                <w:szCs w:val="1"/>
                <w:color w:val="auto"/>
              </w:rPr>
            </w:pPr>
          </w:p>
        </w:tc>
      </w:tr>
      <w:tr>
        <w:trPr>
          <w:trHeight w:val="186"/>
        </w:trPr>
        <w:tc>
          <w:tcPr>
            <w:tcW w:w="1780" w:type="dxa"/>
            <w:vAlign w:val="bottom"/>
          </w:tcPr>
          <w:p>
            <w:pPr>
              <w:jc w:val="center"/>
              <w:ind w:right="82"/>
              <w:spacing w:after="0"/>
              <w:rPr>
                <w:sz w:val="20"/>
                <w:szCs w:val="20"/>
                <w:color w:val="auto"/>
              </w:rPr>
            </w:pPr>
            <w:r>
              <w:rPr>
                <w:rFonts w:ascii="Arial" w:cs="Arial" w:eastAsia="Arial" w:hAnsi="Arial"/>
                <w:sz w:val="14"/>
                <w:szCs w:val="14"/>
                <w:b w:val="1"/>
                <w:bCs w:val="1"/>
                <w:color w:val="auto"/>
              </w:rPr>
              <w:t>(1)</w:t>
            </w:r>
          </w:p>
        </w:tc>
        <w:tc>
          <w:tcPr>
            <w:tcW w:w="120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-909320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-566420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60" w:space="720"/>
            <w:col w:w="604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74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219"/>
              <w:spacing w:after="0"/>
              <w:rPr>
                <w:sz w:val="20"/>
                <w:szCs w:val="20"/>
                <w:color w:val="auto"/>
              </w:rPr>
            </w:pPr>
            <w:r>
              <w:rPr>
                <w:rFonts w:ascii="Arial" w:cs="Arial" w:eastAsia="Arial" w:hAnsi="Arial"/>
                <w:sz w:val="16"/>
                <w:szCs w:val="16"/>
                <w:color w:val="auto"/>
              </w:rPr>
              <w:t>0.5 - 2.0</w:t>
            </w:r>
          </w:p>
        </w:tc>
        <w:tc>
          <w:tcPr>
            <w:tcW w:w="100" w:type="dxa"/>
            <w:vAlign w:val="bottom"/>
          </w:tcPr>
          <w:p>
            <w:pPr>
              <w:spacing w:after="0"/>
              <w:rPr>
                <w:sz w:val="20"/>
                <w:szCs w:val="20"/>
                <w:color w:val="auto"/>
              </w:rPr>
            </w:pPr>
          </w:p>
        </w:tc>
        <w:tc>
          <w:tcPr>
            <w:tcW w:w="1480" w:type="dxa"/>
            <w:vAlign w:val="bottom"/>
            <w:gridSpan w:val="2"/>
          </w:tcPr>
          <w:p>
            <w:pPr>
              <w:jc w:val="right"/>
              <w:ind w:right="379"/>
              <w:spacing w:after="0"/>
              <w:rPr>
                <w:sz w:val="20"/>
                <w:szCs w:val="20"/>
                <w:color w:val="auto"/>
              </w:rPr>
            </w:pPr>
            <w:r>
              <w:rPr>
                <w:rFonts w:ascii="Arial" w:cs="Arial" w:eastAsia="Arial" w:hAnsi="Arial"/>
                <w:sz w:val="16"/>
                <w:szCs w:val="16"/>
                <w:color w:val="auto"/>
              </w:rPr>
              <w:t>3.6 - 4.6</w:t>
            </w:r>
          </w:p>
        </w:tc>
        <w:tc>
          <w:tcPr>
            <w:tcW w:w="100" w:type="dxa"/>
            <w:vAlign w:val="bottom"/>
          </w:tcPr>
          <w:p>
            <w:pPr>
              <w:spacing w:after="0"/>
              <w:rPr>
                <w:sz w:val="20"/>
                <w:szCs w:val="20"/>
                <w:color w:val="auto"/>
              </w:rPr>
            </w:pPr>
          </w:p>
        </w:tc>
        <w:tc>
          <w:tcPr>
            <w:tcW w:w="1480" w:type="dxa"/>
            <w:vAlign w:val="bottom"/>
            <w:gridSpan w:val="2"/>
          </w:tcPr>
          <w:p>
            <w:pPr>
              <w:jc w:val="right"/>
              <w:ind w:right="379"/>
              <w:spacing w:after="0"/>
              <w:rPr>
                <w:sz w:val="20"/>
                <w:szCs w:val="20"/>
                <w:color w:val="auto"/>
              </w:rPr>
            </w:pPr>
            <w:r>
              <w:rPr>
                <w:rFonts w:ascii="Arial" w:cs="Arial" w:eastAsia="Arial" w:hAnsi="Arial"/>
                <w:sz w:val="16"/>
                <w:szCs w:val="16"/>
                <w:color w:val="auto"/>
              </w:rPr>
              <w:t>0.5 - 2.0</w:t>
            </w:r>
          </w:p>
        </w:tc>
      </w:tr>
      <w:tr>
        <w:trPr>
          <w:trHeight w:val="33"/>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0.1</w:t>
            </w:r>
          </w:p>
        </w:tc>
        <w:tc>
          <w:tcPr>
            <w:tcW w:w="680" w:type="dxa"/>
            <w:vAlign w:val="bottom"/>
          </w:tcPr>
          <w:p>
            <w:pPr>
              <w:ind w:left="20"/>
              <w:spacing w:after="0"/>
              <w:rPr>
                <w:sz w:val="20"/>
                <w:szCs w:val="20"/>
                <w:color w:val="auto"/>
              </w:rPr>
            </w:pPr>
            <w:r>
              <w:rPr>
                <w:rFonts w:ascii="Arial" w:cs="Arial" w:eastAsia="Arial" w:hAnsi="Arial"/>
                <w:sz w:val="16"/>
                <w:szCs w:val="16"/>
                <w:color w:val="auto"/>
              </w:rPr>
              <w:t>- 0.3%</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860" w:type="dxa"/>
            <w:vAlign w:val="bottom"/>
          </w:tcPr>
          <w:p>
            <w:pPr>
              <w:ind w:left="20"/>
              <w:spacing w:after="0"/>
              <w:rPr>
                <w:sz w:val="20"/>
                <w:szCs w:val="20"/>
                <w:color w:val="auto"/>
              </w:rPr>
            </w:pPr>
            <w:r>
              <w:rPr>
                <w:rFonts w:ascii="Arial" w:cs="Arial" w:eastAsia="Arial" w:hAnsi="Arial"/>
                <w:sz w:val="16"/>
                <w:szCs w:val="16"/>
                <w:color w:val="auto"/>
              </w:rPr>
              <w:t>- 0.8%</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860" w:type="dxa"/>
            <w:vAlign w:val="bottom"/>
          </w:tcPr>
          <w:p>
            <w:pPr>
              <w:ind w:left="20"/>
              <w:spacing w:after="0"/>
              <w:rPr>
                <w:sz w:val="20"/>
                <w:szCs w:val="20"/>
                <w:color w:val="auto"/>
              </w:rPr>
            </w:pPr>
            <w:r>
              <w:rPr>
                <w:rFonts w:ascii="Arial" w:cs="Arial" w:eastAsia="Arial" w:hAnsi="Arial"/>
                <w:sz w:val="16"/>
                <w:szCs w:val="16"/>
                <w:color w:val="auto"/>
              </w:rPr>
              <w:t>- 0.3%</w:t>
            </w:r>
          </w:p>
        </w:tc>
      </w:tr>
      <w:tr>
        <w:trPr>
          <w:trHeight w:val="33"/>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7.2 - 7.7%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- 7.8%</w:t>
            </w:r>
          </w:p>
        </w:tc>
      </w:tr>
      <w:tr>
        <w:trPr>
          <w:trHeight w:val="193"/>
        </w:trPr>
        <w:tc>
          <w:tcPr>
            <w:tcW w:w="5380" w:type="dxa"/>
            <w:vAlign w:val="bottom"/>
          </w:tcPr>
          <w:p>
            <w:pPr>
              <w:ind w:left="40"/>
              <w:spacing w:after="0"/>
              <w:rPr>
                <w:sz w:val="20"/>
                <w:szCs w:val="20"/>
                <w:color w:val="auto"/>
              </w:rPr>
            </w:pPr>
            <w:r>
              <w:rPr>
                <w:rFonts w:ascii="Arial" w:cs="Arial" w:eastAsia="Arial" w:hAnsi="Arial"/>
                <w:sz w:val="16"/>
                <w:szCs w:val="16"/>
                <w:color w:val="auto"/>
              </w:rPr>
              <w:t>_______________</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420" w:right="300" w:hanging="412"/>
        <w:spacing w:after="0" w:line="246"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PSUs in the three and six months ended July 31, 2012 that were subject to market conditions. In addition, Autodesk did not grant PSUs in the three months ended July 31, 2013 that were subject to market conditions.</w:t>
      </w: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shares under the ESP Plan in the three months ended July 31, 2013 and 2012.</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and six months ended July 31, 2013.</w:t>
      </w:r>
    </w:p>
    <w:p>
      <w:pPr>
        <w:spacing w:after="0" w:line="20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Autodesk’s effective tax rate was 25% and 24% during the three and six months ended July 31, 2013, respectively, compared to 30% and 24% during the three and six months ended July 31, 2012, respectively. Autodesk's effective tax rate decreased five percentage points during the three months ended July 31, 2013 as compared to the same period in the prior fiscal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type w:val="continuous"/>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year primarily due to the establishment of a U.S. valuation allowance related to the impairment of an investment during the second quarter of fiscal 2013 and tax benefits from the reinstated federal research credit, partially offset by a discrete tax expense in the second quarter of fiscal 2014 related to the remeasurement of an uncertain tax position. Autodesk's effective tax rate remained flat during the six months ended July 31, 2013 as compared to the same period in the prior fiscal year. Excluding the impact of discrete tax items, the effective tax rate for each of the three and six month periods ended July 31, 2013 was 23% and was lower than the Federal statutory tax rate of 35% primarily due to foreign income taxed at lower rates partially offset by the impact of non-deductible stock based compensation expense.</w:t>
      </w:r>
    </w:p>
    <w:p>
      <w:pPr>
        <w:spacing w:after="0" w:line="193"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As of July 31, 2013, the Company had $219.6 million of gross unrecognized tax benefits, excluding interest, of which approximately $210.2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July 31, 2013, Autodesk had net deferred tax assets of $176.9 million. The Company believes that it will generate sufficient future taxable income in appropriate tax jurisdictions to realize these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the six months ended July 31, 2013, Autodesk completed total seven business combinations and technology acquisitions for total cash consideration of approximately $47.5 million. The results of operations for the following acquisitions are included in the accompanying Condensed Consolidated Statement of Operations since their respective acquisition dates. Pro forma results of operations have not been presented because the effects of the acquisitions, individually and in the aggregate, were not material to Autodesk’s Condensed Consolidated Financial Statements.</w:t>
      </w:r>
    </w:p>
    <w:p>
      <w:pPr>
        <w:spacing w:after="0" w:line="1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4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six months ended July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33.6</w:t>
            </w:r>
          </w:p>
        </w:tc>
      </w:tr>
      <w:tr>
        <w:trPr>
          <w:trHeight w:val="33"/>
        </w:trPr>
        <w:tc>
          <w:tcPr>
            <w:tcW w:w="10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r>
      <w:tr>
        <w:trPr>
          <w:trHeight w:val="237"/>
        </w:trPr>
        <w:tc>
          <w:tcPr>
            <w:tcW w:w="1046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3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33"/>
        </w:trPr>
        <w:tc>
          <w:tcPr>
            <w:tcW w:w="10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10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r>
      <w:tr>
        <w:trPr>
          <w:trHeight w:val="20"/>
        </w:trPr>
        <w:tc>
          <w:tcPr>
            <w:tcW w:w="10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2013</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6"/>
                <w:szCs w:val="16"/>
                <w:color w:val="auto"/>
              </w:rPr>
              <w:t>Customer relationships, trade names, patents, user list, at cost (1)</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6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six months ended July 31,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2013</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20"/>
        </w:trPr>
        <w:tc>
          <w:tcPr>
            <w:tcW w:w="3500" w:type="dxa"/>
            <w:vAlign w:val="bottom"/>
          </w:tcPr>
          <w:p>
            <w:pPr>
              <w:ind w:left="380"/>
              <w:spacing w:after="0"/>
              <w:rPr>
                <w:sz w:val="20"/>
                <w:szCs w:val="20"/>
                <w:color w:val="auto"/>
              </w:rPr>
            </w:pPr>
            <w:r>
              <w:rPr>
                <w:rFonts w:ascii="Arial" w:cs="Arial" w:eastAsia="Arial" w:hAnsi="Arial"/>
                <w:sz w:val="16"/>
                <w:szCs w:val="16"/>
                <w:color w:val="auto"/>
              </w:rPr>
              <w:t>Effect of foreign currency translation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540"/>
              <w:spacing w:after="0"/>
              <w:rPr>
                <w:sz w:val="20"/>
                <w:szCs w:val="20"/>
                <w:color w:val="auto"/>
              </w:rPr>
            </w:pPr>
            <w:r>
              <w:rPr>
                <w:rFonts w:ascii="Arial" w:cs="Arial" w:eastAsia="Arial" w:hAnsi="Arial"/>
                <w:sz w:val="16"/>
                <w:szCs w:val="16"/>
                <w:color w:val="auto"/>
              </w:rPr>
              <w:t>purchase accounting adjustments</w:t>
            </w:r>
          </w:p>
        </w:tc>
        <w:tc>
          <w:tcPr>
            <w:tcW w:w="2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903.2</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When assessing goodwill for impairment, Autodesk first assesses qualitative factors to determine whether the existence of events or circumstances leads to a determination that it is more likely than not that the fair value of a reporting unit is less than its carrying amount. Qualitative factors considered in this assessment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a two-step quantitative impairment test is unnecessary. If a two-step quantitative impairment test is necessary,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At July 31, 2013, Autodesk had marketable securities totaling $1,007.0 million, of which $39.9 million related to investments in debt and equity securities that are held in a rabbi trust under non-qualified deferred compensation plans. The total related deferred compensation liability was $39.9 million at July 31, 2013, of which $4.4 million was classified as current and $35.5 million was classified as non-current liabilities. The value of debt and equity securities held in the rabbi trust at January 31, 2013 was $35.3 million. The total related deferred compensation liability at January 31, 2013 was $35.3 million, of which $3.9 million was classified as current and $31.4 million was classified as non-current liabilities. The current and non-current portions of the liability are recorded in the Condensed Consolidated Balance Sheets under “Accrued compensation” and “Other liabilities,”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jc w:val="right"/>
        <w:ind w:right="340"/>
        <w:spacing w:after="0"/>
        <w:tabs>
          <w:tab w:leader="none" w:pos="1040" w:val="left"/>
        </w:tabs>
        <w:rPr>
          <w:sz w:val="20"/>
          <w:szCs w:val="20"/>
          <w:color w:val="auto"/>
        </w:rPr>
      </w:pPr>
      <w:r>
        <w:rPr>
          <w:rFonts w:ascii="Arial" w:cs="Arial" w:eastAsia="Arial" w:hAnsi="Arial"/>
          <w:sz w:val="14"/>
          <w:szCs w:val="14"/>
          <w:b w:val="1"/>
          <w:bCs w:val="1"/>
          <w:color w:val="auto"/>
        </w:rPr>
        <w:t>July 31, 2013</w:t>
      </w:r>
      <w:r>
        <w:rPr>
          <w:sz w:val="20"/>
          <w:szCs w:val="20"/>
          <w:color w:val="auto"/>
        </w:rPr>
        <w:tab/>
      </w:r>
      <w:r>
        <w:rPr>
          <w:rFonts w:ascii="Arial" w:cs="Arial" w:eastAsia="Arial" w:hAnsi="Arial"/>
          <w:sz w:val="13"/>
          <w:szCs w:val="13"/>
          <w:b w:val="1"/>
          <w:bCs w:val="1"/>
          <w:color w:val="auto"/>
        </w:rPr>
        <w:t>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95.1</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152.4</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46.0</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445.8</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114.9</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$732.0 million as of July 31, 2013.</w:t>
      </w:r>
    </w:p>
    <w:p>
      <w:pPr>
        <w:spacing w:after="0" w:line="17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In May 2013, Autodesk amended and restated the credit agreement extending the facility's maturity date from May 2016 to May 2018 and reducing facility fees and lowering borrowing costs by aligning margins with our recent public investment grade credit ratings. At July 31, 2013, Autodesk had no outstanding borrowings on this line of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During the third quarter of fiscal 2013, the Board of Directors of the Company approved a world-wide restructuring plan in line with the Company's strategy, including its continuing shift to cloud and mobile computing ("Fiscal 2013 Plan"). The plan resulted in a reduction of approximately 500 positions and the consolidation of eight leased facilities, with an aggregate charge of $46.0 million to date. During the three and six months ended July 31, 2013, Autodesk recorded restructuring charges of $1.7 million and $2.1 million, respectively. As of July 31, 2013, the personnel and facilities related actions included in this restructuring plan were substantially complete.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type w:val="continuous"/>
        </w:sectPr>
      </w:pPr>
    </w:p>
    <w:bookmarkStart w:id="21" w:name="page22"/>
    <w:bookmarkEnd w:id="21"/>
    <w:p>
      <w:pPr>
        <w:ind w:left="420"/>
        <w:spacing w:after="0"/>
        <w:rPr>
          <w:sz w:val="20"/>
          <w:szCs w:val="20"/>
          <w:color w:val="auto"/>
        </w:rPr>
      </w:pPr>
      <w:r>
        <w:rPr>
          <w:rFonts w:ascii="Arial" w:cs="Arial" w:eastAsia="Arial" w:hAnsi="Arial"/>
          <w:sz w:val="18"/>
          <w:szCs w:val="18"/>
          <w:color w:val="auto"/>
        </w:rPr>
        <w:t>The following table sets forth the restructuring activities during the six months ended July 31,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Adjustments(1)</w:t>
            </w:r>
          </w:p>
        </w:tc>
        <w:tc>
          <w:tcPr>
            <w:tcW w:w="22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Balances at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July 31, 2013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six months ended July 31, 2013, Autodesk repurchased and retired 3.1 million and 6.3 million shares at an average repurchase price of $36.38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560"/>
        <w:spacing w:after="0" w:line="264" w:lineRule="auto"/>
        <w:rPr>
          <w:sz w:val="20"/>
          <w:szCs w:val="20"/>
          <w:color w:val="auto"/>
        </w:rPr>
      </w:pPr>
      <w:r>
        <w:rPr>
          <w:rFonts w:ascii="Arial" w:cs="Arial" w:eastAsia="Arial" w:hAnsi="Arial"/>
          <w:sz w:val="18"/>
          <w:szCs w:val="18"/>
          <w:color w:val="auto"/>
        </w:rPr>
        <w:t>$38.33 per share, respectively. Common stock and additional paid-in capital and retained earnings were reduced by $64.7 million and $45.9 million, respectively, during the three months ended July 31, 2013. Common stock and additional paid-in capital and retained earnings were reduced by $126.2 million and $113.6 million, respectively, during the six months ended July 31, 2013.</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At July 31, 2013, 26.0 million shares remained available for repurchase under the repurchase program approved by the Board of Directors. During the six months ended July 31, 2013,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2013 and January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2013</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8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Reclassifications from Accumulated other comprehensive loss to Net income for the six months ended July 31, 2013 were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July 31,</w:t>
            </w:r>
          </w:p>
        </w:tc>
        <w:tc>
          <w:tcPr>
            <w:tcW w:w="200" w:type="dxa"/>
            <w:vAlign w:val="bottom"/>
          </w:tcPr>
          <w:p>
            <w:pPr>
              <w:spacing w:after="0"/>
              <w:rPr>
                <w:sz w:val="16"/>
                <w:szCs w:val="16"/>
                <w:color w:val="auto"/>
              </w:rPr>
            </w:pPr>
          </w:p>
        </w:tc>
        <w:tc>
          <w:tcPr>
            <w:tcW w:w="20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Six Months Ended July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and six months ended July 31, 2013 , 7.2 million and 7.6 million potentially anti-dilutive shares, respectively, were excluded from the computation of diluted net income per share. For the three and six months ended July 31, 2012, 12.2 million and 10.0 million potentially anti-dilutive shares, respectively, were excluded from the computation of diluted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19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2013. Autodesk evaluates each segment’s performance on the basis of gross profit. Autodesk currently does not separately accumulate and report asset information by segment, except for goodwill, which is disclosed in Note 9, “Goodwill.”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180" w:type="dxa"/>
            <w:vAlign w:val="bottom"/>
          </w:tcPr>
          <w:p>
            <w:pPr>
              <w:spacing w:after="0"/>
              <w:rPr>
                <w:sz w:val="16"/>
                <w:szCs w:val="16"/>
                <w:color w:val="auto"/>
              </w:rPr>
            </w:pPr>
          </w:p>
        </w:tc>
        <w:tc>
          <w:tcPr>
            <w:tcW w:w="19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197.3</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442.8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144.0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561.7</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568.7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179.6</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374.8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Unallocated (2)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fiscal 2013 quarterly segment revenue amounts have been updated to conform with the current period's presentation.</w:t>
      </w:r>
    </w:p>
    <w:p>
      <w:pPr>
        <w:spacing w:after="0" w:line="9" w:lineRule="exact"/>
        <w:rPr>
          <w:rFonts w:ascii="Arial" w:cs="Arial" w:eastAsia="Arial" w:hAnsi="Arial"/>
          <w:sz w:val="16"/>
          <w:szCs w:val="16"/>
          <w:color w:val="auto"/>
        </w:rPr>
      </w:pPr>
    </w:p>
    <w:p>
      <w:pPr>
        <w:ind w:left="420" w:right="5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6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July 31,</w:t>
            </w:r>
          </w:p>
        </w:tc>
        <w:tc>
          <w:tcPr>
            <w:tcW w:w="180" w:type="dxa"/>
            <w:vAlign w:val="bottom"/>
          </w:tcPr>
          <w:p>
            <w:pPr>
              <w:spacing w:after="0"/>
              <w:rPr>
                <w:sz w:val="16"/>
                <w:szCs w:val="16"/>
                <w:color w:val="auto"/>
              </w:rPr>
            </w:pPr>
          </w:p>
        </w:tc>
        <w:tc>
          <w:tcPr>
            <w:tcW w:w="19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Six Months Ended July 31,</w:t>
            </w:r>
          </w:p>
        </w:tc>
      </w:tr>
      <w:tr>
        <w:trPr>
          <w:trHeight w:val="264"/>
        </w:trPr>
        <w:tc>
          <w:tcPr>
            <w:tcW w:w="66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r>
      <w:tr>
        <w:trPr>
          <w:trHeight w:val="21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66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326.9</w:t>
            </w: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8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79.2</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406.1</w:t>
            </w: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201.8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418.0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434.0</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66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6"/>
                <w:szCs w:val="16"/>
                <w:color w:val="auto"/>
              </w:rPr>
              <w:t>Japan</w:t>
            </w:r>
          </w:p>
        </w:tc>
        <w:tc>
          <w:tcPr>
            <w:tcW w:w="8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146.2</w:t>
            </w:r>
          </w:p>
        </w:tc>
      </w:tr>
      <w:tr>
        <w:trPr>
          <w:trHeight w:val="33"/>
        </w:trPr>
        <w:tc>
          <w:tcPr>
            <w:tcW w:w="6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171.0</w:t>
            </w: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158.3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317.2</w:t>
            </w:r>
          </w:p>
        </w:tc>
      </w:tr>
      <w:tr>
        <w:trPr>
          <w:trHeight w:val="33"/>
        </w:trPr>
        <w:tc>
          <w:tcPr>
            <w:tcW w:w="6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561.7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below, anticipated future net revenue, future operating margin and other future financial results (by product type and geography) and operating expenses, the effectiveness of our efforts to successfully manage transitions to new business models and markets, the effectiveness of efforts to reduce our operating expenses, expected market trends, including the growth of cloud, mobile and social computing, the effect of unemployment and availability of credit, the effects of weak global economic conditions, the effects of revenue recognition, our backlog, expected trends in certain financial metrics, the impact of acquisitions and investment activities,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By innovating within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ind w:right="120" w:firstLine="405"/>
        <w:spacing w:after="0" w:line="273" w:lineRule="auto"/>
        <w:rPr>
          <w:sz w:val="20"/>
          <w:szCs w:val="20"/>
          <w:color w:val="auto"/>
        </w:rPr>
      </w:pPr>
      <w:r>
        <w:rPr>
          <w:rFonts w:ascii="Arial" w:cs="Arial" w:eastAsia="Arial" w:hAnsi="Arial"/>
          <w:sz w:val="17"/>
          <w:szCs w:val="17"/>
          <w:color w:val="auto"/>
        </w:rPr>
        <w:t>We offer extensive educational programs supporting our software and services that include providing educational licenses for our software to all students and teachers for little or no fees. For example, beginning the three months ended April 30, 2013, we initiated a new program granting software licenses to educational institutions in select regions and to key partners. Through our partners, we offer curricula and faculty development opportunities to educational institutions worldwide. Through these programs we intend to further Science, Technology, Engineering and Math (STEM) education initiatives. With an extensive global community of students who are experienced with our software and poised to become the next generation of professional users - our goal is to reduce the cost of training and education of new talent for our customers.</w:t>
      </w:r>
    </w:p>
    <w:p>
      <w:pPr>
        <w:spacing w:after="0" w:line="17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 and social-based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other mobile devices providing our advanced visualization technologies to consumers—a whole new category of Autodesk customer.</w:t>
      </w:r>
    </w:p>
    <w:p>
      <w:pPr>
        <w:spacing w:after="0" w:line="17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shift, our major business initiatives include our desire to accelerate the business' move to the cloud, transform our customers' experience, increase industry focus to meet customer demands, and develop more effective marketing.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12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Grow. We believe opportunity remains in our desktop software business, and we intend to continue to grow this business. In particular we are offering product suites with improved interoperability and usability to enhance our customers' productivity. We are continuing to drive maintenance and new licensing models, including flexible license and service offerings, to better match the business needs of our customers. We will continue to emphasize developing direct relationships with large, global customers and pursuing opportunities in emerging economies.</w:t>
      </w:r>
    </w:p>
    <w:p>
      <w:pPr>
        <w:spacing w:after="0" w:line="154" w:lineRule="exact"/>
        <w:rPr>
          <w:rFonts w:ascii="Arial" w:cs="Arial" w:eastAsia="Arial" w:hAnsi="Arial"/>
          <w:sz w:val="16"/>
          <w:szCs w:val="16"/>
          <w:color w:val="auto"/>
        </w:rPr>
      </w:pPr>
    </w:p>
    <w:p>
      <w:pPr>
        <w:ind w:left="660" w:right="1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and online simulation. Our goal is to lead our industry in transitioning to the cloud.</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For example, we have added new customers through our consumer products. We intend to continue to develop our business to both add new customers and find new capabilities to incorporate in our core business.</w:t>
      </w:r>
    </w:p>
    <w:p>
      <w:pPr>
        <w:spacing w:after="0" w:line="181"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We believe that expanding our products'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six months ended July 31, 2013, revenue from suites increased 18% and 13%, respectively, as compared to the same period in the prior fiscal year. As a percentage of revenue, suites consisted of 34% and 33% of our net revenue in the three and six months ended July 31, 2013, respectively, as compared to 29% and 28% of our net revenue in the three and six months ended July 31, 2012, respectively.</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for example infrastructure build-out. Although revenue from emerging economies decreased 2% and 5% during the three and six months ended July 31, 2013, respectively, as compared to the same periods of the prior fiscal year, we believe that emerging economies continue to present long-term growth opportunities for us. Revenue from emerging countries represented 15% and 14% of net revenue for the three and six months ended July 31, 2013, respectively, as compared to 15% of net revenue for both the three and six months ended July 31, 2012. While we believe there are long-term growth opportunities in emerging economies, conducting business in these countries presents significant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480"/>
        <w:spacing w:after="0" w:line="277" w:lineRule="auto"/>
        <w:rPr>
          <w:sz w:val="20"/>
          <w:szCs w:val="20"/>
          <w:color w:val="auto"/>
        </w:rPr>
      </w:pPr>
      <w:r>
        <w:rPr>
          <w:rFonts w:ascii="Arial" w:cs="Arial" w:eastAsia="Arial" w:hAnsi="Arial"/>
          <w:sz w:val="18"/>
          <w:szCs w:val="18"/>
          <w:color w:val="auto"/>
        </w:rPr>
        <w:t>challenges, including economic volatility, geopolitical risk, local competition, intellectual property protection, poorly developed business infrastructure, scarcity of talent, software piracy and different purchase patterns as compared to the developed world.</w:t>
      </w:r>
    </w:p>
    <w:p>
      <w:pPr>
        <w:spacing w:after="0" w:line="17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2013. In addition, we highlighted those policies that involve a higher degree of judgment and complexity with further discussion in Item 7, “Management’s Discussion and Analysis of Financial Condition and Results of Operations” in such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$176.9 million of net deferred tax assets, primarily a result of tax credits, net operating losses, capital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timing differences for reserves, accrued liabilities, stock options and restricted stock units, fixed assets, deferred revenue,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 of the Three and Six Months Ended July 31,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July</w:t>
            </w:r>
          </w:p>
        </w:tc>
        <w:tc>
          <w:tcPr>
            <w:tcW w:w="10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July</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31, 2012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59.8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410.3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416.0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75"/>
        </w:trPr>
        <w:tc>
          <w:tcPr>
            <w:tcW w:w="382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100" w:type="dxa"/>
            <w:vAlign w:val="bottom"/>
          </w:tcPr>
          <w:p>
            <w:pPr>
              <w:spacing w:after="0"/>
              <w:rPr>
                <w:sz w:val="23"/>
                <w:szCs w:val="23"/>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1,132.1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118.6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831.8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851.8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186.9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results in the three and six months ended July 31, 2013, as compared to the same periods in the prior fiscal year, were driven by strong results in our AEC segment and continued growth in our suites which were offset by mixed contributions from other parts of our business. Additionally our results reflected foreign currency headwinds and the strategic decision for our educational program to begin granting software licenses to educational institutions in select regions and to key partners. During the three months ended July 31, 2013, as compared to same period in the prior fiscal year, net revenue decreased 1%, gross profit decreased 3% and income from operations decreased 10%. During the six months ended July 31, 2013, as compared to same period in the prior fiscal year, net revenue decreased 2%, gross profit decreased 4% and income from operations decreased 12%. Contributing to the year over year decreases in revenue during the three and six months ended July 31, 2013 were decreases in license and other revenue partially offset by increases in subscription revenue. We experienced decreases in revenue from many of our major products, led by ACAD and ACAD Mechanical, reportable segments and geographic areas during the three and six months ended July 31, 2013 as compared to the same periods in the prior fiscal year. The reasons for these decreases are discussed below under the heading “Results from Operations.”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Revenue from flagship products was 51% and 53% of total net revenue during the three and six months ended July 31, 2013, respectively, a decrease of 11% and 10%, respectively, as compared to the same periods in the prior fiscal year. Revenue from suites was 34% and 33% of total net revenue for the three and six months ended July 31, 2013, an increase of 18% and 13%, respectively, as compared to the same periods in the prior fiscal year. Revenue from new and adjacent products was 14% of total net revenue for each of the three and six months ended July 31, 2013, respectively, a decrease of 1% compared to the three months ended July 31, 2012 and flat as compared to the six months ended July 31, 2012. We anticipate that, as our new and existing customers migrate from our stand-alone products, our revenue from suites will increase as a percentage of revenue and that our revenue from our flagship and new and adjacent products will continue to decline as a percentage of revenue.</w:t>
      </w:r>
    </w:p>
    <w:p>
      <w:pPr>
        <w:spacing w:after="0" w:line="17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24% and 25% of our consolidated net revenue during the three and six months ended July 31, 2013, respectively, as compared to 23% and 22% in the three and six months ended July 31, 2012,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Income from operations decreased 10% in the three months ended July 31, 2013 due to a $7.0 million or 1% decline in net revenue partially offset by a $5.7 million or 1% decline in our operating expenses, as compared to the same period in the prior fiscal year. The decrease in operating expenses was primarily related to lower employee related costs during the three months ended July 31, 2013. Our operating margin decreased to 15% for the three months ended July 31, 2013 from 16%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the three months ended July 31, 2012 due primarily to lower revenue related to foreign currency exchange headwinds and increased cost of goods sold during the three months ended July 31, 2013.</w:t>
      </w:r>
    </w:p>
    <w:p>
      <w:pPr>
        <w:spacing w:after="0" w:line="170" w:lineRule="exact"/>
        <w:rPr>
          <w:sz w:val="20"/>
          <w:szCs w:val="20"/>
          <w:color w:val="auto"/>
        </w:rPr>
      </w:pPr>
    </w:p>
    <w:p>
      <w:pPr>
        <w:jc w:val="both"/>
        <w:ind w:right="100" w:firstLine="405"/>
        <w:spacing w:after="0" w:line="257" w:lineRule="auto"/>
        <w:rPr>
          <w:sz w:val="20"/>
          <w:szCs w:val="20"/>
          <w:color w:val="auto"/>
        </w:rPr>
      </w:pPr>
      <w:r>
        <w:rPr>
          <w:rFonts w:ascii="Arial" w:cs="Arial" w:eastAsia="Arial" w:hAnsi="Arial"/>
          <w:sz w:val="18"/>
          <w:szCs w:val="18"/>
          <w:color w:val="auto"/>
        </w:rPr>
        <w:t>Income from operations decreased 12% in six months ended July 31, 2013 due to a $25.2 million or 2% decline in net revenue partially offset a $20.0 million or 2% decline in our operating expenses, as compared to the period in prior fiscal year. The decrease in operating expenses was primarily related to lower employee related costs and marketing related costs. Our operating margin decreased to 15% for the six months ended July 31, 2013 from 16% for the six months ended July 31, 2012 due primarily to lower revenue related to foreign currency exchange headwinds and increased costs of goods sold during the six months ended July 31, 2013.</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generate a significant amount of our revenue in the U.S., Japan, Germany, the United Kingdom and France. Our revenue was negatively impacted from foreign exchange rate changes during both the three and six months ended July 31, 2013, as compared to the same periods in the prior fiscal year. Had applicable exchange rates from the three months ended July 31, 2012 been in effect during the three and six months ended July 31, 2013 and had we excluded foreign exchange hedge gains and losses from the three and six months ended July 31, 2013, (“on a constant currency basis”), net revenue would have increased 2% and 1%, respectively, compared to the prior fiscal year. Our total spend, defined as cost of revenue plus operating expenses, during both the three and six months ended July 31, 2013 benefited from foreign exchange rate changes and remained relatively flat on an as reported basis as compared to the same period in the prior fiscal year. Had applicable exchange rates been in effect during the three and six months ended July 31, 2013 and had we excluded foreign exchange hedge gains and losses from the three and six months ended July 31, 2013, (“on a constant currency basis”) total spend would have increased 1% and 7%, respectively, on a constant currency basis compared to the same periods in the prior fiscal year.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July 31, 2013, we had $2,408.0 million in cash and marketable securities. We completed the six months ended July 31, 2013 with lower deferred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and accounts receivable balances as compared to the end of the fiscal year ended January 31, 2013. Our deferred revenue balance at July 31,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$736.0 million of customer maintenance contracts, which will be recognized as revenue ratably over the life of the contracts. The term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maintenance contracts is typically between one and three years. Our cash flow from operations increased 17% to $289.4 million as of July 31, 2013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$246.4 million at January 31, 2013. We repurchased 3.1 million shares of our common stock for $110.6 million during the three months ended July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Comparatively, we repurchased 3.4 million shares of our common stock for $111.1 million during the three months ended July 31, 2012. We repurchased 6.3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 our common stock for $239.8 million during the six months ended July 31, 2013. Comparatively, we repurchased 5.9 million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$210.3 million during the six months ended July 31, 2012. Further discussion regarding the balance sheet and cash flow activities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 under the heading “Liquidity and Capital Resources.”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For the third quarter of fiscal 2014, challenging dynamics within some of the end-markets that we serve has led us to lower our growth assumptions. We now expect net revenue for the third quarter of fiscal 2014 will be from $540 million to $555 million, and that GAAP diluted earnings per share will range from $0.19 to $0.23 while non-GAAP diluted earnings per share will range from $0.36 to $0.40. Non-GAAP earnings per diluted share exclude $0.11 related to stock-based compensation expense and $0.06 for the amortization of acquisition related intangibles.</w:t>
      </w:r>
    </w:p>
    <w:p>
      <w:pPr>
        <w:spacing w:after="0" w:line="131"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Autodesk's business model is evolving. We continue to assess current business offerings including introducing more flexible license and service offerings that have ratable revenue streams, such as rental license and cloud-based offerings.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with how they use our products. However, we expect the business model</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0" w:name="page31"/>
    <w:bookmarkEnd w:id="30"/>
    <w:p>
      <w:pPr>
        <w:ind w:right="20"/>
        <w:spacing w:after="0" w:line="302" w:lineRule="auto"/>
        <w:rPr>
          <w:sz w:val="20"/>
          <w:szCs w:val="20"/>
          <w:color w:val="auto"/>
        </w:rPr>
      </w:pPr>
      <w:r>
        <w:rPr>
          <w:rFonts w:ascii="Arial" w:cs="Arial" w:eastAsia="Arial" w:hAnsi="Arial"/>
          <w:sz w:val="16"/>
          <w:szCs w:val="16"/>
          <w:color w:val="auto"/>
        </w:rPr>
        <w:t>transition to cause our traditional upfront perpetual license revenue to decline without a corresponding decrease in expenses. In the future, we expect this business model transition will increase our long-term revenue growth rate by attracting new users. Additionally, the shift is expected to increase the amount of our recurring revenue that is ratably reported over the next several years. We currently are working through our plans for this business model transition in terms of the timeframe and magnitude and, as a result, we are not providing full year fiscal 2014 guidance as of the date of the filing of this quarterly report.</w:t>
      </w:r>
    </w:p>
    <w:p>
      <w:pPr>
        <w:spacing w:after="0" w:line="11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While our near-term revenue target is lower, 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Increase/(Decrease) compared to</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Increase/(Decrease) compared to</w:t>
            </w:r>
          </w:p>
        </w:tc>
        <w:tc>
          <w:tcPr>
            <w:tcW w:w="140" w:type="dxa"/>
            <w:vAlign w:val="bottom"/>
          </w:tcPr>
          <w:p>
            <w:pPr>
              <w:spacing w:after="0"/>
              <w:rPr>
                <w:sz w:val="14"/>
                <w:szCs w:val="14"/>
                <w:color w:val="auto"/>
              </w:rPr>
            </w:pPr>
          </w:p>
        </w:tc>
        <w:tc>
          <w:tcPr>
            <w:tcW w:w="88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2013</w:t>
            </w:r>
          </w:p>
        </w:tc>
        <w:tc>
          <w:tcPr>
            <w:tcW w:w="240" w:type="dxa"/>
            <w:vAlign w:val="bottom"/>
          </w:tcPr>
          <w:p>
            <w:pPr>
              <w:spacing w:after="0"/>
              <w:rPr>
                <w:sz w:val="22"/>
                <w:szCs w:val="22"/>
                <w:color w:val="auto"/>
              </w:rPr>
            </w:pPr>
          </w:p>
        </w:tc>
        <w:tc>
          <w:tcPr>
            <w:tcW w:w="72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31, 2012</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31, 2013</w:t>
            </w:r>
          </w:p>
        </w:tc>
        <w:tc>
          <w:tcPr>
            <w:tcW w:w="260" w:type="dxa"/>
            <w:vAlign w:val="bottom"/>
          </w:tcPr>
          <w:p>
            <w:pPr>
              <w:spacing w:after="0"/>
              <w:rPr>
                <w:sz w:val="22"/>
                <w:szCs w:val="22"/>
                <w:color w:val="auto"/>
              </w:rPr>
            </w:pPr>
          </w:p>
        </w:tc>
        <w:tc>
          <w:tcPr>
            <w:tcW w:w="68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July 31, 2012</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(20.8)</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636.7</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689.2</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27.3</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1,132.1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406.1</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7"/>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40"/>
              <w:spacing w:after="0"/>
              <w:rPr>
                <w:sz w:val="20"/>
                <w:szCs w:val="20"/>
                <w:color w:val="auto"/>
              </w:rPr>
            </w:pPr>
            <w:r>
              <w:rPr>
                <w:rFonts w:ascii="Arial" w:cs="Arial" w:eastAsia="Arial" w:hAnsi="Arial"/>
                <w:sz w:val="16"/>
                <w:szCs w:val="16"/>
                <w:color w:val="auto"/>
                <w:w w:val="95"/>
              </w:rPr>
              <w:t>Net Revenue by Operating Segment:</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442.8</w:t>
            </w:r>
          </w:p>
        </w:tc>
        <w:tc>
          <w:tcPr>
            <w:tcW w:w="0" w:type="dxa"/>
            <w:vAlign w:val="bottom"/>
          </w:tcPr>
          <w:p>
            <w:pPr>
              <w:spacing w:after="0"/>
              <w:rPr>
                <w:sz w:val="1"/>
                <w:szCs w:val="1"/>
                <w:color w:val="auto"/>
              </w:rPr>
            </w:pPr>
          </w:p>
        </w:tc>
      </w:tr>
      <w:tr>
        <w:trPr>
          <w:trHeight w:val="219"/>
        </w:trPr>
        <w:tc>
          <w:tcPr>
            <w:tcW w:w="25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and Emerging Business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6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20.9</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06"/>
        </w:trPr>
        <w:tc>
          <w:tcPr>
            <w:tcW w:w="256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24"/>
        </w:trPr>
        <w:tc>
          <w:tcPr>
            <w:tcW w:w="256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47"/>
        </w:trPr>
        <w:tc>
          <w:tcPr>
            <w:tcW w:w="25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License and other revenue consists of two components: all forms of product license revenue and other revenue. Product license revenue includes: software license revenue from the sale of new seat licenses and upgrades and product revenue for Creative Finishing. Other revenue includes revenue from consulting, training, Autodesk Developers Network and Creative Finishing customer support, and is recognized over time, as the services are performed.</w:t>
      </w:r>
    </w:p>
    <w:p>
      <w:pPr>
        <w:spacing w:after="0" w:line="147"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Total license and other revenue decreased 6% during the three months ended July 31, 2013, as compared to the three months ended July 31, 2012. This decrease was primarily due to a 6% decrease in product license revenue as compared to the same period in the prior fiscal year. The decline in product license revenue was primarily due to a decrease of 17% in revenue from our flagship products partially offset by an increase of 21% in our suites products.</w:t>
      </w:r>
    </w:p>
    <w:p>
      <w:pPr>
        <w:spacing w:after="0" w:line="14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three months ended July 31, 2013, the 6% decrease in product license revenue was due to a 35% decrease in the number of seats sold partially offset by a 29% increase in the average net revenue per seat. Product license revenue, as a percentage of license and other revenue, was 84% for both the three months ended July 31, 2013 and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right="20" w:firstLine="405"/>
        <w:spacing w:after="0" w:line="259" w:lineRule="auto"/>
        <w:rPr>
          <w:sz w:val="20"/>
          <w:szCs w:val="20"/>
          <w:color w:val="auto"/>
        </w:rPr>
      </w:pPr>
      <w:r>
        <w:rPr>
          <w:rFonts w:ascii="Arial" w:cs="Arial" w:eastAsia="Arial" w:hAnsi="Arial"/>
          <w:sz w:val="18"/>
          <w:szCs w:val="18"/>
          <w:color w:val="auto"/>
        </w:rPr>
        <w:t>During the three months ended July 31, 2013, total other revenue represented 16% of License and other revenue. Other revenue decreased by 6% during the three months ended July 31, 2013, as compared to the three months ended July 31, 2012 primarily due to a 68% decrease in our education products as we began offering software licenses to educational institutions in select regions and to key partners during the three months ended July 31, 2013, consistent with our strategy.</w:t>
      </w:r>
    </w:p>
    <w:p>
      <w:pPr>
        <w:spacing w:after="0" w:line="18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Total license and other revenue decreased 8% during the six months ended July 31, 2013, as compared to the six months ended July 31, 2012. This decrease was primarily due to a 7% decrease in product license revenue as compared to the same period in the prior fiscal year. The decline in product license revenue was primarily due to a 15% decrease in revenue from our flagship products partially offset by a 12% increase in our suites products.</w:t>
      </w:r>
    </w:p>
    <w:p>
      <w:pPr>
        <w:spacing w:after="0" w:line="14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During the six months ended July 31, 2013, the 7% decrease in product license revenue was due to a 29% decrease in the number of seats sold partially offset by a 22% increase in the average net revenue per seat. Product license revenue, as a percentage of license and other revenue, was 85% for both the six months ended July 31, 2013 and 2012.</w:t>
      </w:r>
    </w:p>
    <w:p>
      <w:pPr>
        <w:spacing w:after="0" w:line="181"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During the six months ended July 31, 2013, total other revenue represented 15% of License and other revenue. Other revenue decreased by 9% during the three months ended July 31, 2013, as compared to the six months ended July 31, 2013 primarily due to a 60% decrease in our education products as we began granting software licenses to educational institutions in select regions and to key partners during the six months ended July 31, 2013, consistent with our strategy.</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decreased by $18.0 million during the six months ended July 31, 2013 from $20.0 million at January 31, 2013 to $2.0 million at July 31, 2013.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subscription revenue consists of two components: maintenance revenue for our software products and revenue for our cloud service offerings, including Autodesk 360.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Subscription revenue increased 6% during the three months ended July 31, 2013, as compared to the three months ended July 31, 2012, primarily due to an 8% increase in commercial maintenance revenue. The 8% increase in commercial maintenance revenue was due to a 5% increase from commercial enrollment during the corresponding maintenance contract term and a 3% increase from net revenue per maintenance seat. Commercial maintenance revenue represented 95% and 93% of subscription revenue for the three months ended July 31, 2013 and 2012, respectively.</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Subscription revenue increased 6% during the six months ended July 31, 2013, as compared to the six months ended July 31, 2012, primarily due to a 7% increase in commercial maintenance revenue. The 7% increase in commercial maintenance revenue was due to a 4% increase from commercial enrollment during the corresponding maintenance contract term and a 3% increase from net revenue per maintenance seat. Commercial maintenance revenue represented 95% and 93% of subscription revenue for the six months ended July 31, 2013 and 2012, respectively.</w:t>
      </w:r>
    </w:p>
    <w:p>
      <w:pPr>
        <w:spacing w:after="0" w:line="171"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Changes in subscription revenue lag changes in net billings for subscription contracts because we recognize the revenue from those contracts ratably over their contract terms. Net subscription billings decreased 20% and 7% during the three and six months ended July 31, 2013 as compared to the same periods in the prior fiscal year primarily due to a decline in multi-year maintenance agreements. Net maintenance billings during the three and six months ended July 31, 2012 benefited from an increase in multi-year renewals related to an impending pricing change.</w:t>
      </w:r>
    </w:p>
    <w:p>
      <w:pPr>
        <w:spacing w:after="0" w:line="171"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Our deferred subscription revenue balance at July 31, 2013 and January 31, 2013 was $736.0 million and $753.1 million, respectively, and primarily related to customer maintenance agreements, which will be recognized as revenue ratably over the term of the maintenance agreement.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revenue in the Americas geography increased by 2% during the three months ended July 31, 2013, as compared to the same period in the prior fiscal year. This increase was primarily due to a 12% increase in our suites revenue partially offset by an 8% decrease in our flagship products revenue in this geography during the three months ended July 31, 2013 as compared to the three months ended July 31, 2012. The increase in our revenue in this geography was led by U.S. partially offset by a decline in Canada.</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revenue in the Americas geography decreased by 1% during the six months ended July 31, 2013, as compared to the same period in the prior fiscal year. This decrease was primarily due to an 8% decrease in our flagship products in this geography partially offset by a 6% increase in our suites revenue during the six months ended July 31, 2013 as compared to the six months ended July 31, 2012. The decrease in our revenue in this geography was led by Canada and Brazil partially offset by an increase in U.S. and Mexico.</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Net revenue in the EMEA geography decreased by 4%, and remained flat on a constant currency basis, during the three months ended July 31, 2013 as compared to the same period in the prior fiscal year. This decrease was primarily due to a 17% decrease in our flagship products in this geography partially offset by a 26% increase in our suites products during the three months ended July 31, 2013 as compared to the three months ended July 31, 2012.The decrease in our revenue in this geography was led by Ireland, Italy and France partially offset by an increase in revenue from Finland and the United Kingdom.</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Net revenue in the EMEA geography decreased by 4%, and increased by 1% on a constant currency basis, during the six months ended July 31, 2013 as compared to the same period in the prior fiscal year. This decrease was primarily due to a 14% decrease in our flagship products in this geography partially offset by a 21% increase in our suites products during the six months ended July 31, 2013 as compared to the six months ended July 31, 2012.The decrease in our revenue in this geography was led by Ireland, Sweden and Italy partially offset by an increase in revenue from Finland and the United Kingdom.</w:t>
      </w:r>
    </w:p>
    <w:p>
      <w:pPr>
        <w:spacing w:after="0" w:line="15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Net revenue in the APAC geography decreased by 1% and increased by 4% on a constant currency basis, during the three months ended July 31, 2013, as compared to the same period in the prior fiscal year. This decrease was primarily due to a 6% decrease in our flagship products in this geography partially offset by a 16% increase in our suites products during the three months ended July 31, 2013 as compared to the three months ended July 31, 2012. The decrease in our revenue in this geography during the three months ended July 31, 2013 was led by Taiwan, India and Japan partially offset by an increase in China and South Korea.</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revenue in the APAC geography decreased by 2% and increased by 3% on a constant currency basis, during the six months ended July 31, 2013, as compared to the same period in the prior fiscal year. This decrease was primarily due to a 7% decrease in our flagship products in this geography partially offset by a 12% increase in our suites products during the six months ended July 31, 2013 as compared to the six months ended July 31, 2012. The decrease in our revenue in this geography during the six months ended July 31, 2013 was led by Taiwan, Australia and India partially offset by an increase in Indonesia and China.</w:t>
      </w:r>
    </w:p>
    <w:p>
      <w:pPr>
        <w:spacing w:after="0" w:line="18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Net revenue in emerging economies decreased 2% during the three months ended July 31, 2013 as compared to the same period in the prior fiscal year, primarily due to decreases in revenue from the Russian Federation and Hungary partially offset by an increase in Poland and China. Revenue from emerging economies represented 15% of total net revenue for both the three months ended July 31, 2013 and 2012.</w:t>
      </w:r>
    </w:p>
    <w:p>
      <w:pPr>
        <w:spacing w:after="0" w:line="18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Net revenue in emerging economies decreased 5% during the six months ended July 31, 2013 as compared to the same period in the prior fiscal year, primarily due to decreases in revenue from the Russian Federation and Taiwan partially offset by an increase in Mexico. Revenue from emerging economies represented 14% and 15% of total net revenue during the six months ended July 31, 2013 and 2012, respectively.</w:t>
      </w:r>
    </w:p>
    <w:p>
      <w:pPr>
        <w:spacing w:after="0" w:line="16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International net revenue represented 71% of our total net revenue for both the three and six months ended July 31, 2013. International net revenue represented 72% of our total net revenue for both the three and six months ended July 31, 2012.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conditions that have been characterized by restructuring of sovereign debt, high unemployment, and volatility in the financial markets may impact our future financial results.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three months ended July 31, 2013, net revenue for PSEB decreased 9% as compared to the same period of the prior fiscal year primarily due to a 12% and 5% decrease in revenue from our flagship products, AutoCAD and AutoCAD LT, respectively. During the six months ended July 31, 2013, net revenue for PSEB decreased 7% as compared to the same period of the prior fiscal year primarily due to a 10% and 5% decrease in revenue from our flagship products, AutoCAD and AutoCAD LT, respectively.</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During the three months ended July 31, 2013, net revenue for AEC increased 9% as compared to the same period of the prior fiscal year primarily due to a 36% increase in revenue from our AEC suites, which was primarily driven by Autodesk Building Design Suite and Autodesk Infrastructure Design Suite. During the six months ended July 31, 2013, net revenue for AEC increased 6% as compared to the same period of the prior fiscal year primarily due to a 25% increase in revenue from our AEC suites, which was primarily driven by Autodesk Building Design Suite and Autodesk Infrastructure Design Suite.</w:t>
      </w:r>
    </w:p>
    <w:p>
      <w:pPr>
        <w:spacing w:after="0" w:line="15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During the three months ended July 31, 2013, net revenue for MFG increased 2% as compared to the same period of the prior fiscal year primarily due to a 14% increase in revenue from our MFG suites, which was primarily driven by the Autodesk Product Design Suite partially offset by a 24% decrease in revenue from our flagship product, AutoCAD Mechanical. During the six months ended July 31, 2013, net revenue for MFG decreased 1% as compared to the same period of the prior fiscal year primarily due to a 32% decrease in revenue from our flagship product, AutoCAD Mechanical, partially offset by an 11% increase in revenue from our MFG suites, which was primarily driven by the Autodesk Product Design Suite.</w:t>
      </w:r>
    </w:p>
    <w:p>
      <w:pPr>
        <w:spacing w:after="0" w:line="15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During the three months ended July 31, 2013, net revenue for M&amp;E decreased 11% as compared to the same period in the prior fiscal year, primarily due to a 10% decrease in revenue from Animation and a 14% decrease in revenue from Creative Finishing. The decrease in Animation revenue was primarily due to a 26% decrease in revenue from our M&amp;E suites, which was driven by our Autodesk Entertainment Creation Suite, and a 11% decrease in revenue from our flagship product, Maya. The decline in Creative Finishing was marked by a general decrease in M&amp;E industry end-market demand. During the six months ended July 31, 2013, net revenue for M&amp;E decreased 9% as compared to the same period in the prior fiscal year, primarily due to a 10% decrease in revenue from Animation and a 9% decrease in revenue from Creative Finishing. The decrease in Animation revenue was primarily due to a 12% decrease in revenue from our flagship product, 3Ds Max, a 19% decrease in revenue from our M&amp;E suites, which was driven by our Autodesk Entertainment Creation Suite and a 9% decrease in revenue from flagship product, Maya. The decline in Creative Finishing was marked by a general decrease in M&amp;E industry end-market demand. As more of our customers move to our suites products, our revenue on stand-alone products like 3Ds Max may decrease because it is included in a number of our various segments' suites. Integration of our M&amp;E offerings into our other segments' suites is part of our strategy and we believe it represents a growth opportunity for us over the long-term.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02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31, 2013</w:t>
            </w:r>
          </w:p>
        </w:tc>
        <w:tc>
          <w:tcPr>
            <w:tcW w:w="18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July 31, 2012</w:t>
            </w: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2013</w:t>
            </w:r>
          </w:p>
        </w:tc>
        <w:tc>
          <w:tcPr>
            <w:tcW w:w="160" w:type="dxa"/>
            <w:vAlign w:val="bottom"/>
          </w:tcPr>
          <w:p>
            <w:pPr>
              <w:spacing w:after="0"/>
              <w:rPr>
                <w:sz w:val="22"/>
                <w:szCs w:val="22"/>
                <w:color w:val="auto"/>
              </w:rPr>
            </w:pPr>
          </w:p>
        </w:tc>
        <w:tc>
          <w:tcPr>
            <w:tcW w:w="6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July 31, 2012</w:t>
            </w:r>
          </w:p>
        </w:tc>
      </w:tr>
      <w:tr>
        <w:trPr>
          <w:trHeight w:val="210"/>
        </w:trPr>
        <w:tc>
          <w:tcPr>
            <w:tcW w:w="2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60"/>
        </w:trPr>
        <w:tc>
          <w:tcPr>
            <w:tcW w:w="2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24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0.3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3"/>
              <w:spacing w:after="0"/>
              <w:rPr>
                <w:sz w:val="20"/>
                <w:szCs w:val="20"/>
                <w:color w:val="auto"/>
              </w:rPr>
            </w:pPr>
            <w:r>
              <w:rPr>
                <w:rFonts w:ascii="Arial" w:cs="Arial" w:eastAsia="Arial" w:hAnsi="Arial"/>
                <w:sz w:val="16"/>
                <w:szCs w:val="16"/>
                <w:color w:val="auto"/>
              </w:rPr>
              <w:t>3.9</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83.3</w:t>
            </w:r>
          </w:p>
        </w:tc>
      </w:tr>
      <w:tr>
        <w:trPr>
          <w:trHeight w:val="33"/>
        </w:trPr>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35.3</w:t>
            </w:r>
          </w:p>
        </w:tc>
      </w:tr>
      <w:tr>
        <w:trPr>
          <w:trHeight w:val="284"/>
        </w:trPr>
        <w:tc>
          <w:tcPr>
            <w:tcW w:w="24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8.0</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16.7</w:t>
            </w:r>
          </w:p>
        </w:tc>
        <w:tc>
          <w:tcPr>
            <w:tcW w:w="9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118.6</w:t>
            </w:r>
          </w:p>
        </w:tc>
      </w:tr>
      <w:tr>
        <w:trPr>
          <w:trHeight w:val="224"/>
        </w:trPr>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Cost of license and other revenue includes labor costs of product setup and fulfillment and costs of fulfilling consulting and training services contracts and collaborative project management services contracts. Cost of license and other revenue also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480"/>
        <w:spacing w:after="0" w:line="312" w:lineRule="auto"/>
        <w:rPr>
          <w:sz w:val="20"/>
          <w:szCs w:val="20"/>
          <w:color w:val="auto"/>
        </w:rPr>
      </w:pPr>
      <w:r>
        <w:rPr>
          <w:rFonts w:ascii="Arial" w:cs="Arial" w:eastAsia="Arial" w:hAnsi="Arial"/>
          <w:sz w:val="16"/>
          <w:szCs w:val="16"/>
          <w:color w:val="auto"/>
        </w:rPr>
        <w:t>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4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Cost of license and other revenue increased 1% during the three months ended July 31, 2013, as compared to the same period in the prior fiscal year, primarily due to an increase in consulting support costs partially offset by a decrease in costs associated with electronic fulfillment and inventory management savings. Cost of license and other revenue increased 5% during the six months ended July 31, 2013, as compared to the same period in the prior fiscal year, primarily due to an increase in consulting support costs and in lower margin hardware sales.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Cost of subscription revenue includes labor costs of providing product support to our maintenance and cloud subscription customers, including rent and occupancy, shipping and handling costs, professional services fees costs related to operating our network infrastructure, including depreciation expense and operating lease payments associated with computer equipment, data center costs, salaries and related expenses of network operations. Cost of subscription revenue increased 45% and 36% during the three and six months ended July 31, 2013, respectively as compared to the same period in the prior fiscal year, primarily due to higher cloud services-related expenses.</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We expect cost of revenue to slightly increase in absolute dollars and as a percentage of net revenue during the third quarter of fiscal 2014, as compared to the third quarter of fiscal 2013, primarily due to an increase in cloud services-related expenses associated with meeting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Decrease compared to</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Decrease compared to</w:t>
            </w: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July 31,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July 31, 2012</w:t>
            </w: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(14.3)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(28.7)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435.6</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Marketing and sales expenses decreased 7% for the three months ended July 31, 2013 as compared to the same period in the prior fiscal year primarily due to a decrease in employee-related costs related to commissions, bonuses and salaries and a decrease in professional fees and marketing related costs. Marketing and sales expenses decreased 7% for the six months ended July 31, 2013 as compared to the same period in the prior fiscal year primarily due to a decrease in employee-related costs related to commissions, bonuses, salaries and fringe benefits and a decrease in professional fees and marketing related costs.</w:t>
      </w:r>
    </w:p>
    <w:p>
      <w:pPr>
        <w:spacing w:after="0" w:line="188"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For the third quarter of fiscal 2014, as compared to the third quarter of fiscal 2013, we expect marketing and sales expense to remain relatively consistent in absolute dollars and as a percentage of net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Increase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4"/>
                <w:szCs w:val="14"/>
                <w:color w:val="auto"/>
              </w:rPr>
            </w:pPr>
          </w:p>
        </w:tc>
        <w:tc>
          <w:tcPr>
            <w:tcW w:w="140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5"/>
              </w:rPr>
              <w:t>prior fiscal year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5"/>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July 31,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2012</w:t>
            </w:r>
          </w:p>
        </w:tc>
      </w:tr>
      <w:tr>
        <w:trPr>
          <w:trHeight w:val="23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299.7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98"/>
              </w:rPr>
              <w:t>2.1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297.6</w:t>
            </w: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Research and development expenses increased 3% and 1% during the three and six months ended July 31, 2013, respectively, as compared to the same period in the prior fiscal year, primarily due to an increase in employee-related costs related to fringe benefits and salaries and consulting related costs partially offset by a decrease in employee-related costs related to bonuses.</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third quarter of fiscal 2014, as compared to the third quarter of fiscal 2013, we expect research and development expense to remain relatively consistent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Increase compared to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3"/>
              </w:rPr>
              <w:t>prior fiscal year</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2012</w:t>
            </w:r>
          </w:p>
        </w:tc>
      </w:tr>
      <w:tr>
        <w:trPr>
          <w:trHeight w:val="23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123.1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118.6</w:t>
            </w: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General and administrative expenses increased 5% and 4% during the three and six months ended July 31, 2013, respectively, as compared to the same periods in the prior fiscal year, primarily due to an increase in amortization of acquisition related customer relationships and trade names and employee-related costs related to salaries partially offset by a decrease in bonuses.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For the third quarter of fiscal 2014, as compared to the third quarter of fiscal 2013, we expect general and administrative expenses to remain relatively consistent in absolute dollars and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680" w:type="dxa"/>
            <w:vAlign w:val="bottom"/>
            <w:gridSpan w:val="4"/>
          </w:tcPr>
          <w:p>
            <w:pPr>
              <w:jc w:val="center"/>
              <w:ind w:left="145"/>
              <w:spacing w:after="0"/>
              <w:rPr>
                <w:sz w:val="20"/>
                <w:szCs w:val="20"/>
                <w:color w:val="auto"/>
              </w:rPr>
            </w:pPr>
            <w:r>
              <w:rPr>
                <w:rFonts w:ascii="Arial" w:cs="Arial" w:eastAsia="Arial" w:hAnsi="Arial"/>
                <w:sz w:val="14"/>
                <w:szCs w:val="14"/>
                <w:b w:val="1"/>
                <w:bCs w:val="1"/>
                <w:color w:val="auto"/>
                <w:w w:val="92"/>
              </w:rPr>
              <w:t>Increase compared to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Increase compared 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prior fiscal year</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2013</w:t>
            </w: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39"/>
        </w:trPr>
        <w:tc>
          <w:tcPr>
            <w:tcW w:w="26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6"/>
        </w:trPr>
        <w:tc>
          <w:tcPr>
            <w:tcW w:w="2640" w:type="dxa"/>
            <w:vAlign w:val="bottom"/>
          </w:tcPr>
          <w:p>
            <w:pPr>
              <w:spacing w:after="0"/>
              <w:rPr>
                <w:sz w:val="20"/>
                <w:szCs w:val="20"/>
                <w:color w:val="auto"/>
              </w:rPr>
            </w:pPr>
            <w:r>
              <w:rPr>
                <w:rFonts w:ascii="Arial" w:cs="Arial" w:eastAsia="Arial" w:hAnsi="Arial"/>
                <w:sz w:val="16"/>
                <w:szCs w:val="16"/>
                <w:color w:val="auto"/>
              </w:rPr>
              <w:t>* Percentage is not meaningful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During the third quarter of fiscal 2013, we initiated a restructuring plan that included a reduction in force and the consolidation of certain leased facilities. During the three months ended July 31, 2013, we recorded an incremental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100"/>
        <w:spacing w:after="0" w:line="264" w:lineRule="auto"/>
        <w:rPr>
          <w:sz w:val="20"/>
          <w:szCs w:val="20"/>
          <w:color w:val="auto"/>
        </w:rPr>
      </w:pPr>
      <w:r>
        <w:rPr>
          <w:rFonts w:ascii="Arial" w:cs="Arial" w:eastAsia="Arial" w:hAnsi="Arial"/>
          <w:sz w:val="18"/>
          <w:szCs w:val="18"/>
          <w:color w:val="auto"/>
        </w:rPr>
        <w:t>restructuring charge of $1.7 million. During the six months ended July 31, 2013, we recorded an incremental restructuring charge of $2.1 million. As of July 31, 2013, the personnel and facilities related actions included in this restructuring plan were substantially complete. See Note 13, “Restructuring,” in the Notes to the Condensed Consolidated Financial Statements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3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3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33"/>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Interest and other (expense) income, net, decreased $1.0 million during the three months ended July 31, 2013, as compared to the same periods in the prior fiscal year, primarily due to a reduction in our net interest and investment (expense) income, net. Interest and other (expense) income, net, decreased $13.3 million during the six months ended July 31, 2013, as compared to the same period in the prior fiscal year, primarily due to a reduction in our net interest and investment (expense) income, net and losses on foreign currency.</w:t>
      </w:r>
    </w:p>
    <w:p>
      <w:pPr>
        <w:spacing w:after="0" w:line="18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decrease in interest and investment (expense) income, net, during the three and six months ended July 31, 2013, as compared to the same period in the prior fiscal year is primarily due to interest expense resulting from the issuance of $400.0 million aggregate principal amount of 1.95% senior notes due December 15, 2017 and $350.0 million aggregate principal amount of 3.6% senior notes due December 15, 2022, and a decrease in the fair value of our trading securities that are marked-to-market each period. Interest and investment income fluctuates based on average cash, marketable securities and debt balances, average maturities and interest rates.</w:t>
      </w:r>
    </w:p>
    <w:p>
      <w:pPr>
        <w:spacing w:after="0" w:line="18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effective tax rate was 25% and 24% during the three and six months ended July 31, 2013, respectively, compared to 30% and 24% during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six months ended July 31, 2012, respectively. Our effective tax rate decreased five percentage points during the three months ended July 31, 2013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same period in the prior fiscal year primarily due to the establishment of a U.S. valuation allowance related to the impairment of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during the second quarter of fiscal 2013 and tax benefits from the reinstated federal research credit, partially offset by a discrete tax expense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fiscal 2014 related to the remeasurement of an uncertain tax position. Our effective tax rate remained flat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2013 as compared to the same period in the prior fiscal year. Excluding the impact of discrete tax items, the effective tax rate for each of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 periods ended July 31, 2013 was 23% and was lower than the Federal statutory tax rate of 35% primarily due to foreign income taxed at lower 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the impact of non-deductible stock based compensation expense.</w:t>
      </w:r>
    </w:p>
    <w:p>
      <w:pPr>
        <w:spacing w:after="0" w:line="21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and investments, U.S. Manufacturer’s deduction, closure of statute of limitations or settlement of tax audits, changes in valuation allowances and changes in tax laws including possible U.S. and foreign tax law changes that, if enacted, could significantly impact how multinational companies are taxed. A significant amount of our earnings is generated by our Europe and Asia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420"/>
        <w:spacing w:after="0" w:line="277" w:lineRule="auto"/>
        <w:rPr>
          <w:sz w:val="20"/>
          <w:szCs w:val="20"/>
          <w:color w:val="auto"/>
        </w:rPr>
      </w:pPr>
      <w:r>
        <w:rPr>
          <w:rFonts w:ascii="Arial" w:cs="Arial" w:eastAsia="Arial" w:hAnsi="Arial"/>
          <w:sz w:val="18"/>
          <w:szCs w:val="18"/>
          <w:color w:val="auto"/>
        </w:rPr>
        <w:t>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At July 31, 2013, we had net deferred tax assets of $176.9 million. We believe that we will generate sufficient future taxable income in appropriate tax jurisdictions to realize these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six months ended July 31, 2013, and 2012, our gross profit, gross margin, income from operations, operating margin, net income and diluted earnings per share on a GAAP and non-GAAP basis were as follows (in millions except for gross margin, operating margin and per share data):</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31115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14" w:lineRule="exact"/>
        <w:rPr>
          <w:sz w:val="20"/>
          <w:szCs w:val="20"/>
          <w:color w:val="auto"/>
        </w:rPr>
      </w:pPr>
    </w:p>
    <w:p>
      <w:pPr>
        <w:ind w:left="6320"/>
        <w:spacing w:after="0"/>
        <w:tabs>
          <w:tab w:leader="none" w:pos="77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16979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89"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31115</wp:posOffset>
            </wp:positionV>
            <wp:extent cx="1783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38100</wp:posOffset>
            </wp:positionV>
            <wp:extent cx="1783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400" w:space="720"/>
            <w:col w:w="23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493.9</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508.9</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996.8</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1,038.7</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506.3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519.7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1,021.5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1,060.6</w:t>
            </w:r>
          </w:p>
        </w:tc>
      </w:tr>
      <w:tr>
        <w:trPr>
          <w:trHeight w:val="33"/>
        </w:trPr>
        <w:tc>
          <w:tcPr>
            <w:tcW w:w="4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8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4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83.6</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92.9</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165.0</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186.9</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136.6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143.9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273.5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288.9</w:t>
            </w:r>
          </w:p>
        </w:tc>
      </w:tr>
      <w:tr>
        <w:trPr>
          <w:trHeight w:val="33"/>
        </w:trPr>
        <w:tc>
          <w:tcPr>
            <w:tcW w:w="4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1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8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61.7</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64.6</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117.3</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143.5</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net income (1)</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101.8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111.1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198.1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220.2</w:t>
            </w:r>
          </w:p>
        </w:tc>
      </w:tr>
      <w:tr>
        <w:trPr>
          <w:trHeight w:val="33"/>
        </w:trPr>
        <w:tc>
          <w:tcPr>
            <w:tcW w:w="4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(2)</w:t>
            </w:r>
          </w:p>
        </w:tc>
        <w:tc>
          <w:tcPr>
            <w:tcW w:w="1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0.27</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0.28</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0.51</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0.62</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Non-GAAP diluted earnings per share (1)(2)</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0.45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0.48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0.86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0.94</w:t>
            </w:r>
          </w:p>
        </w:tc>
      </w:tr>
      <w:tr>
        <w:trPr>
          <w:trHeight w:val="249"/>
        </w:trPr>
        <w:tc>
          <w:tcPr>
            <w:tcW w:w="440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ind w:left="420" w:right="300" w:hanging="412"/>
        <w:spacing w:after="0" w:line="248"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type w:val="continuous"/>
        </w:sectPr>
      </w:pPr>
    </w:p>
    <w:bookmarkStart w:id="38" w:name="page39"/>
    <w:bookmarkEnd w:id="38"/>
    <w:p>
      <w:pPr>
        <w:jc w:val="both"/>
        <w:ind w:right="20"/>
        <w:spacing w:after="0" w:line="312" w:lineRule="auto"/>
        <w:rPr>
          <w:sz w:val="20"/>
          <w:szCs w:val="20"/>
          <w:color w:val="auto"/>
        </w:rPr>
      </w:pPr>
      <w:r>
        <w:rPr>
          <w:rFonts w:ascii="Arial" w:cs="Arial" w:eastAsia="Arial" w:hAnsi="Arial"/>
          <w:sz w:val="16"/>
          <w:szCs w:val="16"/>
          <w:color w:val="auto"/>
        </w:rPr>
        <w:t>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5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8"/>
              </w:rPr>
              <w:t>Three Months Ended July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ind w:left="86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508.9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506.3</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519.7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1,021.5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1,060.6</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10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20"/>
                <w:szCs w:val="20"/>
                <w:color w:val="auto"/>
              </w:rPr>
            </w:pPr>
          </w:p>
        </w:tc>
        <w:tc>
          <w:tcPr>
            <w:tcW w:w="7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from operations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Operating margin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(1)</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111.1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(2)</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(1)</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102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color w:val="auto"/>
        </w:rPr>
        <w:t>_______________</w:t>
      </w:r>
    </w:p>
    <w:p>
      <w:pPr>
        <w:spacing w:after="0" w:line="41" w:lineRule="exact"/>
        <w:rPr>
          <w:sz w:val="20"/>
          <w:szCs w:val="20"/>
          <w:color w:val="auto"/>
        </w:rPr>
      </w:pPr>
    </w:p>
    <w:p>
      <w:pPr>
        <w:ind w:left="420" w:right="380" w:hanging="7"/>
        <w:spacing w:after="0" w:line="334" w:lineRule="auto"/>
        <w:tabs>
          <w:tab w:leader="none" w:pos="8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240" w:hanging="7"/>
        <w:spacing w:after="0" w:line="363" w:lineRule="auto"/>
        <w:tabs>
          <w:tab w:leader="none" w:pos="8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Amortization of purchased intangibles. </w:t>
      </w:r>
      <w:r>
        <w:rPr>
          <w:rFonts w:ascii="Arial" w:cs="Arial" w:eastAsia="Arial" w:hAnsi="Arial"/>
          <w:sz w:val="16"/>
          <w:szCs w:val="16"/>
          <w:color w:val="auto"/>
        </w:rPr>
        <w:t>We incur amortization of acquisition-related purchased intangible assets in connection with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businesses and technologies. Amortization of intangible assets is inconsistent in amount and frequency and is significantly affected by the timing and size of our acquisitions. Management finds it useful to exclude these variable charges to assess the appropriate level of various operating expenses to assist in budgeting, planning and forecasting future periods. Investors should note that the use of intangible assets contributed to our revenues earned during the periods presented and will contribute to our future period revenues as well. Amortization of purchased intangible assets will recur in future periods.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purchased intangibles and restructuring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42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At July 31, 2013, our principal sources of liquidity were cash, cash equivalents and marketable securities totaling $2,408.0 million and net accounts receivable of $303.9 million.</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fiscal 2013, we issued $400.0 million aggregate principal amount of 1.95% senior notes due December 15, 2017 and $350.0 million aggregate principal amount of 3.6% senior notes due December 15, 2022, (collectively, the “Senior Notes”). In addition, we have a line of credit facility that permits unsecured short-term borrowings of up to $400.0 million. We amended and restated the credit facility in May 2013. The amended and restated credit facility expires in May 2018. Borrowings under the credit facility and the net proceeds from the offering of the Senior Notes are available for general corporate purposes.</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increase in our cash, cash equivalents and marketable securities from $2,365.4 million at January 31, 2013 to $2,408.0 million at July 31, 2013 is principally due to cash generated by operating activities, and proceeds from the issuance of common stock following stock option exercises and employee stock plan purchases. These increases to cash, cash equivalents and marketable securities are partially offset by cash used for repurchases of common stock, acquisitions including business combination and technology purchases, capital expenditures, and other investing activities. We anticipate the cash proceeds from issuance of common stock will vary based on our stock price, stock option exercise activity and the volume of employee purchases under the Employee Stock Purchase Plan (“ESP Plan”).</w:t>
      </w:r>
    </w:p>
    <w:p>
      <w:pPr>
        <w:spacing w:after="0" w:line="19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primary source for net cash provided by operating activities of $289.4 million for the six months ended July 31, 2013 was net income of $117.3 million increased by the cash effect of expenses totaling $129.7 million associated with depreciation, amortization and accretion and stock-based compensation. In addition, net cash flow provided by changes in operating assets and liabilities was $41.5 million. The primary source of working capital was a decrease in accounts receivable and increase in income tax payable. Our days sales outstanding in trade receivables was 49 at July 31, 2013 compared to 74 days at January 31, 2013. The days sales outstanding decrease relates primarily to seasonality in our subscription contract renewals; subscription billings are generally higher in the fourth quarter in comparison to the rest of our fiscal year. The primary working capital uses of cash were for payments for the reduction of the accrued compensation expense primarily related to a decrease in the employee bonus accrual.</w:t>
      </w:r>
    </w:p>
    <w:p>
      <w:pPr>
        <w:spacing w:after="0" w:line="17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At July 31, 2013, our short-term investment portfolio had an estimated fair value of $596.9 million and a cost basis of $590.7 million. The portfolio fair value consisted of $261.8 million invested in commercial paper and corporate securities, $151.4 million invested in certificates of deposit and time deposits with remaining maturities at the date of purchase greater than 90 days and less than one year, $87.4 million invested in U.S. government agency securities, $28.0 million invested in U.S. treasury securities, $39.9 million invested in mutual funds, $27.1 million invested in municipal securities and $1.3 million invested in other short-term securities.</w:t>
      </w:r>
    </w:p>
    <w:p>
      <w:pPr>
        <w:spacing w:after="0" w:line="188"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At July 31, 2013, $39.9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the acquisition of businesses, software products, or technologies complementary to our business; common stock repurchases; and capital expenditures, including the purchase and implementation of internal-use software applications.</w:t>
      </w:r>
    </w:p>
    <w:p>
      <w:pPr>
        <w:spacing w:after="0" w:line="181" w:lineRule="exact"/>
        <w:rPr>
          <w:sz w:val="20"/>
          <w:szCs w:val="20"/>
          <w:color w:val="auto"/>
        </w:rPr>
      </w:pPr>
    </w:p>
    <w:p>
      <w:pPr>
        <w:jc w:val="both"/>
        <w:ind w:right="340" w:firstLine="405"/>
        <w:spacing w:after="0" w:line="302"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1" w:name="page42"/>
    <w:bookmarkEnd w:id="41"/>
    <w:p>
      <w:pPr>
        <w:ind w:right="120"/>
        <w:spacing w:after="0" w:line="277" w:lineRule="auto"/>
        <w:rPr>
          <w:sz w:val="20"/>
          <w:szCs w:val="20"/>
          <w:color w:val="auto"/>
        </w:rPr>
      </w:pPr>
      <w:r>
        <w:rPr>
          <w:rFonts w:ascii="Arial" w:cs="Arial" w:eastAsia="Arial" w:hAnsi="Arial"/>
          <w:sz w:val="18"/>
          <w:szCs w:val="18"/>
          <w:color w:val="auto"/>
        </w:rPr>
        <w:t>compelling opportunities become available. Our decision to acquire businesses or technology is dependent on our business needs, the availability of suitable sellers and technology, and our own financial condition.</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July 31, 2013,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2013.</w:t>
      </w:r>
    </w:p>
    <w:p>
      <w:pPr>
        <w:spacing w:after="0" w:line="18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w:t>
      </w:r>
    </w:p>
    <w:p>
      <w:pPr>
        <w:spacing w:after="0" w:line="1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existing cash, cash equivalents and investment balances may decline in fiscal 2014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 Our borrowing capacity under the existing credit facility at September 3, 2013 is $400.0 million of which we have no amounts outstanding. In addition, as of September 3, 2013, we have $750.0 million aggregate principal amount of Senior Notes outstanding.</w:t>
      </w:r>
    </w:p>
    <w:p>
      <w:pPr>
        <w:spacing w:after="0" w:line="16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six months ended July 31, 2013, we repurchased 3.1 million and 6.3 million, respectively, of our common stock. At July 31, 2013, 26.0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2013:</w:t>
      </w:r>
    </w:p>
    <w:p>
      <w:pPr>
        <w:sectPr>
          <w:pgSz w:w="11900" w:h="16838" w:orient="portrait"/>
          <w:cols w:equalWidth="0" w:num="1">
            <w:col w:w="11380"/>
          </w:cols>
          <w:pgMar w:left="240" w:top="584" w:right="27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40"/>
          </w:cols>
          <w:pgMar w:left="240" w:top="584"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36.38</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plans approved by the Board of Directors.</w:t>
      </w:r>
    </w:p>
    <w:p>
      <w:pPr>
        <w:spacing w:after="0" w:line="9" w:lineRule="exact"/>
        <w:rPr>
          <w:rFonts w:ascii="Arial" w:cs="Arial" w:eastAsia="Arial" w:hAnsi="Arial"/>
          <w:sz w:val="16"/>
          <w:szCs w:val="16"/>
          <w:color w:val="auto"/>
        </w:rPr>
      </w:pPr>
    </w:p>
    <w:p>
      <w:pPr>
        <w:ind w:left="420" w:right="300" w:hanging="412"/>
        <w:spacing w:after="0" w:line="25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June 2012 and December 2010 that authorized the repurchase of 30.0 million and 20.0 million shares, respectively. These plans do not have a fixed expiration date. At July 31, 2013, there are no further shares available for repurchase under the plan approved by the Board of Directors in December 2010.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six months ended July 31, 2013.</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84" w:right="27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2013,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6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 xml:space="preserve">License and Other revenue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and other revenue consists of two components: all forms of product license revenue and other revenue.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revenue includes: software license revenue from the sale of new seat licenses and upgrades. Other revenue consists of revenue from Creative Finishing, consulting and training services.</w:t>
      </w:r>
    </w:p>
    <w:p>
      <w:pPr>
        <w:spacing w:after="0" w:line="176" w:lineRule="exact"/>
        <w:rPr>
          <w:sz w:val="20"/>
          <w:szCs w:val="20"/>
          <w:color w:val="auto"/>
        </w:rPr>
      </w:pPr>
    </w:p>
    <w:p>
      <w:pPr>
        <w:ind w:firstLine="405"/>
        <w:spacing w:after="0" w:line="281" w:lineRule="auto"/>
        <w:rPr>
          <w:sz w:val="20"/>
          <w:szCs w:val="20"/>
          <w:color w:val="auto"/>
        </w:rPr>
      </w:pPr>
      <w:r>
        <w:rPr>
          <w:rFonts w:ascii="Arial" w:cs="Arial" w:eastAsia="Arial" w:hAnsi="Arial"/>
          <w:sz w:val="17"/>
          <w:szCs w:val="17"/>
          <w:i w:val="1"/>
          <w:iCs w:val="1"/>
          <w:color w:val="auto"/>
        </w:rPr>
        <w:t xml:space="preserve">Maintenance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80" w:lineRule="exact"/>
        <w:rPr>
          <w:sz w:val="20"/>
          <w:szCs w:val="20"/>
          <w:color w:val="auto"/>
        </w:rPr>
      </w:pPr>
    </w:p>
    <w:p>
      <w:pPr>
        <w:ind w:right="200" w:firstLine="405"/>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160" w:firstLine="405"/>
        <w:spacing w:after="0" w:line="282" w:lineRule="auto"/>
        <w:rPr>
          <w:sz w:val="20"/>
          <w:szCs w:val="20"/>
          <w:color w:val="auto"/>
        </w:rPr>
      </w:pPr>
      <w:r>
        <w:rPr>
          <w:rFonts w:ascii="Arial" w:cs="Arial" w:eastAsia="Arial" w:hAnsi="Arial"/>
          <w:sz w:val="18"/>
          <w:szCs w:val="18"/>
          <w:i w:val="1"/>
          <w:iCs w:val="1"/>
          <w:color w:val="auto"/>
        </w:rPr>
        <w:t xml:space="preserve">Subscription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Autodesk subscription revenue consists of two components: maintenance revenue for our software products and revenue for our cloud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including Autodesk 360.</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2013 and January 31, 2013, we had open cash flow and balance sheet hedge contracts with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3" w:name="page44"/>
    <w:bookmarkEnd w:id="43"/>
    <w:p>
      <w:pPr>
        <w:jc w:val="both"/>
        <w:ind w:right="180"/>
        <w:spacing w:after="0" w:line="286" w:lineRule="auto"/>
        <w:rPr>
          <w:sz w:val="20"/>
          <w:szCs w:val="20"/>
          <w:color w:val="auto"/>
        </w:rPr>
      </w:pPr>
      <w:r>
        <w:rPr>
          <w:rFonts w:ascii="Arial" w:cs="Arial" w:eastAsia="Arial" w:hAnsi="Arial"/>
          <w:sz w:val="17"/>
          <w:szCs w:val="17"/>
          <w:color w:val="auto"/>
        </w:rPr>
        <w:t>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$329.2 million and $438.2 million at July 31, 2013 and January 31, 2013, respectively.</w:t>
      </w:r>
    </w:p>
    <w:p>
      <w:pPr>
        <w:spacing w:after="0" w:line="16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July 31, 2013 indicated that a hypothetical 10% appreciation of the U.S. dollar from its value at July 31, 2013 and January 31, 2013 would increase the fair value of our foreign currency contracts by $29.0 million and $29.6 million, respectively. A hypothetical 10% depreciation of the dollar from its value at July 31, 2013 and January 31, 2013 would decrease the fair value of our foreign currency contracts by $18.0 million and $33.1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July 31, 2013, we had $1,831.6 million of cash equivalents and marketable securities, including $596.9 million classified as short-term marketable securities and $410.1 million classified as long-term marketable securities. If interest rates were to move up or down by 50 or 100 basis points over a twelve month period, the market value change of our marketable securities would have a unrealized gain or loss of $4.8 million and $9.7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2013 that have materially affected, or are reasonably likely to materially affect, our internal controls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“austerity” measures in Southern Europe and the “sequestration” in the United States), and volatility in many financial instrument markets. While some recent indicators point to a slow economic recovery, on the whole indicators continue to suggest a mixed trend in economic activity among the different geographical regions and markets.</w:t>
      </w:r>
    </w:p>
    <w:p>
      <w:pPr>
        <w:spacing w:after="0" w:line="17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Even if economic conditions in the U.S. and foreign markets improve generally, a slower economic recovery in industries important to our business, such as the architecture, engineering and construction,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Our strategy to develop and introduce new products and services, including our increased emphasis on cloud and mobile computing strategies and flexible license and service offerings, exposes us to risks such as limited customer acceptance, costs related to product defects and large expenditures that may not result in additional net revenue or could result in decreased net revenue.</w:t>
      </w:r>
    </w:p>
    <w:p>
      <w:pPr>
        <w:spacing w:after="0" w:line="18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cloud-based services and delivery of our solutions on mobile devices and new hardware platforms to enable our customers to be more agile and collaborative on their projects. We are also developing consumer products for digital art, personal design and creativity, and home design. We devote significant resources to the development of new technologies, such as our cloud-based and mobile services, design and entertainment products, digital prototyping and collaboration products and consumer products.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our internal reorganization efforts and further development and enhancement of our existing products and services, as well as through acquisitions of new product lines. Such investments may not result in sufficient revenue generation to justify their costs and could result in decreased net revenue. Market acceptance of these new technologies, business models or methods will be dependent on our ability to (1) include functionality and usability in such releases that address certain customer requirements with which our operating history is not extensive, and (2) to optimally price and deliver our products in light of marketplace conditions, our costs and customer demand. Customer adoption of our cloud, mobile, and social computing services or rental offerings may not occur as rapidly as anticipated, or competitors may introduce new products and services that achieve acceptance among our current customers, adversely affecting our competitive position. In addition, our cloud, mobile, and social computing and rental offerings price and deliver our products and services in a way that differs from our historical pricing and delivery methods.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7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At times, sales of licenses of our AutoCAD and AutoCAD LT or standalone Autodesk flagship products have decreased without a corresponding increase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160"/>
        <w:spacing w:after="0" w:line="271" w:lineRule="auto"/>
        <w:rPr>
          <w:sz w:val="20"/>
          <w:szCs w:val="20"/>
          <w:color w:val="auto"/>
        </w:rPr>
      </w:pPr>
      <w:r>
        <w:rPr>
          <w:rFonts w:ascii="Arial" w:cs="Arial" w:eastAsia="Arial" w:hAnsi="Arial"/>
          <w:sz w:val="17"/>
          <w:szCs w:val="17"/>
          <w:color w:val="auto"/>
        </w:rPr>
        <w:t>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making for a more predictable business over time, while correspondingly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and 71% of our net revenue in the three and six months ended July 31, 2013,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produce sufficient revenue growth and profitability,</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platform and business model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017" w:right="259" w:bottom="1440" w:gutter="0" w:footer="0" w:header="0"/>
        </w:sectPr>
      </w:pPr>
    </w:p>
    <w:bookmarkStart w:id="48" w:name="page49"/>
    <w:bookmarkEnd w:id="48"/>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660" w:right="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catastrophic events or natural disasters, such as the earthquakes and tsunami in Japan in March 2011 and Superstorm Sandy in October 2012,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sell our software products both directly to end-users and through a network of distributors and resellers. For the three and six months ended July 31, 2013, approximately 84% and 84%,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9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24% and 25% of our total net revenue for the three and six months ended July 31, 2013, respectively, as compared to 23% and 22% of our total net revenue for the three and six months ended July 31, 2012,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actions that we are taking to reorganize our business in alignment with our current operating strategy and in response to our related business slowdown may be costly and may not be as effective as anticipated.</w:t>
      </w:r>
    </w:p>
    <w:p>
      <w:pPr>
        <w:spacing w:after="0" w:line="170"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During the first quarter of fiscal year 2013, we undertook a number of important organizational changes to drive the success of our business. The reorganization included changes to the structure and alignment of our product development and marketing teams and re-organization of our sales</w:t>
      </w:r>
    </w:p>
    <w:p>
      <w:pPr>
        <w:ind w:right="100"/>
        <w:spacing w:after="0" w:line="290" w:lineRule="auto"/>
        <w:rPr>
          <w:sz w:val="20"/>
          <w:szCs w:val="20"/>
          <w:color w:val="auto"/>
        </w:rPr>
      </w:pPr>
      <w:r>
        <w:rPr>
          <w:rFonts w:ascii="Arial" w:cs="Arial" w:eastAsia="Arial" w:hAnsi="Arial"/>
          <w:sz w:val="16"/>
          <w:szCs w:val="16"/>
          <w:color w:val="auto"/>
        </w:rPr>
        <w:t>teams. While these changes were intended to better serve our customers and drive future growth, we encountered challenges in the execution of these efforts which impacted our financial results in the short term. In order to achieve these organizational changes and to further our strategy, including our continuing shift to cloud and mobile computing, in the third quarter of fiscal year 2013, we commenced a company-wide restructuring plan. If we are unable to realize the outcomes from the restructuring efforts as planned,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16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have taken actions to reduce our cost structure to more closely align our costs with our revenue levels. In taking these actions, we have attempted to balance the cost of such initiatives against their longer term benefits. As a result of these actions, we have incurred and will incur additional costs in the short term that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73"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In addition, we are taking actions to stimulate demand for our products through a number of programs. Although we are attempting to balance the cost of these programs against their longer term benefits, it is possible that we will make such investments without a corresponding increase in demand for our products. This would further reduce our operating margins and have a negative impact on our financial results.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license or renew their maintenance contract for our products, our maintenance revenue will decline and our financial results will suffer.</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584" w:right="339" w:bottom="1440" w:gutter="0" w:footer="0" w:header="0"/>
        </w:sectPr>
      </w:pPr>
    </w:p>
    <w:bookmarkStart w:id="51" w:name="page52"/>
    <w:bookmarkEnd w:id="5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during fiscal 2013 we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re-organization of our sales teams by industry.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2" w:name="page53"/>
    <w:bookmarkEnd w:id="52"/>
    <w:p>
      <w:pPr>
        <w:ind w:right="80"/>
        <w:spacing w:after="0" w:line="277" w:lineRule="auto"/>
        <w:rPr>
          <w:sz w:val="20"/>
          <w:szCs w:val="20"/>
          <w:color w:val="auto"/>
        </w:rPr>
      </w:pPr>
      <w:r>
        <w:rPr>
          <w:rFonts w:ascii="Arial" w:cs="Arial" w:eastAsia="Arial" w:hAnsi="Arial"/>
          <w:sz w:val="18"/>
          <w:szCs w:val="18"/>
          <w:color w:val="auto"/>
        </w:rPr>
        <w:t>from these initiatives proves incorrect, or our attempts to improve efficiency are not successful, our actual results may vary materially from those anticipated, and our financial results will be negatively impacted.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revenue will be adversely affected.</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six months ended July 31, 2013, combined revenue from our AutoCAD and AutoCAD LT products, not including suites having AutoCAD or AutoCAD LT as a component, represented 31% and 32% of our total net revenue, respectively.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our software is vulnerable to such cyber attacks. In the past, hackers have targeted our software, and they may do so in the future. The impact of cyber attacks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ind w:right="220"/>
        <w:spacing w:after="0" w:line="259" w:lineRule="auto"/>
        <w:rPr>
          <w:sz w:val="20"/>
          <w:szCs w:val="20"/>
          <w:color w:val="auto"/>
        </w:rPr>
      </w:pPr>
      <w:r>
        <w:rPr>
          <w:rFonts w:ascii="Arial" w:cs="Arial" w:eastAsia="Arial" w:hAnsi="Arial"/>
          <w:sz w:val="18"/>
          <w:szCs w:val="18"/>
          <w:color w:val="auto"/>
        </w:rPr>
        <w:t>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87"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decline, this could cause the credit ratings of our investments to deteriorate, illiquidity in the financial marketplace, and we may continue to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ind w:right="20"/>
        <w:spacing w:after="0" w:line="273" w:lineRule="auto"/>
        <w:rPr>
          <w:sz w:val="20"/>
          <w:szCs w:val="20"/>
          <w:color w:val="auto"/>
        </w:rPr>
      </w:pPr>
      <w:r>
        <w:rPr>
          <w:rFonts w:ascii="Arial" w:cs="Arial" w:eastAsia="Arial" w:hAnsi="Arial"/>
          <w:sz w:val="17"/>
          <w:szCs w:val="17"/>
          <w:color w:val="auto"/>
        </w:rPr>
        <w:t>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2013, as indicated in our Management Report on Internal Control over Financial Reporting, included in our Annual Report on Form 10-K for the fiscal year ended January 31, 2013,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584" w:right="299" w:bottom="1440" w:gutter="0" w:footer="0" w:header="0"/>
        </w:sectPr>
      </w:pPr>
    </w:p>
    <w:bookmarkStart w:id="55" w:name="page56"/>
    <w:bookmarkEnd w:id="55"/>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or changes in the Internet infrastructure itself may cause our business to suffer.</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July 31, 2013,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2013.</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84" w:right="279" w:bottom="1440" w:gutter="0" w:footer="0" w:header="0"/>
        </w:sectPr>
      </w:pPr>
    </w:p>
    <w:bookmarkStart w:id="58" w:name="page59"/>
    <w:bookmarkEnd w:id="58"/>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tcPr>
          <w:p>
            <w:pPr>
              <w:spacing w:after="0"/>
              <w:rPr>
                <w:sz w:val="14"/>
                <w:szCs w:val="14"/>
                <w:color w:val="auto"/>
              </w:rPr>
            </w:pPr>
          </w:p>
        </w:tc>
      </w:tr>
      <w:tr>
        <w:trPr>
          <w:trHeight w:val="379"/>
        </w:trPr>
        <w:tc>
          <w:tcPr>
            <w:tcW w:w="700" w:type="dxa"/>
            <w:vAlign w:val="bottom"/>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9"/>
              </w:rPr>
              <w:t xml:space="preserve">Bylaws, as amended </w:t>
            </w:r>
            <w:r>
              <w:rPr>
                <w:rFonts w:ascii="Arial" w:cs="Arial" w:eastAsia="Arial" w:hAnsi="Arial"/>
                <w:sz w:val="16"/>
                <w:szCs w:val="16"/>
                <w:i w:val="1"/>
                <w:iCs w:val="1"/>
                <w:color w:val="auto"/>
                <w:w w:val="99"/>
              </w:rPr>
              <w:t>(incorporated by reference to Exhibit 3.1 filed with the Registrant's Current Report on Form 8-K filed on June 14, 2013)</w:t>
            </w:r>
          </w:p>
        </w:tc>
      </w:tr>
      <w:tr>
        <w:trPr>
          <w:trHeight w:val="41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Description of amendments to Sales Commission Plan </w:t>
            </w:r>
            <w:r>
              <w:rPr>
                <w:rFonts w:ascii="Arial" w:cs="Arial" w:eastAsia="Arial" w:hAnsi="Arial"/>
                <w:sz w:val="16"/>
                <w:szCs w:val="16"/>
                <w:i w:val="1"/>
                <w:iCs w:val="1"/>
                <w:color w:val="auto"/>
                <w:w w:val="92"/>
              </w:rPr>
              <w:t>(incorporated by reference to Item 5.02 of the Registrant's Current Report on Form 8-K filed on</w:t>
            </w:r>
          </w:p>
        </w:tc>
      </w:tr>
      <w:tr>
        <w:trPr>
          <w:trHeight w:val="206"/>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June 14, 2013)</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Amended and Restated Credit Agreement, dated as of May 23, 2013, by and among Autodesk, the lenders from time to time party thereto and Citibank,</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 xml:space="preserve">N.A., as agent </w:t>
            </w:r>
            <w:r>
              <w:rPr>
                <w:rFonts w:ascii="Arial" w:cs="Arial" w:eastAsia="Arial" w:hAnsi="Arial"/>
                <w:sz w:val="16"/>
                <w:szCs w:val="16"/>
                <w:i w:val="1"/>
                <w:iCs w:val="1"/>
                <w:color w:val="auto"/>
              </w:rPr>
              <w:t>(incorporated by reference to Exhibit 10.1 filed with the Registrant's Current Report on Form 8-K filed on May 24, 2013)</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5"/>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99" w:lineRule="exact"/>
        <w:rPr>
          <w:sz w:val="20"/>
          <w:szCs w:val="20"/>
          <w:color w:val="auto"/>
        </w:rPr>
      </w:pPr>
    </w:p>
    <w:p>
      <w:pPr>
        <w:ind w:left="720" w:hanging="685"/>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ind w:left="720" w:hanging="685"/>
        <w:spacing w:after="0" w:line="335"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59</w:t>
      </w:r>
    </w:p>
    <w:p>
      <w:pPr>
        <w:sectPr>
          <w:pgSz w:w="11900" w:h="16838" w:orient="portrait"/>
          <w:cols w:equalWidth="0" w:num="1">
            <w:col w:w="11380"/>
          </w:cols>
          <w:pgMar w:left="240" w:top="1013" w:right="279" w:bottom="1440" w:gutter="0" w:footer="0" w:header="0"/>
        </w:sectPr>
      </w:pPr>
    </w:p>
    <w:bookmarkStart w:id="59" w:name="page60"/>
    <w:bookmarkEnd w:id="59"/>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Mark J. Hawkins</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20"/>
          </w:cols>
          <w:pgMar w:left="240" w:top="580" w:right="9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2013</w:t>
      </w:r>
    </w:p>
    <w:p>
      <w:pPr>
        <w:spacing w:after="0" w:line="252"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39535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 2013</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July 31, 2013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 2013</w:t>
      </w:r>
    </w:p>
    <w:p>
      <w:pPr>
        <w:spacing w:after="0" w:line="252"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22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57"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2019-12-05T22:14:01Z</dcterms:created>
  <dcterms:modified xsi:type="dcterms:W3CDTF">2019-12-05T22:14:01Z</dcterms:modified>
</cp:coreProperties>
</file>