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-224155</wp:posOffset>
            </wp:positionV>
            <wp:extent cx="2785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300" w:hanging="685"/>
        <w:spacing w:after="0" w:line="249"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2020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28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40" w:type="dxa"/>
            <w:vAlign w:val="bottom"/>
            <w:gridSpan w:val="3"/>
          </w:tcPr>
          <w:p>
            <w:pPr>
              <w:jc w:val="center"/>
              <w:ind w:right="2780"/>
              <w:spacing w:after="0"/>
              <w:rPr>
                <w:sz w:val="20"/>
                <w:szCs w:val="20"/>
                <w:color w:val="auto"/>
              </w:rPr>
            </w:pPr>
            <w:r>
              <w:rPr>
                <w:rFonts w:ascii="Arial" w:cs="Arial" w:eastAsia="Arial" w:hAnsi="Arial"/>
                <w:sz w:val="43"/>
                <w:szCs w:val="43"/>
                <w:b w:val="1"/>
                <w:bCs w:val="1"/>
                <w:color w:val="auto"/>
              </w:rPr>
              <w:t>AUTODESK, INC.</w:t>
            </w:r>
          </w:p>
        </w:tc>
      </w:tr>
      <w:tr>
        <w:trPr>
          <w:trHeight w:val="186"/>
        </w:trPr>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40" w:type="dxa"/>
            <w:vAlign w:val="bottom"/>
            <w:gridSpan w:val="3"/>
          </w:tcPr>
          <w:p>
            <w:pPr>
              <w:jc w:val="center"/>
              <w:ind w:right="27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7"/>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gridSpan w:val="2"/>
          </w:tcPr>
          <w:p>
            <w:pPr>
              <w:jc w:val="right"/>
              <w:ind w:right="2380"/>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7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111 McInnis Parkway,</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7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San Rafael,</w:t>
            </w: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California</w:t>
            </w:r>
          </w:p>
        </w:tc>
        <w:tc>
          <w:tcPr>
            <w:tcW w:w="28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94903</w:t>
            </w:r>
          </w:p>
        </w:tc>
        <w:tc>
          <w:tcPr>
            <w:tcW w:w="2520" w:type="dxa"/>
            <w:vAlign w:val="bottom"/>
          </w:tcPr>
          <w:p>
            <w:pPr>
              <w:spacing w:after="0"/>
              <w:rPr>
                <w:sz w:val="23"/>
                <w:szCs w:val="23"/>
                <w:color w:val="auto"/>
              </w:rPr>
            </w:pPr>
          </w:p>
        </w:tc>
      </w:tr>
      <w:tr>
        <w:trPr>
          <w:trHeight w:val="218"/>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7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jc w:val="center"/>
              <w:ind w:left="855"/>
              <w:spacing w:after="0"/>
              <w:rPr>
                <w:sz w:val="20"/>
                <w:szCs w:val="20"/>
                <w:color w:val="auto"/>
              </w:rPr>
            </w:pPr>
            <w:r>
              <w:rPr>
                <w:rFonts w:ascii="Arial" w:cs="Arial" w:eastAsia="Arial" w:hAnsi="Arial"/>
                <w:sz w:val="18"/>
                <w:szCs w:val="18"/>
                <w:b w:val="1"/>
                <w:bCs w:val="1"/>
                <w:color w:val="auto"/>
                <w:w w:val="90"/>
              </w:rPr>
              <w:t>(415) 507-5000</w:t>
            </w:r>
          </w:p>
        </w:tc>
        <w:tc>
          <w:tcPr>
            <w:tcW w:w="124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186"/>
        </w:trPr>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4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3440" w:type="dxa"/>
            <w:vAlign w:val="bottom"/>
            <w:gridSpan w:val="2"/>
          </w:tcPr>
          <w:p>
            <w:pPr>
              <w:spacing w:after="0"/>
              <w:rPr>
                <w:sz w:val="22"/>
                <w:szCs w:val="22"/>
                <w:color w:val="auto"/>
              </w:rPr>
            </w:pPr>
          </w:p>
        </w:tc>
        <w:tc>
          <w:tcPr>
            <w:tcW w:w="314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520" w:type="dxa"/>
            <w:vAlign w:val="bottom"/>
          </w:tcPr>
          <w:p>
            <w:pPr>
              <w:spacing w:after="0"/>
              <w:rPr>
                <w:sz w:val="22"/>
                <w:szCs w:val="22"/>
                <w:color w:val="auto"/>
              </w:rPr>
            </w:pPr>
          </w:p>
        </w:tc>
      </w:tr>
      <w:tr>
        <w:trPr>
          <w:trHeight w:val="426"/>
        </w:trPr>
        <w:tc>
          <w:tcPr>
            <w:tcW w:w="65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78"/>
        </w:trPr>
        <w:tc>
          <w:tcPr>
            <w:tcW w:w="3700" w:type="dxa"/>
            <w:vAlign w:val="bottom"/>
            <w:gridSpan w:val="3"/>
          </w:tcPr>
          <w:p>
            <w:pPr>
              <w:jc w:val="center"/>
              <w:ind w:left="276"/>
              <w:spacing w:after="0"/>
              <w:rPr>
                <w:sz w:val="20"/>
                <w:szCs w:val="20"/>
                <w:color w:val="auto"/>
              </w:rPr>
            </w:pPr>
            <w:r>
              <w:rPr>
                <w:rFonts w:ascii="Arial" w:cs="Arial" w:eastAsia="Arial" w:hAnsi="Arial"/>
                <w:sz w:val="18"/>
                <w:szCs w:val="18"/>
                <w:b w:val="1"/>
                <w:bCs w:val="1"/>
                <w:color w:val="auto"/>
                <w:w w:val="86"/>
              </w:rPr>
              <w:t>Title of each class</w:t>
            </w:r>
          </w:p>
        </w:tc>
        <w:tc>
          <w:tcPr>
            <w:tcW w:w="2880" w:type="dxa"/>
            <w:vAlign w:val="bottom"/>
          </w:tcPr>
          <w:p>
            <w:pPr>
              <w:jc w:val="center"/>
              <w:ind w:right="15"/>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2"/>
          </w:tcPr>
          <w:p>
            <w:pPr>
              <w:jc w:val="center"/>
              <w:ind w:left="338"/>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0"/>
        </w:trPr>
        <w:tc>
          <w:tcPr>
            <w:tcW w:w="3700" w:type="dxa"/>
            <w:vAlign w:val="bottom"/>
            <w:gridSpan w:val="3"/>
          </w:tcPr>
          <w:p>
            <w:pPr>
              <w:jc w:val="center"/>
              <w:ind w:left="276"/>
              <w:spacing w:after="0"/>
              <w:rPr>
                <w:sz w:val="20"/>
                <w:szCs w:val="20"/>
                <w:color w:val="auto"/>
              </w:rPr>
            </w:pPr>
            <w:r>
              <w:rPr>
                <w:rFonts w:ascii="Arial" w:cs="Arial" w:eastAsia="Arial" w:hAnsi="Arial"/>
                <w:sz w:val="18"/>
                <w:szCs w:val="18"/>
                <w:color w:val="auto"/>
                <w:w w:val="89"/>
              </w:rPr>
              <w:t>Common Stock, par value $0.01 per share</w:t>
            </w:r>
          </w:p>
        </w:tc>
        <w:tc>
          <w:tcPr>
            <w:tcW w:w="2880" w:type="dxa"/>
            <w:vAlign w:val="bottom"/>
          </w:tcPr>
          <w:p>
            <w:pPr>
              <w:jc w:val="center"/>
              <w:ind w:right="15"/>
              <w:spacing w:after="0"/>
              <w:rPr>
                <w:sz w:val="20"/>
                <w:szCs w:val="20"/>
                <w:color w:val="auto"/>
              </w:rPr>
            </w:pPr>
            <w:r>
              <w:rPr>
                <w:rFonts w:ascii="Arial" w:cs="Arial" w:eastAsia="Arial" w:hAnsi="Arial"/>
                <w:sz w:val="18"/>
                <w:szCs w:val="18"/>
                <w:color w:val="auto"/>
                <w:w w:val="97"/>
              </w:rPr>
              <w:t>ADSK</w:t>
            </w:r>
          </w:p>
        </w:tc>
        <w:tc>
          <w:tcPr>
            <w:tcW w:w="3760" w:type="dxa"/>
            <w:vAlign w:val="bottom"/>
            <w:gridSpan w:val="2"/>
          </w:tcPr>
          <w:p>
            <w:pPr>
              <w:jc w:val="center"/>
              <w:ind w:left="318"/>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-2605405</wp:posOffset>
            </wp:positionV>
            <wp:extent cx="2785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32"/>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165" w:right="39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firstLine="432"/>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left="440" w:right="152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29, 2020, registrant had outstanding 219,196,718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7" w:right="4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Page No.</w:t>
            </w:r>
          </w:p>
        </w:tc>
      </w:tr>
      <w:tr>
        <w:trPr>
          <w:trHeight w:val="230"/>
        </w:trPr>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80" w:type="dxa"/>
            <w:vAlign w:val="bottom"/>
            <w:gridSpan w:val="2"/>
          </w:tcPr>
          <w:p>
            <w:pPr>
              <w:jc w:val="center"/>
              <w:ind w:right="38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1460" w:type="dxa"/>
            <w:vAlign w:val="bottom"/>
          </w:tcPr>
          <w:p>
            <w:pPr>
              <w:spacing w:after="0"/>
              <w:rPr>
                <w:sz w:val="19"/>
                <w:szCs w:val="19"/>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40" w:type="dxa"/>
            <w:vAlign w:val="bottom"/>
            <w:gridSpan w:val="3"/>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Statements:</w:t>
              </w:r>
            </w:hyperlink>
          </w:p>
        </w:tc>
        <w:tc>
          <w:tcPr>
            <w:tcW w:w="1460" w:type="dxa"/>
            <w:vAlign w:val="bottom"/>
          </w:tcPr>
          <w:p>
            <w:pPr>
              <w:spacing w:after="0"/>
              <w:rPr>
                <w:sz w:val="24"/>
                <w:szCs w:val="24"/>
                <w:color w:val="auto"/>
              </w:rPr>
            </w:pPr>
          </w:p>
        </w:tc>
      </w:tr>
      <w:tr>
        <w:trPr>
          <w:trHeight w:val="39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April 30, 2020 and 2019</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351"/>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(Loss) for the Three Months Ended April 30, 2020 and</w:t>
              </w:r>
            </w:hyperlink>
          </w:p>
        </w:tc>
        <w:tc>
          <w:tcPr>
            <w:tcW w:w="14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2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line="19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41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April 30, 2020 and January 31, 2020</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391"/>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April 30, 2020 and 2019</w:t>
              </w:r>
            </w:hyperlink>
          </w:p>
        </w:tc>
        <w:tc>
          <w:tcPr>
            <w:tcW w:w="14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39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Quantitative and Qualitative Disclosures About Market Risk</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Controls and Procedures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392"/>
        </w:trPr>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80" w:type="dxa"/>
            <w:vAlign w:val="bottom"/>
            <w:gridSpan w:val="2"/>
          </w:tcPr>
          <w:p>
            <w:pPr>
              <w:jc w:val="center"/>
              <w:ind w:right="38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OTHER INFORMATION</w:t>
              </w:r>
            </w:hyperlink>
          </w:p>
        </w:tc>
        <w:tc>
          <w:tcPr>
            <w:tcW w:w="146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Legal Proceedings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Risk Factors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Unregistered Sales of Equity Securities and Use of Proceeds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Defaults Upon Senior Securities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Mine Safety Disclosures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Other Information</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Exhibits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391"/>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Signatures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63</w:t>
              </w:r>
            </w:hyperlink>
          </w:p>
        </w:tc>
      </w:tr>
    </w:tbl>
    <w:p>
      <w:pPr>
        <w:sectPr>
          <w:pgSz w:w="11900" w:h="16838" w:orient="portrait"/>
          <w:cols w:equalWidth="0" w:num="1">
            <w:col w:w="11200"/>
          </w:cols>
          <w:pgMar w:left="36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86" w:lineRule="exact"/>
        <w:rPr>
          <w:sz w:val="20"/>
          <w:szCs w:val="20"/>
          <w:color w:val="auto"/>
        </w:rPr>
      </w:pPr>
    </w:p>
    <w:p>
      <w:pPr>
        <w:jc w:val="right"/>
        <w:ind w:right="4320"/>
        <w:spacing w:after="0"/>
        <w:rPr>
          <w:sz w:val="20"/>
          <w:szCs w:val="20"/>
          <w:color w:val="auto"/>
        </w:rPr>
      </w:pPr>
      <w:r>
        <w:rPr>
          <w:rFonts w:ascii="Arial" w:cs="Arial" w:eastAsia="Arial" w:hAnsi="Arial"/>
          <w:sz w:val="16"/>
          <w:szCs w:val="16"/>
          <w:color w:val="auto"/>
        </w:rPr>
        <w:t>Total subscription and maintenance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subscription and maintenance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other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50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803.0</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595.8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112.0</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707.8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27.7</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735.5</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87"/>
        </w:trPr>
        <w:tc>
          <w:tcPr>
            <w:tcW w:w="3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59.7</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652.8</w:t>
            </w:r>
          </w:p>
        </w:tc>
      </w:tr>
      <w:tr>
        <w:trPr>
          <w:trHeight w:val="540"/>
        </w:trPr>
        <w:tc>
          <w:tcPr>
            <w:tcW w:w="3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313.3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205.6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99.1</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270"/>
        </w:trPr>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628.0</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w:t>
            </w:r>
          </w:p>
        </w:tc>
      </w:tr>
    </w:tbl>
    <w:p>
      <w:pPr>
        <w:spacing w:after="0" w:line="13"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(loss) per share</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40" w:type="dxa"/>
            <w:vAlign w:val="bottom"/>
            <w:vMerge w:val="continue"/>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(loss) per share</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r>
      <w:tr>
        <w:trPr>
          <w:trHeight w:val="263"/>
        </w:trPr>
        <w:tc>
          <w:tcPr>
            <w:tcW w:w="84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on derivative instruments (net of tax effect of ($0.4) and ($0.3), respectively)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w w:val="99"/>
              </w:rPr>
              <w:t>Change in net unrealized gain on available-for-sale debt securities (net of tax effect of $0.1 and ($0.4), respectively)</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zero and $0.1, respectively)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(net of tax effect of zero and $0.4,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86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2020</w:t>
            </w:r>
          </w:p>
        </w:tc>
      </w:tr>
      <w:tr>
        <w:trPr>
          <w:trHeight w:val="249"/>
        </w:trPr>
        <w:tc>
          <w:tcPr>
            <w:tcW w:w="7980" w:type="dxa"/>
            <w:vAlign w:val="bottom"/>
            <w:tcBorders>
              <w:top w:val="single" w:sz="8" w:color="CCEEFF"/>
              <w:bottom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1,774.7</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69.0</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2,659.3</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161.7</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70.9</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5,543.9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6,179.3</w:t>
            </w:r>
          </w:p>
        </w:tc>
      </w:tr>
      <w:tr>
        <w:trPr>
          <w:trHeight w:val="73"/>
        </w:trPr>
        <w:tc>
          <w:tcPr>
            <w:tcW w:w="79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80" w:type="dxa"/>
            <w:vAlign w:val="bottom"/>
            <w:tcBorders>
              <w:bottom w:val="single" w:sz="8" w:color="CCEEFF"/>
            </w:tcBorders>
            <w:shd w:val="clear" w:color="auto" w:fill="CCEEFF"/>
          </w:tcPr>
          <w:p>
            <w:pPr>
              <w:ind w:left="222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272.1</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2,176.1</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449.7</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w:t>
            </w:r>
          </w:p>
        </w:tc>
      </w:tr>
      <w:tr>
        <w:trPr>
          <w:trHeight w:val="217"/>
        </w:trPr>
        <w:tc>
          <w:tcPr>
            <w:tcW w:w="798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3,219.2</w:t>
            </w:r>
          </w:p>
        </w:tc>
      </w:tr>
      <w:tr>
        <w:trPr>
          <w:trHeight w:val="33"/>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831.0</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411.7</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82.5</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1,635.1</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Long-term other liabilities</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119.8</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2,317.0</w:t>
            </w:r>
          </w:p>
        </w:tc>
      </w:tr>
      <w:tr>
        <w:trPr>
          <w:trHeight w:val="3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(2,295.8)</w:t>
            </w:r>
          </w:p>
        </w:tc>
      </w:tr>
      <w:tr>
        <w:trPr>
          <w:trHeight w:val="33"/>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5,543.9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6,179.3</w:t>
            </w:r>
          </w:p>
        </w:tc>
      </w:tr>
      <w:tr>
        <w:trPr>
          <w:trHeight w:val="3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9"/>
                <w:szCs w:val="19"/>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32.7</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24.4</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15.3</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206.2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Accounts payable and other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(172.6)</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w:t>
            </w:r>
          </w:p>
        </w:tc>
      </w:tr>
      <w:tr>
        <w:trPr>
          <w:trHeight w:val="204"/>
        </w:trPr>
        <w:tc>
          <w:tcPr>
            <w:tcW w:w="79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46"/>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Purchases of developed technologies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46.9</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(125.0)</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(192.4)</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1,774.7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886.0</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Non-cash financing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7"/>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7"/>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553"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April 30, 2020, and for the three months ended April 30, 2020 and 2019,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2020, are not necessarily indicative of the results for the entire fiscal year ending January 31, 2021, or for any other period. Further, the balance sheet as of January 31, 2020,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2020.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2020, filed on March 19,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three months ended April 30, 2020, that are applicable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June 2016, FASB issued ASU No. 2016-13 regarding ASC Topic 326, "Financial Instruments - Credit Losses," which requires the measurement and recognition of expected credit losses for certain financial instruments using forward-looking information to calculate credit loss estimates. Autodesk adopted ASU 2016-13 as of the effective date which represents Autodesk’s fiscal year beginning February 1, 2020. The ASU did not have a material impact on Autodesk's consolidated financial statements at adoption.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Adoption and policy elections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 specific information. Allowances for credit losses on trade receivables and contract assets were not material for the three months ended April 30, 2020.</w:t>
      </w:r>
    </w:p>
    <w:p>
      <w:pPr>
        <w:spacing w:after="0" w:line="18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Autodesk’s investments in available-for-sale debt securities are subject to a periodic impairment review. If Autodesk does not intend to sell and it is more likely than not that Autodesk will not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Condensed Consolidated Balance Sheets with a corresponding adjustment to "Interest and other expense, net" on the Company's Condensed Consolidated Statements of Operations. Any impairment that is not credit-related is recognized in “Accumulated other comprehensive loss” on the Condensed Consolidated Balance Sheets.</w:t>
      </w:r>
    </w:p>
    <w:p>
      <w:pPr>
        <w:spacing w:after="0" w:line="17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Autodesk does not measure an allowance for credit losses on accrued interest receivables on available-for-sale debt securities separately. Autodesk writes off accrued interest receivables by reversing interest income in the period deemed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ind w:right="100"/>
        <w:spacing w:after="0" w:line="263" w:lineRule="auto"/>
        <w:rPr>
          <w:sz w:val="20"/>
          <w:szCs w:val="20"/>
          <w:color w:val="auto"/>
        </w:rPr>
      </w:pPr>
      <w:r>
        <w:rPr>
          <w:rFonts w:ascii="Arial" w:cs="Arial" w:eastAsia="Arial" w:hAnsi="Arial"/>
          <w:sz w:val="18"/>
          <w:szCs w:val="18"/>
          <w:color w:val="auto"/>
        </w:rPr>
        <w:t>uncollectible in “Interest and other expense, net” on the Company's Condensed Consolidated Statements of Operations. Any accrued interest receivable on available-for-sale debt securities is recorded in “Cash and cash equivalents”, “Prepaid expenses and other current assets,” or "Long-term other assets,” in the accompanying Condensed Consolidated Balance Sheets,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March 2020, FASB issued ASU No. 2020-04, "Reference Rate Reform (Topic 848): Facilitation of the Effects of Reference Rate Reform on Financial Reporting", which provides optional expedients and exceptions for applying generally accepted accounting principles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is identifying contracts that may be impacted by reference rate reform, how this standard may be applied to them, and the subsequent impact to the financial statements and disclosure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18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product family, geographic location, and sales channel is as follows:</w:t>
      </w:r>
    </w:p>
    <w:p>
      <w:pPr>
        <w:spacing w:after="0" w:line="108"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74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2343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100" w:lineRule="exact"/>
        <w:rPr>
          <w:sz w:val="20"/>
          <w:szCs w:val="20"/>
          <w:color w:val="auto"/>
        </w:rPr>
      </w:pPr>
    </w:p>
    <w:p>
      <w:pPr>
        <w:jc w:val="right"/>
        <w:ind w:right="452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343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234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tabs>
          <w:tab w:leader="none" w:pos="820" w:val="left"/>
          <w:tab w:leader="none" w:pos="144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382.7</w:t>
        <w:tab/>
        <w:t>$</w:t>
      </w:r>
      <w:r>
        <w:rPr>
          <w:sz w:val="20"/>
          <w:szCs w:val="20"/>
          <w:color w:val="auto"/>
        </w:rPr>
        <w:tab/>
      </w:r>
      <w:r>
        <w:rPr>
          <w:rFonts w:ascii="Arial" w:cs="Arial" w:eastAsia="Arial" w:hAnsi="Arial"/>
          <w:sz w:val="14"/>
          <w:szCs w:val="14"/>
          <w:color w:val="auto"/>
        </w:rPr>
        <w:t>304.3</w:t>
      </w:r>
    </w:p>
    <w:p>
      <w:pPr>
        <w:spacing w:after="0" w:line="86" w:lineRule="exact"/>
        <w:rPr>
          <w:sz w:val="20"/>
          <w:szCs w:val="20"/>
          <w:color w:val="auto"/>
        </w:rPr>
      </w:pPr>
    </w:p>
    <w:p>
      <w:pPr>
        <w:jc w:val="right"/>
        <w:ind w:right="120"/>
        <w:spacing w:after="0"/>
        <w:tabs>
          <w:tab w:leader="none" w:pos="340" w:val="left"/>
        </w:tabs>
        <w:rPr>
          <w:sz w:val="20"/>
          <w:szCs w:val="20"/>
          <w:color w:val="auto"/>
        </w:rPr>
      </w:pPr>
      <w:r>
        <w:rPr>
          <w:rFonts w:ascii="Arial" w:cs="Arial" w:eastAsia="Arial" w:hAnsi="Arial"/>
          <w:sz w:val="16"/>
          <w:szCs w:val="16"/>
          <w:color w:val="auto"/>
        </w:rPr>
        <w:t>262.2</w:t>
      </w:r>
      <w:r>
        <w:rPr>
          <w:sz w:val="20"/>
          <w:szCs w:val="20"/>
          <w:color w:val="auto"/>
        </w:rPr>
        <w:tab/>
      </w:r>
      <w:r>
        <w:rPr>
          <w:rFonts w:ascii="Arial" w:cs="Arial" w:eastAsia="Arial" w:hAnsi="Arial"/>
          <w:sz w:val="14"/>
          <w:szCs w:val="14"/>
          <w:color w:val="auto"/>
        </w:rPr>
        <w:t>213.2</w:t>
      </w:r>
    </w:p>
    <w:p>
      <w:pPr>
        <w:spacing w:after="0" w:line="86" w:lineRule="exact"/>
        <w:rPr>
          <w:sz w:val="20"/>
          <w:szCs w:val="20"/>
          <w:color w:val="auto"/>
        </w:rPr>
      </w:pPr>
    </w:p>
    <w:p>
      <w:pPr>
        <w:jc w:val="right"/>
        <w:ind w:right="120"/>
        <w:spacing w:after="0"/>
        <w:tabs>
          <w:tab w:leader="none" w:pos="340" w:val="left"/>
        </w:tabs>
        <w:rPr>
          <w:sz w:val="20"/>
          <w:szCs w:val="20"/>
          <w:color w:val="auto"/>
        </w:rPr>
      </w:pPr>
      <w:r>
        <w:rPr>
          <w:rFonts w:ascii="Arial" w:cs="Arial" w:eastAsia="Arial" w:hAnsi="Arial"/>
          <w:sz w:val="16"/>
          <w:szCs w:val="16"/>
          <w:color w:val="auto"/>
        </w:rPr>
        <w:t>182.9</w:t>
      </w:r>
      <w:r>
        <w:rPr>
          <w:sz w:val="20"/>
          <w:szCs w:val="20"/>
          <w:color w:val="auto"/>
        </w:rPr>
        <w:tab/>
      </w:r>
      <w:r>
        <w:rPr>
          <w:rFonts w:ascii="Arial" w:cs="Arial" w:eastAsia="Arial" w:hAnsi="Arial"/>
          <w:sz w:val="14"/>
          <w:szCs w:val="14"/>
          <w:color w:val="auto"/>
        </w:rPr>
        <w:t>167.5</w:t>
      </w:r>
    </w:p>
    <w:p>
      <w:pPr>
        <w:spacing w:after="0" w:line="86" w:lineRule="exact"/>
        <w:rPr>
          <w:sz w:val="20"/>
          <w:szCs w:val="20"/>
          <w:color w:val="auto"/>
        </w:rPr>
      </w:pPr>
    </w:p>
    <w:p>
      <w:pPr>
        <w:jc w:val="right"/>
        <w:ind w:right="120"/>
        <w:spacing w:after="0"/>
        <w:tabs>
          <w:tab w:leader="none" w:pos="260" w:val="left"/>
        </w:tabs>
        <w:rPr>
          <w:sz w:val="20"/>
          <w:szCs w:val="20"/>
          <w:color w:val="auto"/>
        </w:rPr>
      </w:pPr>
      <w:r>
        <w:rPr>
          <w:rFonts w:ascii="Arial" w:cs="Arial" w:eastAsia="Arial" w:hAnsi="Arial"/>
          <w:sz w:val="16"/>
          <w:szCs w:val="16"/>
          <w:color w:val="auto"/>
        </w:rPr>
        <w:t>52.6</w:t>
      </w:r>
      <w:r>
        <w:rPr>
          <w:sz w:val="20"/>
          <w:szCs w:val="20"/>
          <w:color w:val="auto"/>
        </w:rPr>
        <w:tab/>
      </w:r>
      <w:r>
        <w:rPr>
          <w:rFonts w:ascii="Arial" w:cs="Arial" w:eastAsia="Arial" w:hAnsi="Arial"/>
          <w:sz w:val="14"/>
          <w:szCs w:val="14"/>
          <w:color w:val="auto"/>
        </w:rPr>
        <w:t>45.5</w:t>
      </w:r>
    </w:p>
    <w:p>
      <w:pPr>
        <w:spacing w:after="0" w:line="86" w:lineRule="exact"/>
        <w:rPr>
          <w:sz w:val="20"/>
          <w:szCs w:val="20"/>
          <w:color w:val="auto"/>
        </w:rPr>
      </w:pPr>
    </w:p>
    <w:p>
      <w:pPr>
        <w:jc w:val="right"/>
        <w:ind w:right="120"/>
        <w:spacing w:after="0"/>
        <w:tabs>
          <w:tab w:leader="none" w:pos="1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color w:val="auto"/>
        </w:rPr>
        <w:t>5.0</w:t>
      </w:r>
    </w:p>
    <w:p>
      <w:pPr>
        <w:spacing w:after="0" w:line="86" w:lineRule="exact"/>
        <w:rPr>
          <w:sz w:val="20"/>
          <w:szCs w:val="20"/>
          <w:color w:val="auto"/>
        </w:rPr>
      </w:pPr>
    </w:p>
    <w:p>
      <w:pPr>
        <w:spacing w:after="0"/>
        <w:tabs>
          <w:tab w:leader="none" w:pos="820" w:val="left"/>
          <w:tab w:leader="none" w:pos="144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885.7</w:t>
        <w:tab/>
        <w:t>$</w:t>
      </w:r>
      <w:r>
        <w:rPr>
          <w:sz w:val="20"/>
          <w:szCs w:val="20"/>
          <w:color w:val="auto"/>
        </w:rPr>
        <w:tab/>
      </w:r>
      <w:r>
        <w:rPr>
          <w:rFonts w:ascii="Arial" w:cs="Arial" w:eastAsia="Arial" w:hAnsi="Arial"/>
          <w:sz w:val="14"/>
          <w:szCs w:val="14"/>
          <w:color w:val="auto"/>
        </w:rPr>
        <w:t>735.5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52070</wp:posOffset>
            </wp:positionV>
            <wp:extent cx="1774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780"/>
          </w:cols>
          <w:pgMar w:left="320" w:top="557"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6"/>
        </w:trPr>
        <w:tc>
          <w:tcPr>
            <w:tcW w:w="8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w:t>
            </w: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8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297.2</w:t>
            </w:r>
          </w:p>
        </w:tc>
      </w:tr>
      <w:tr>
        <w:trPr>
          <w:trHeight w:val="33"/>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735.5</w:t>
            </w:r>
          </w:p>
        </w:tc>
      </w:tr>
      <w:tr>
        <w:trPr>
          <w:trHeight w:val="73"/>
        </w:trPr>
        <w:tc>
          <w:tcPr>
            <w:tcW w:w="84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78"/>
        </w:trPr>
        <w:tc>
          <w:tcPr>
            <w:tcW w:w="84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23"/>
        </w:trPr>
        <w:tc>
          <w:tcPr>
            <w:tcW w:w="844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7"/>
        </w:trPr>
        <w:tc>
          <w:tcPr>
            <w:tcW w:w="8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516.4</w:t>
            </w: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Direct</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219.1</w:t>
            </w:r>
          </w:p>
        </w:tc>
      </w:tr>
      <w:tr>
        <w:trPr>
          <w:trHeight w:val="33"/>
        </w:trPr>
        <w:tc>
          <w:tcPr>
            <w:tcW w:w="8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type w:val="continuous"/>
        </w:sectPr>
      </w:pPr>
    </w:p>
    <w:bookmarkStart w:id="9" w:name="page10"/>
    <w:bookmarkEnd w:id="9"/>
    <w:p>
      <w:pPr>
        <w:ind w:right="2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60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87"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Remaining performance obligations consist of total short-term, long-term and unbilled deferred revenue. As of April 30, 2020, Autodesk had remaining performance obligations of $3.47 billion, which represents the total contract price allocated to remaining performance obligations, which are generally recognized over the next three years. We expect to recognize $2.35 billion or 68% of our remaining performance obligations as revenue during the next 12 months. We expect to recognize the remaining $1.12 billion or 32% of our remaining performance obligations as revenue thereafter.</w:t>
      </w:r>
    </w:p>
    <w:p>
      <w:pPr>
        <w:spacing w:after="0" w:line="157"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April 30, 2020. Deferred revenue relates to billings in advance of performance under the contract. The primary changes in our contract assets and deferred revenues are due to our performance under the contracts and billings.</w:t>
      </w:r>
    </w:p>
    <w:p>
      <w:pPr>
        <w:spacing w:after="0" w:line="149"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Revenue recognized during the three months ended April 30, 2020 and 2019, that was included in the deferred revenue balances at January 31, 2020 and 2019, was $787.2 million and $643.4 million, respectively. The satisfaction of performance obligations typically lags behind payments received under revenue contracts from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See Note 13, "Borrowing Arrangements," in the Notes to Condensed Consolidated Financial Statements for further discussion.</w:t>
      </w:r>
    </w:p>
    <w:p>
      <w:pPr>
        <w:spacing w:after="0" w:line="18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Total sales to the Company's largest distributor Tech Data Corporation and its global affiliates (“Tech Data”) accounted for 38% and 35% of Autodesk’s total net revenue for the three months ended April 30, 2020 and 2019, respectively. The majority of the net revenue from sales to Tech Data is for sales made outside of the United States. In addition, Tech Data accounted for 38% and 31% of trade accounts receivable at April 30, 2020, and January 31, 2020, respectively. Ingram Micro Inc. ("Ingram Micro") accounted for 10% of Autodesk's total net revenue during the three months ended April 30, 2020 and 2019.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746"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2020, and January 31, 2020:</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April 30, 2020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Mutual funds (3)</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Non-marketable equity security derivative asset (4)</w:t>
            </w: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49"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 These investments are classified as debt securities with stated contractual maturities due within one year.</w:t>
      </w: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11, "Deferred Compensation " for more information.</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January 31, 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860" w:type="dxa"/>
            <w:vAlign w:val="bottom"/>
          </w:tcPr>
          <w:p>
            <w:pPr>
              <w:ind w:left="26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60"/>
              <w:spacing w:after="0"/>
              <w:rPr>
                <w:sz w:val="20"/>
                <w:szCs w:val="20"/>
                <w:color w:val="auto"/>
              </w:rPr>
            </w:pPr>
            <w:r>
              <w:rPr>
                <w:rFonts w:ascii="Arial" w:cs="Arial" w:eastAsia="Arial" w:hAnsi="Arial"/>
                <w:sz w:val="16"/>
                <w:szCs w:val="16"/>
                <w:color w:val="auto"/>
              </w:rPr>
              <w:t>Mutual funds (3)</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Non-marketable equity security derivative asset (4)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1,241.6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1,254.4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1,205.8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49"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 These investments are classified as debt securities with stated contractual maturities due in one year.</w:t>
      </w: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11, "Deferred Compensation " for more information.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7" w:right="359" w:bottom="1440" w:gutter="0" w:footer="0" w:header="0"/>
        </w:sectPr>
      </w:pPr>
    </w:p>
    <w:bookmarkStart w:id="11" w:name="page12"/>
    <w:bookmarkEnd w:id="11"/>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17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184"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As of April 30, 2020, and January 31, 2020, Autodesk had no material unrealized losses, individually and in the aggregate, for marketable debt securities that are in a continuous unrealized loss position for greater than twelve months. Total unrealized gains for securities with net gains in accumulated other comprehensive income was not material for the three months ending April 30, 2020.</w:t>
      </w:r>
    </w:p>
    <w:p>
      <w:pPr>
        <w:spacing w:after="0" w:line="18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for the three months ending April 30, 2020. There were no write offs of accrued interest receivables for the three months ending April 30, 2020.</w:t>
      </w:r>
    </w:p>
    <w:p>
      <w:pPr>
        <w:spacing w:after="0" w:line="184"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There was no realized gain or loss for the sales or redemptions of debt securities during the three months ended April 30, 2020 and 2019. Gains and losses resulting from the sale or redemption of debt securities are recorded in “Interest and other expense, net” on the Company's Condensed Consolidated Statements of Operations.</w:t>
      </w:r>
    </w:p>
    <w:p>
      <w:pPr>
        <w:spacing w:after="0" w:line="18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were no proceeds from the sale and maturity of marketable debt securities for the three months ended April 30, 2020. Proceeds from the sale and maturity of marketable debt securities for the three months ended April 30, 2019 were $4.6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April 30, 2020, and January 31, 2020, Autodesk had $148.5 million and $122.5 million in direct investments in privately held companies, respectively. These non-marketable equity security investments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Adjustments to the carrying value of our non-marketable equity securities with no readily determined fair values measured using the measurement alternative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21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2"/>
                <w:szCs w:val="12"/>
                <w:color w:val="auto"/>
              </w:rPr>
            </w:pPr>
          </w:p>
        </w:tc>
        <w:tc>
          <w:tcPr>
            <w:tcW w:w="9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0" w:type="dxa"/>
            <w:vAlign w:val="bottom"/>
          </w:tcPr>
          <w:p>
            <w:pPr>
              <w:spacing w:after="0"/>
              <w:rPr>
                <w:sz w:val="1"/>
                <w:szCs w:val="1"/>
                <w:color w:val="auto"/>
              </w:rPr>
            </w:pPr>
          </w:p>
        </w:tc>
      </w:tr>
      <w:tr>
        <w:trPr>
          <w:trHeight w:val="192"/>
        </w:trPr>
        <w:tc>
          <w:tcPr>
            <w:tcW w:w="7520" w:type="dxa"/>
            <w:vAlign w:val="bottom"/>
          </w:tcPr>
          <w:p>
            <w:pPr>
              <w:spacing w:after="0"/>
              <w:rPr>
                <w:sz w:val="16"/>
                <w:szCs w:val="16"/>
                <w:color w:val="auto"/>
              </w:rPr>
            </w:pPr>
          </w:p>
        </w:tc>
        <w:tc>
          <w:tcPr>
            <w:tcW w:w="2160" w:type="dxa"/>
            <w:vAlign w:val="bottom"/>
            <w:tcBorders>
              <w:bottom w:val="single" w:sz="8" w:color="auto"/>
            </w:tcBorders>
            <w:gridSpan w:val="6"/>
            <w:vMerge w:val="continue"/>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April 30, 2020</w:t>
            </w: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Upward adjustments (1)</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6"/>
                <w:szCs w:val="16"/>
                <w:color w:val="auto"/>
              </w:rPr>
              <w:t>Negative adjustments, including impairments (1)</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jc w:val="center"/>
              <w:ind w:right="5619"/>
              <w:spacing w:after="0"/>
              <w:rPr>
                <w:sz w:val="20"/>
                <w:szCs w:val="20"/>
                <w:color w:val="auto"/>
              </w:rPr>
            </w:pPr>
            <w:r>
              <w:rPr>
                <w:rFonts w:ascii="Arial" w:cs="Arial" w:eastAsia="Arial" w:hAnsi="Arial"/>
                <w:sz w:val="16"/>
                <w:szCs w:val="16"/>
                <w:color w:val="auto"/>
                <w:w w:val="91"/>
              </w:rPr>
              <w:t>Net adjustments</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20"/>
        </w:trPr>
        <w:tc>
          <w:tcPr>
            <w:tcW w:w="7520" w:type="dxa"/>
            <w:vAlign w:val="bottom"/>
          </w:tcPr>
          <w:p>
            <w:pPr>
              <w:jc w:val="right"/>
              <w:ind w:right="5639"/>
              <w:spacing w:after="0"/>
              <w:rPr>
                <w:sz w:val="20"/>
                <w:szCs w:val="20"/>
                <w:color w:val="auto"/>
              </w:rPr>
            </w:pPr>
            <w:r>
              <w:rPr>
                <w:rFonts w:ascii="Arial" w:cs="Arial" w:eastAsia="Arial" w:hAnsi="Arial"/>
                <w:sz w:val="18"/>
                <w:szCs w:val="18"/>
                <w:color w:val="auto"/>
                <w:w w:val="88"/>
              </w:rPr>
              <w:t>____________________</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"Interest and other expense, net" on the Company's Condensed Consolidated Statements of Operations.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contracts designated as cash flow hedges</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$889.3 million at April 30, 2020, and $981.3 million at January 31, 2020. Outstanding contracts are recognized as either assets or liabilities on the balance sheet at fair value. The majority of the net gain of $12.4 million remaining in “Accumulated other comprehensive loss” as of April 30, 2020 is expected to be recognized into earnings within the next twenty-four months.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562" w:right="399" w:bottom="1440" w:gutter="0" w:footer="0" w:header="0"/>
        </w:sectPr>
      </w:pPr>
    </w:p>
    <w:bookmarkStart w:id="12" w:name="page13"/>
    <w:bookmarkEnd w:id="12"/>
    <w:p>
      <w:pPr>
        <w:jc w:val="both"/>
        <w:ind w:right="120" w:firstLine="405"/>
        <w:spacing w:after="0" w:line="263"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months ended April 30,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Three Months Ended April 30, 2020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5"/>
          </w:tcPr>
          <w:p>
            <w:pPr>
              <w:jc w:val="right"/>
              <w:ind w:right="824"/>
              <w:spacing w:after="0"/>
              <w:rPr>
                <w:sz w:val="20"/>
                <w:szCs w:val="20"/>
                <w:color w:val="auto"/>
              </w:rPr>
            </w:pPr>
            <w:r>
              <w:rPr>
                <w:rFonts w:ascii="Arial" w:cs="Arial" w:eastAsia="Arial" w:hAnsi="Arial"/>
                <w:sz w:val="14"/>
                <w:szCs w:val="14"/>
                <w:b w:val="1"/>
                <w:bCs w:val="1"/>
                <w:color w:val="auto"/>
              </w:rPr>
              <w:t>Net revenue</w:t>
            </w:r>
          </w:p>
        </w:tc>
        <w:tc>
          <w:tcPr>
            <w:tcW w:w="120" w:type="dxa"/>
            <w:vAlign w:val="bottom"/>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Subscription</w:t>
            </w:r>
          </w:p>
        </w:tc>
        <w:tc>
          <w:tcPr>
            <w:tcW w:w="16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Maintenance</w:t>
            </w:r>
          </w:p>
        </w:tc>
        <w:tc>
          <w:tcPr>
            <w:tcW w:w="142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Cost of subscription</w:t>
            </w:r>
          </w:p>
        </w:tc>
        <w:tc>
          <w:tcPr>
            <w:tcW w:w="140" w:type="dxa"/>
            <w:vAlign w:val="bottom"/>
          </w:tcPr>
          <w:p>
            <w:pPr>
              <w:spacing w:after="0"/>
              <w:rPr>
                <w:sz w:val="13"/>
                <w:szCs w:val="13"/>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Marketing and</w:t>
            </w:r>
          </w:p>
        </w:tc>
        <w:tc>
          <w:tcPr>
            <w:tcW w:w="120" w:type="dxa"/>
            <w:vAlign w:val="bottom"/>
          </w:tcPr>
          <w:p>
            <w:pPr>
              <w:spacing w:after="0"/>
              <w:rPr>
                <w:sz w:val="13"/>
                <w:szCs w:val="13"/>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Research and</w:t>
            </w:r>
          </w:p>
        </w:tc>
        <w:tc>
          <w:tcPr>
            <w:tcW w:w="160" w:type="dxa"/>
            <w:vAlign w:val="bottom"/>
          </w:tcPr>
          <w:p>
            <w:pPr>
              <w:spacing w:after="0"/>
              <w:rPr>
                <w:sz w:val="13"/>
                <w:szCs w:val="13"/>
                <w:color w:val="auto"/>
              </w:rPr>
            </w:pPr>
          </w:p>
        </w:tc>
        <w:tc>
          <w:tcPr>
            <w:tcW w:w="11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General and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6"/>
                <w:szCs w:val="16"/>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79"/>
              </w:rPr>
              <w:t>sales</w:t>
            </w:r>
          </w:p>
        </w:tc>
        <w:tc>
          <w:tcPr>
            <w:tcW w:w="120" w:type="dxa"/>
            <w:vAlign w:val="bottom"/>
          </w:tcPr>
          <w:p>
            <w:pPr>
              <w:spacing w:after="0"/>
              <w:rPr>
                <w:sz w:val="16"/>
                <w:szCs w:val="16"/>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development</w:t>
            </w:r>
          </w:p>
        </w:tc>
        <w:tc>
          <w:tcPr>
            <w:tcW w:w="160" w:type="dxa"/>
            <w:vAlign w:val="bottom"/>
          </w:tcPr>
          <w:p>
            <w:pPr>
              <w:spacing w:after="0"/>
              <w:rPr>
                <w:sz w:val="16"/>
                <w:szCs w:val="16"/>
                <w:color w:val="auto"/>
              </w:rPr>
            </w:pPr>
          </w:p>
        </w:tc>
        <w:tc>
          <w:tcPr>
            <w:tcW w:w="1180" w:type="dxa"/>
            <w:vAlign w:val="bottom"/>
          </w:tcPr>
          <w:p>
            <w:pPr>
              <w:jc w:val="right"/>
              <w:ind w:right="144"/>
              <w:spacing w:after="0"/>
              <w:rPr>
                <w:sz w:val="20"/>
                <w:szCs w:val="20"/>
                <w:color w:val="auto"/>
              </w:rPr>
            </w:pPr>
            <w:r>
              <w:rPr>
                <w:rFonts w:ascii="Arial" w:cs="Arial" w:eastAsia="Arial" w:hAnsi="Arial"/>
                <w:sz w:val="14"/>
                <w:szCs w:val="14"/>
                <w:b w:val="1"/>
                <w:bCs w:val="1"/>
                <w:color w:val="auto"/>
                <w:w w:val="98"/>
              </w:rPr>
              <w:t>administrative</w:t>
            </w:r>
          </w:p>
        </w:tc>
        <w:tc>
          <w:tcPr>
            <w:tcW w:w="0" w:type="dxa"/>
            <w:vAlign w:val="bottom"/>
          </w:tcPr>
          <w:p>
            <w:pPr>
              <w:spacing w:after="0"/>
              <w:rPr>
                <w:sz w:val="1"/>
                <w:szCs w:val="1"/>
                <w:color w:val="auto"/>
              </w:rPr>
            </w:pPr>
          </w:p>
        </w:tc>
      </w:tr>
      <w:tr>
        <w:trPr>
          <w:trHeight w:val="206"/>
        </w:trPr>
        <w:tc>
          <w:tcPr>
            <w:tcW w:w="29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5"/>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4"/>
              </w:rPr>
              <w:t>consolidated statements of operations in</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which the effects of cash flow hedges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803.0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57.4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341.3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40" w:type="dxa"/>
            <w:vAlign w:val="bottom"/>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00" w:type="dxa"/>
            <w:vAlign w:val="bottom"/>
            <w:gridSpan w:val="2"/>
          </w:tcPr>
          <w:p>
            <w:pPr>
              <w:ind w:left="16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w w:val="96"/>
              </w:rPr>
              <w:t>comprehensive income into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831"/>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April 30, 2019</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5"/>
          </w:tcPr>
          <w:p>
            <w:pPr>
              <w:jc w:val="right"/>
              <w:ind w:right="824"/>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Cost of revenue</w:t>
            </w:r>
          </w:p>
        </w:tc>
        <w:tc>
          <w:tcPr>
            <w:tcW w:w="120" w:type="dxa"/>
            <w:vAlign w:val="bottom"/>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Subscription</w:t>
            </w:r>
          </w:p>
        </w:tc>
        <w:tc>
          <w:tcPr>
            <w:tcW w:w="16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Maintenance</w:t>
            </w:r>
          </w:p>
        </w:tc>
        <w:tc>
          <w:tcPr>
            <w:tcW w:w="142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Cost of subscription</w:t>
            </w:r>
          </w:p>
        </w:tc>
        <w:tc>
          <w:tcPr>
            <w:tcW w:w="14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Marketing and</w:t>
            </w:r>
          </w:p>
        </w:tc>
        <w:tc>
          <w:tcPr>
            <w:tcW w:w="120" w:type="dxa"/>
            <w:vAlign w:val="bottom"/>
          </w:tcPr>
          <w:p>
            <w:pPr>
              <w:spacing w:after="0"/>
              <w:rPr>
                <w:sz w:val="13"/>
                <w:szCs w:val="13"/>
                <w:color w:val="auto"/>
              </w:rPr>
            </w:pPr>
          </w:p>
        </w:tc>
        <w:tc>
          <w:tcPr>
            <w:tcW w:w="13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Research and</w:t>
            </w:r>
          </w:p>
        </w:tc>
        <w:tc>
          <w:tcPr>
            <w:tcW w:w="160" w:type="dxa"/>
            <w:vAlign w:val="bottom"/>
          </w:tcPr>
          <w:p>
            <w:pPr>
              <w:spacing w:after="0"/>
              <w:rPr>
                <w:sz w:val="13"/>
                <w:szCs w:val="13"/>
                <w:color w:val="auto"/>
              </w:rPr>
            </w:pPr>
          </w:p>
        </w:tc>
        <w:tc>
          <w:tcPr>
            <w:tcW w:w="11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General and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sales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development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6"/>
              </w:rPr>
              <w:t>administrative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amounts of income and expense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9"/>
              </w:rPr>
              <w:t>line items presented in the condensed</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9"/>
              </w:rPr>
              <w:t>consolidated statements of operations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hedges are recorded</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595.8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59.7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313.3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9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$219.1 million at April 30, 2020, and $736.2 million at January 31,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557" w:right="35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2020 and January 31,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5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580" w:type="dxa"/>
            <w:vAlign w:val="bottom"/>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2020</w:t>
            </w:r>
          </w:p>
        </w:tc>
        <w:tc>
          <w:tcPr>
            <w:tcW w:w="160" w:type="dxa"/>
            <w:vAlign w:val="bottom"/>
          </w:tcPr>
          <w:p>
            <w:pPr>
              <w:spacing w:after="0"/>
              <w:rPr>
                <w:sz w:val="22"/>
                <w:szCs w:val="22"/>
                <w:color w:val="auto"/>
              </w:rPr>
            </w:pPr>
          </w:p>
        </w:tc>
        <w:tc>
          <w:tcPr>
            <w:tcW w:w="12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January 31, 2020</w:t>
            </w: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5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80" w:type="dxa"/>
            <w:vAlign w:val="bottom"/>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552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5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9"/>
        </w:trPr>
        <w:tc>
          <w:tcPr>
            <w:tcW w:w="55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long-term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83"/>
        </w:trPr>
        <w:tc>
          <w:tcPr>
            <w:tcW w:w="55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5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43"/>
        </w:trPr>
        <w:tc>
          <w:tcPr>
            <w:tcW w:w="55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w:t>
            </w:r>
          </w:p>
        </w:tc>
      </w:tr>
      <w:tr>
        <w:trPr>
          <w:trHeight w:val="20"/>
        </w:trPr>
        <w:tc>
          <w:tcPr>
            <w:tcW w:w="5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2020 and 2019,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Foreign Currency Contracts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recognized in accumulated other comprehensive loss on</w:t>
            </w: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i w:val="1"/>
                <w:iCs w:val="1"/>
                <w:color w:val="auto"/>
                <w:w w:val="97"/>
              </w:rPr>
              <w:t>Amount and location of gain (loss) reclassified from accumulated other comprehensive loss into income (effective portion)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8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0" w:type="dxa"/>
            <w:vAlign w:val="bottom"/>
            <w:gridSpan w:val="2"/>
          </w:tcPr>
          <w:p>
            <w:pPr>
              <w:ind w:left="34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2"/>
          </w:tcPr>
          <w:p>
            <w:pPr>
              <w:ind w:left="6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2020 and 2019, (amounts presented include any income tax effects):</w:t>
      </w:r>
    </w:p>
    <w:p>
      <w:pPr>
        <w:spacing w:after="0" w:line="108"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23495</wp:posOffset>
            </wp:positionV>
            <wp:extent cx="177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(loss) gain recognized on derivatives in net income (loss)</w:t>
      </w:r>
    </w:p>
    <w:p>
      <w:pPr>
        <w:spacing w:after="0" w:line="86" w:lineRule="exact"/>
        <w:rPr>
          <w:sz w:val="20"/>
          <w:szCs w:val="20"/>
          <w:color w:val="auto"/>
        </w:rPr>
      </w:pPr>
    </w:p>
    <w:p>
      <w:pPr>
        <w:ind w:left="380"/>
        <w:spacing w:after="0"/>
        <w:tabs>
          <w:tab w:leader="none" w:pos="8460" w:val="left"/>
          <w:tab w:leader="none" w:pos="9420" w:val="left"/>
          <w:tab w:leader="none" w:pos="9920" w:val="left"/>
          <w:tab w:leader="none" w:pos="10900" w:val="left"/>
        </w:tabs>
        <w:rPr>
          <w:sz w:val="20"/>
          <w:szCs w:val="20"/>
          <w:color w:val="auto"/>
        </w:rPr>
      </w:pPr>
      <w:r>
        <w:rPr>
          <w:rFonts w:ascii="Arial" w:cs="Arial" w:eastAsia="Arial" w:hAnsi="Arial"/>
          <w:sz w:val="16"/>
          <w:szCs w:val="16"/>
          <w:color w:val="auto"/>
        </w:rPr>
        <w:t>Interest and other expense,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w:t>
        <w:tab/>
        <w:t>$</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4" w:name="page15"/>
    <w:bookmarkEnd w:id="14"/>
    <w:p>
      <w:pPr>
        <w:ind w:left="220" w:right="4640" w:hanging="212"/>
        <w:spacing w:after="0" w:line="500" w:lineRule="auto"/>
        <w:tabs>
          <w:tab w:leader="none" w:pos="18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spacing w:after="0" w:line="1" w:lineRule="exact"/>
        <w:rPr>
          <w:rFonts w:ascii="Arial" w:cs="Arial" w:eastAsia="Arial" w:hAnsi="Arial"/>
          <w:sz w:val="18"/>
          <w:szCs w:val="18"/>
          <w:b w:val="1"/>
          <w:bCs w:val="1"/>
          <w:i w:val="1"/>
          <w:iCs w:val="1"/>
          <w:color w:val="auto"/>
        </w:rPr>
      </w:pP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three months ended April 30,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2020</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44"/>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4,732.3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147.24</w:t>
            </w:r>
          </w:p>
        </w:tc>
        <w:tc>
          <w:tcPr>
            <w:tcW w:w="0" w:type="dxa"/>
            <w:vAlign w:val="bottom"/>
          </w:tcPr>
          <w:p>
            <w:pPr>
              <w:spacing w:after="0"/>
              <w:rPr>
                <w:sz w:val="1"/>
                <w:szCs w:val="1"/>
                <w:color w:val="auto"/>
              </w:rPr>
            </w:pPr>
          </w:p>
        </w:tc>
      </w:tr>
      <w:tr>
        <w:trPr>
          <w:trHeight w:val="270"/>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168.55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6"/>
                <w:szCs w:val="16"/>
                <w:color w:val="auto"/>
              </w:rPr>
              <w:t>(727.6)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148.38</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148.64</w:t>
            </w:r>
          </w:p>
        </w:tc>
        <w:tc>
          <w:tcPr>
            <w:tcW w:w="0" w:type="dxa"/>
            <w:vAlign w:val="bottom"/>
          </w:tcPr>
          <w:p>
            <w:pPr>
              <w:spacing w:after="0"/>
              <w:rPr>
                <w:sz w:val="1"/>
                <w:szCs w:val="1"/>
                <w:color w:val="auto"/>
              </w:rPr>
            </w:pPr>
          </w:p>
        </w:tc>
      </w:tr>
      <w:tr>
        <w:trPr>
          <w:trHeight w:val="270"/>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166.97</w:t>
            </w:r>
          </w:p>
        </w:tc>
        <w:tc>
          <w:tcPr>
            <w:tcW w:w="0" w:type="dxa"/>
            <w:vAlign w:val="bottom"/>
          </w:tcPr>
          <w:p>
            <w:pPr>
              <w:spacing w:after="0"/>
              <w:rPr>
                <w:sz w:val="1"/>
                <w:szCs w:val="1"/>
                <w:color w:val="auto"/>
              </w:rPr>
            </w:pPr>
          </w:p>
        </w:tc>
      </w:tr>
      <w:tr>
        <w:trPr>
          <w:trHeight w:val="33"/>
        </w:trPr>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4,732.1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150.43</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557" w:right="3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180" w:hanging="412"/>
        <w:spacing w:after="0" w:line="26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2020 performance period. The performance stock units were attained at rates ranging from 96.6% to 101.1% of the target award.</w:t>
      </w:r>
    </w:p>
    <w:p>
      <w:pPr>
        <w:spacing w:after="0" w:line="17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2020 and 2019, was $111.4 million and $50.3 million, respectively.</w:t>
      </w:r>
    </w:p>
    <w:p>
      <w:pPr>
        <w:spacing w:after="0" w:line="237"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During the three months ended April 30, 2020, Autodesk granted 0.5 million restricted stock units. Autodesk recorded stock-based compensation expense related to restricted stock units of $76.9 million and $54.4 million during the three months ended April 30, 2020 and 2019, respectively.</w:t>
      </w:r>
    </w:p>
    <w:p>
      <w:pPr>
        <w:spacing w:after="0" w:line="124"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During the three months ended April 30, 2020, Autodesk settled the remaining liability-classified awards in the amount of $28.7 million.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14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During the three months ended April 30, 2020,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revenue goals adopted by the Compensation and Human Resource Committee, as well as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192" w:lineRule="exact"/>
        <w:rPr>
          <w:sz w:val="20"/>
          <w:szCs w:val="20"/>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2021 as well as 1-year Relative TSR (covering year one).</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w:t>
      </w:r>
    </w:p>
    <w:p>
      <w:pPr>
        <w:spacing w:after="0" w:line="1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Autodesk recorded stock-based compensation expense related to performance stock units of $7.4 million and $6.5 million for the three months ended April 30, 2020 and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7" w:right="339" w:bottom="1440" w:gutter="0" w:footer="0" w:header="0"/>
          <w:type w:val="continuous"/>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three months ended April 30, 2020 and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 (in millions)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122.54</w:t>
            </w:r>
          </w:p>
        </w:tc>
        <w:tc>
          <w:tcPr>
            <w:tcW w:w="120" w:type="dxa"/>
            <w:vAlign w:val="bottom"/>
          </w:tcPr>
          <w:p>
            <w:pPr>
              <w:spacing w:after="0"/>
              <w:rPr>
                <w:sz w:val="20"/>
                <w:szCs w:val="20"/>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99.46</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52.41</w:t>
            </w:r>
          </w:p>
        </w:tc>
      </w:tr>
      <w:tr>
        <w:trPr>
          <w:trHeight w:val="206"/>
        </w:trPr>
        <w:tc>
          <w:tcPr>
            <w:tcW w:w="82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8220" w:type="dxa"/>
            <w:vAlign w:val="bottom"/>
          </w:tcPr>
          <w:p>
            <w:pPr>
              <w:spacing w:after="0"/>
              <w:rPr>
                <w:sz w:val="20"/>
                <w:szCs w:val="20"/>
                <w:color w:val="auto"/>
              </w:rPr>
            </w:pPr>
            <w:r>
              <w:rPr>
                <w:rFonts w:ascii="Arial" w:cs="Arial" w:eastAsia="Arial" w:hAnsi="Arial"/>
                <w:sz w:val="16"/>
                <w:szCs w:val="16"/>
                <w:color w:val="auto"/>
              </w:rPr>
              <w:t>(1)   Calculated as of the award grant date using the Black-Scholes Merton (“BSM") option pricing model.</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months ended April 30, 2020 and 2019, respectively,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 April 30,</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75.2</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75.0</w:t>
            </w:r>
          </w:p>
        </w:tc>
      </w:tr>
      <w:tr>
        <w:trPr>
          <w:trHeight w:val="3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 April 30, 2020</w:t>
            </w:r>
          </w:p>
        </w:tc>
        <w:tc>
          <w:tcPr>
            <w:tcW w:w="100" w:type="dxa"/>
            <w:vAlign w:val="bottom"/>
          </w:tcPr>
          <w:p>
            <w:pPr>
              <w:spacing w:after="0"/>
              <w:rPr>
                <w:sz w:val="16"/>
                <w:szCs w:val="16"/>
                <w:color w:val="auto"/>
              </w:rPr>
            </w:pPr>
          </w:p>
        </w:tc>
        <w:tc>
          <w:tcPr>
            <w:tcW w:w="32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April 30, 2019</w:t>
            </w:r>
          </w:p>
        </w:tc>
        <w:tc>
          <w:tcPr>
            <w:tcW w:w="0" w:type="dxa"/>
            <w:vAlign w:val="bottom"/>
          </w:tcPr>
          <w:p>
            <w:pPr>
              <w:spacing w:after="0"/>
              <w:rPr>
                <w:sz w:val="1"/>
                <w:szCs w:val="1"/>
                <w:color w:val="auto"/>
              </w:rPr>
            </w:pPr>
          </w:p>
        </w:tc>
      </w:tr>
      <w:tr>
        <w:trPr>
          <w:trHeight w:val="152"/>
        </w:trPr>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5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6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50.7%</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39.4 - 45.8%</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36.6 - 39.7%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3"/>
                <w:szCs w:val="2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60" w:type="dxa"/>
            <w:vAlign w:val="bottom"/>
          </w:tcPr>
          <w:p>
            <w:pPr>
              <w:jc w:val="center"/>
              <w:spacing w:after="0"/>
              <w:rPr>
                <w:sz w:val="20"/>
                <w:szCs w:val="20"/>
                <w:color w:val="auto"/>
              </w:rPr>
            </w:pPr>
            <w:r>
              <w:rPr>
                <w:rFonts w:ascii="Arial" w:cs="Arial" w:eastAsia="Arial" w:hAnsi="Arial"/>
                <w:sz w:val="16"/>
                <w:szCs w:val="16"/>
                <w:color w:val="auto"/>
                <w:w w:val="93"/>
              </w:rPr>
              <w:t>0.3%</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0.3 - 0.5%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2.4 - 2.5%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-664210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-321310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557" w:right="339" w:bottom="1440" w:gutter="0" w:footer="0" w:header="0"/>
          <w:type w:val="continuous"/>
        </w:sectPr>
      </w:pPr>
    </w:p>
    <w:p>
      <w:pPr>
        <w:spacing w:after="0" w:line="22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7" w:right="339" w:bottom="1440" w:gutter="0" w:footer="0" w:header="0"/>
          <w:type w:val="continuous"/>
        </w:sectPr>
      </w:pPr>
    </w:p>
    <w:bookmarkStart w:id="16" w:name="page17"/>
    <w:bookmarkEnd w:id="16"/>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right="20" w:firstLine="467"/>
        <w:spacing w:after="0" w:line="259" w:lineRule="auto"/>
        <w:rPr>
          <w:sz w:val="20"/>
          <w:szCs w:val="20"/>
          <w:color w:val="auto"/>
        </w:rPr>
      </w:pPr>
      <w:r>
        <w:rPr>
          <w:rFonts w:ascii="Arial" w:cs="Arial" w:eastAsia="Arial" w:hAnsi="Arial"/>
          <w:sz w:val="18"/>
          <w:szCs w:val="18"/>
          <w:color w:val="auto"/>
        </w:rPr>
        <w:t>Autodesk had income tax expense of $24.0 million, relative to pre-tax income of $90.5 million for the three months ended April 30, 2020, and income tax expense of $32.8 million, relative to pre-tax income of $8.6 million for the three months ended April 30, 2019. Income tax expense for the three months ended April 30, 2020, decreased primarily due to the jurisdictional mix of earnings, offset by the U.S. full valuation allowance and a reduction in withholding taxes.</w:t>
      </w:r>
    </w:p>
    <w:p>
      <w:pPr>
        <w:spacing w:after="0" w:line="20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April 30, 2020.</w:t>
      </w:r>
    </w:p>
    <w:p>
      <w:pPr>
        <w:spacing w:after="0" w:line="188"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Company anticipates a significant increase in U.S. taxable income in fiscal 2021 due to current year increase in global earnings. We currently forecast the utilization of U.S. deferred tax assets to offset U.S. taxable income resulting from the inclusion of foreign earnings. While increased U.S. taxable income is considered positive evidence, we believe that the cumulative losses should be given more weight and have maintained the valuation allowance on our U.S. deferred tax assets.</w:t>
      </w:r>
    </w:p>
    <w:p>
      <w:pPr>
        <w:spacing w:after="0" w:line="187"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As Autodesk continually strives to optimize the overall business model, tax planning strategies may become feasible and prudent allowing the Company to realize many of the deferred tax assets that are offset by a valuation allowance; therefore, Autodesk will continue to evaluate the ability to utilize the deferred tax assets each quarter, both in the U.S. and in foreign jurisdictions, based on all available evidence, both positive and negative</w:t>
      </w:r>
    </w:p>
    <w:p>
      <w:pPr>
        <w:spacing w:after="0" w:line="149"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As of April 30, 2020, the Company had $218.6 million of gross unrecognized tax benefits, of which $201.7 million would reduce our valuation allowance, if recognized. The remaining $16.9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c>
          <w:tcPr>
            <w:tcW w:w="0" w:type="dxa"/>
            <w:vAlign w:val="bottom"/>
          </w:tcPr>
          <w:p>
            <w:pPr>
              <w:spacing w:after="0"/>
              <w:rPr>
                <w:sz w:val="1"/>
                <w:szCs w:val="1"/>
                <w:color w:val="auto"/>
              </w:rPr>
            </w:pP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at cost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532.2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at cost (2)</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1,179.3</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“Long-term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9. Cloud Computing Arrangements</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$31.1 million and $22.3 million at April 30, 2020, and January 31, 2020, respectively. Accumulated amortization was $2.1 million and $1.2 million at April 30, 2020, and January 31, 2020, respectively. Amortization expense for the three months ended April 30, 2020 and 2019, was $0.9 million and none,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The following table summarizes the changes in the carrying amount of goodwill for the three months ended April 30, 2020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2020</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2,594.2</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2020</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2020</w:t>
            </w: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Effect of foreign currency translation</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April 30, 2020</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2"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months ended April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11. Deferred Compensation</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At April 30, 2020, Autodesk had marketable securities totaling $77.2 million, of which, $66.2 million is related to investments in debt and equity securities that are held in a rabbi trust under non-qualified deferred compensation plans. Of the $66.2 million related to the deferred compensation liability at April 30, 2020, $4.7 million was classified as current and $61.5 million was classified as non-current liabilities. Of the $69.0 million related to the deferred compensation liability at January 31, 2020, $5.3 million was classified as current and $63.7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“Long-term other liabilities,” respectively.</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$91.5 million as of April 30, 2020 and $98.8 million as of January 31, 2020. Amortization expense related to assets recognized from costs to obtain a contract with a customer was $22.8 million and $24.7 million during the three months ended April 30, 2020 and 2019, respectively. Autodesk did not recognize any contract cost impairment losses during the three months ended April 30,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64.0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69.0</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(415.0)</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Borrowing Arrangements</w:t>
      </w:r>
    </w:p>
    <w:p>
      <w:pPr>
        <w:spacing w:after="0" w:line="22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The proceeds of the 2020 Notes have been used for the repayment of the $450.0 million 2015 Notes, as defined below, and the remainder is available for general corporate purposes.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19" w:name="page20"/>
    <w:bookmarkEnd w:id="19"/>
    <w:p>
      <w:pPr>
        <w:ind w:firstLine="405"/>
        <w:spacing w:after="0" w:line="268" w:lineRule="auto"/>
        <w:rPr>
          <w:sz w:val="20"/>
          <w:szCs w:val="20"/>
          <w:color w:val="auto"/>
        </w:rPr>
      </w:pPr>
      <w:r>
        <w:rPr>
          <w:rFonts w:ascii="Arial" w:cs="Arial" w:eastAsia="Arial" w:hAnsi="Arial"/>
          <w:sz w:val="17"/>
          <w:szCs w:val="17"/>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April 30, 2020,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April 30, 2020, Autodesk had no outstanding borrowings under the credit agreement.</w:t>
      </w:r>
    </w:p>
    <w:p>
      <w:pPr>
        <w:spacing w:after="0" w:line="186" w:lineRule="exact"/>
        <w:rPr>
          <w:sz w:val="20"/>
          <w:szCs w:val="20"/>
          <w:color w:val="auto"/>
        </w:rPr>
      </w:pPr>
    </w:p>
    <w:p>
      <w:pPr>
        <w:jc w:val="both"/>
        <w:ind w:right="80" w:firstLine="405"/>
        <w:spacing w:after="0" w:line="301" w:lineRule="auto"/>
        <w:rPr>
          <w:sz w:val="20"/>
          <w:szCs w:val="20"/>
          <w:color w:val="auto"/>
        </w:rPr>
      </w:pPr>
      <w:r>
        <w:rPr>
          <w:rFonts w:ascii="Arial" w:cs="Arial" w:eastAsia="Arial" w:hAnsi="Arial"/>
          <w:sz w:val="16"/>
          <w:szCs w:val="16"/>
          <w:color w:val="auto"/>
        </w:rPr>
        <w:t>In June 2017, Autodesk issued $500.0 million aggregate principal amount of 3.5% notes due June 15, 2027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June 2015, Autodesk issued $450.0 million aggregate principal amount of 3.125% notes due June 15, 2020 ("$450.0 million 2015 Notes") and $300.0 million aggregate principal amount of 4.375% notes due June 15, 2025 (“$300.0 million 2015 Notes”) (collectively, the "2015 Notes"). Net of a discount of $0.6 million and $1.1 million, and issuance costs of $3.8 million and $2.5 million, Autodesk received net proceeds of $445.6 million and $296.4 million from issuance of the $450.0 million 2015 Notes and $300.0 million 2015 Notes, respectively. Both the discount and issuance costs are being amortized to interest expense over the respective term of the $300.0 million 2015 Notes using the effective interest method. The proceeds of the $300.0 million 2015 Notes is available for general corporate purposes. On March 4, 2020, the proceeds of the 2020 Notes were used for the repayment of the $450.0 million 2015 Notes. Autodesk paid a redemption price of $452.1 million, plus accrued and unpaid interest to, but not including, the date of redemption.</w:t>
      </w:r>
    </w:p>
    <w:p>
      <w:pPr>
        <w:spacing w:after="0" w:line="192"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187"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The 2020 Notes, 2017 Notes, $300 million 2015 Notes and the 2012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quoted market prices, the approximate fair value of the notes as of April 30,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4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Aggregate Principal</w:t>
            </w:r>
          </w:p>
        </w:tc>
        <w:tc>
          <w:tcPr>
            <w:tcW w:w="40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6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3160" w:type="dxa"/>
            <w:vAlign w:val="bottom"/>
          </w:tcPr>
          <w:p>
            <w:pPr>
              <w:spacing w:after="0"/>
              <w:rPr>
                <w:sz w:val="16"/>
                <w:szCs w:val="16"/>
                <w:color w:val="auto"/>
              </w:rPr>
            </w:pPr>
          </w:p>
        </w:tc>
        <w:tc>
          <w:tcPr>
            <w:tcW w:w="1540" w:type="dxa"/>
            <w:vAlign w:val="bottom"/>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 Notes</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350.0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$300 million 2015 Notes</w:t>
            </w:r>
          </w:p>
        </w:tc>
        <w:tc>
          <w:tcPr>
            <w:tcW w:w="3160" w:type="dxa"/>
            <w:vAlign w:val="bottom"/>
          </w:tcPr>
          <w:p>
            <w:pPr>
              <w:spacing w:after="0"/>
              <w:rPr>
                <w:sz w:val="20"/>
                <w:szCs w:val="20"/>
                <w:color w:val="auto"/>
              </w:rPr>
            </w:pP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300.0</w:t>
            </w:r>
          </w:p>
        </w:tc>
        <w:tc>
          <w:tcPr>
            <w:tcW w:w="40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Notes</w:t>
            </w:r>
          </w:p>
        </w:tc>
        <w:tc>
          <w:tcPr>
            <w:tcW w:w="3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500.0</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555.9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2020 Notes</w:t>
            </w:r>
          </w:p>
        </w:tc>
        <w:tc>
          <w:tcPr>
            <w:tcW w:w="3160" w:type="dxa"/>
            <w:vAlign w:val="bottom"/>
          </w:tcPr>
          <w:p>
            <w:pPr>
              <w:spacing w:after="0"/>
              <w:rPr>
                <w:sz w:val="20"/>
                <w:szCs w:val="20"/>
                <w:color w:val="auto"/>
              </w:rPr>
            </w:pP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500.0</w:t>
            </w:r>
          </w:p>
        </w:tc>
        <w:tc>
          <w:tcPr>
            <w:tcW w:w="40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773" w:right="37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expected future principal payments for all borrowings as of April 30, 2020, is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4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 (remainder)</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2022</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2024</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33"/>
        </w:trPr>
        <w:tc>
          <w:tcPr>
            <w:tcW w:w="9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principal outstanding</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1,650.0</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Leases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70 years, some of which include options to extend the lease with renewal terms from 1 year to 10 years and some of which include options to terminate the leases from less than 1 year to 10 years. Options to extend the lease are included in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April 30,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sales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development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administrative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11.5</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7.9</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3.4</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25.5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April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sales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2"/>
              </w:rPr>
              <w:t>development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2"/>
              </w:rPr>
              <w:t>administrative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8.8</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6.7</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20"/>
                <w:szCs w:val="20"/>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249"/>
        </w:trPr>
        <w:tc>
          <w:tcPr>
            <w:tcW w:w="8220" w:type="dxa"/>
            <w:vAlign w:val="bottom"/>
          </w:tcPr>
          <w:p>
            <w:pPr>
              <w:jc w:val="right"/>
              <w:ind w:right="6699"/>
              <w:spacing w:after="0"/>
              <w:rPr>
                <w:sz w:val="20"/>
                <w:szCs w:val="20"/>
                <w:color w:val="auto"/>
              </w:rPr>
            </w:pPr>
            <w:r>
              <w:rPr>
                <w:rFonts w:ascii="Arial" w:cs="Arial" w:eastAsia="Arial" w:hAnsi="Arial"/>
                <w:sz w:val="18"/>
                <w:szCs w:val="18"/>
                <w:color w:val="auto"/>
                <w:w w:val="94"/>
              </w:rPr>
              <w:t>_______________</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ind w:right="340" w:firstLine="8"/>
        <w:spacing w:after="0" w:line="262"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$3.4 million and $3.0 million in variable lease payments for the three months ended April 30, 2020 and 2019, respectively, not included in "Operating lease liabilities" and "Long-term operating lease liabilities" on the Condensed Consolidated Balance Sheets.</w:t>
      </w:r>
    </w:p>
    <w:p>
      <w:pPr>
        <w:spacing w:after="0" w:line="15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remaining lease term for operating leases is 7.4 and 7.5 years at April 30, 2020, and January 31, 2020, respectively. The weighted average discount rate was 3.36% and 3.41% at April 30, 2020, and January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7"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t>Maturities of operating lease liabilities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4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 (remainder)</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r>
      <w:tr>
        <w:trPr>
          <w:trHeight w:val="223"/>
        </w:trPr>
        <w:tc>
          <w:tcPr>
            <w:tcW w:w="9440" w:type="dxa"/>
            <w:vAlign w:val="bottom"/>
          </w:tcPr>
          <w:p>
            <w:pPr>
              <w:ind w:left="40"/>
              <w:spacing w:after="0"/>
              <w:rPr>
                <w:sz w:val="20"/>
                <w:szCs w:val="20"/>
                <w:color w:val="auto"/>
              </w:rPr>
            </w:pPr>
            <w:r>
              <w:rPr>
                <w:rFonts w:ascii="Arial" w:cs="Arial" w:eastAsia="Arial" w:hAnsi="Arial"/>
                <w:sz w:val="16"/>
                <w:szCs w:val="16"/>
                <w:color w:val="auto"/>
              </w:rPr>
              <w:t>2024</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71.9</w:t>
            </w: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169.0</w:t>
            </w:r>
          </w:p>
        </w:tc>
      </w:tr>
      <w:tr>
        <w:trPr>
          <w:trHeight w:val="33"/>
        </w:trPr>
        <w:tc>
          <w:tcPr>
            <w:tcW w:w="9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510.9</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33"/>
        </w:trPr>
        <w:tc>
          <w:tcPr>
            <w:tcW w:w="9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operating lease liabilities</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448.0</w:t>
            </w:r>
          </w:p>
        </w:tc>
      </w:tr>
      <w:tr>
        <w:trPr>
          <w:trHeight w:val="20"/>
        </w:trPr>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April 30, 2020, Autodesk has additional operating lease minimum lease payments of $29.8 million for executed leases that have not yet commenced, primarily for office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16. Stockholders' Deficit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for the three months ended April 30, 2020,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Common stock and additional paid-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2"/>
              </w:rPr>
              <w:t>in capital</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20" w:type="dxa"/>
            <w:vAlign w:val="bottom"/>
          </w:tcPr>
          <w:p>
            <w:pPr>
              <w:spacing w:after="0"/>
              <w:rPr>
                <w:sz w:val="6"/>
                <w:szCs w:val="6"/>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vMerge w:val="continue"/>
          </w:tcPr>
          <w:p>
            <w:pPr>
              <w:spacing w:after="0"/>
              <w:rPr>
                <w:sz w:val="6"/>
                <w:szCs w:val="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comprehensive loss</w:t>
            </w:r>
          </w:p>
        </w:tc>
        <w:tc>
          <w:tcPr>
            <w:tcW w:w="14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0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Settlement of liability-classified restricted stock units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April 30, 2020</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2,401.3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20"/>
        </w:trPr>
        <w:tc>
          <w:tcPr>
            <w:tcW w:w="462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40" w:hanging="412"/>
        <w:spacing w:after="0" w:line="257"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three months ended April 30, 2020, Autodesk repurchased 1.2 million shares at an average repurchase price of $153.41 per share. At April 30, 2020, 13.5 million shares remained available for repurchase under the repurchase program approved by the Board of Directors.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for the three months ended April 30, 2019,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Common stock and additional paid-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4"/>
                <w:szCs w:val="14"/>
                <w:b w:val="1"/>
                <w:bCs w:val="1"/>
                <w:color w:val="auto"/>
                <w:w w:val="95"/>
              </w:rPr>
              <w:t>in capital</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580" w:type="dxa"/>
            <w:vAlign w:val="bottom"/>
          </w:tcPr>
          <w:p>
            <w:pPr>
              <w:spacing w:after="0"/>
              <w:rPr>
                <w:sz w:val="6"/>
                <w:szCs w:val="6"/>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vMerge w:val="continue"/>
          </w:tcPr>
          <w:p>
            <w:pPr>
              <w:spacing w:after="0"/>
              <w:rPr>
                <w:sz w:val="6"/>
                <w:szCs w:val="6"/>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comprehensive loss</w:t>
            </w:r>
          </w:p>
        </w:tc>
        <w:tc>
          <w:tcPr>
            <w:tcW w:w="14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Post combination expense related to assumed equity</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2019</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17.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Sale Debt</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Pre-tax (gains)losses reclassified from accumulated 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6"/>
                <w:szCs w:val="16"/>
                <w:color w:val="auto"/>
              </w:rPr>
              <w:t>Balances, April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(Loss) Per Share</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excluding stock options and restricted stock units. Diluted net income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(loss) per share amounts: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4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8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Denominator for basic net income (loss) per share—weighted average shares</w:t>
            </w:r>
          </w:p>
        </w:tc>
        <w:tc>
          <w:tcPr>
            <w:tcW w:w="3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40" w:type="dxa"/>
            <w:vAlign w:val="bottom"/>
          </w:tcPr>
          <w:p>
            <w:pPr>
              <w:ind w:left="380"/>
              <w:spacing w:after="0"/>
              <w:rPr>
                <w:sz w:val="20"/>
                <w:szCs w:val="20"/>
                <w:color w:val="auto"/>
              </w:rPr>
            </w:pPr>
            <w:r>
              <w:rPr>
                <w:rFonts w:ascii="Arial" w:cs="Arial" w:eastAsia="Arial" w:hAnsi="Arial"/>
                <w:sz w:val="16"/>
                <w:szCs w:val="16"/>
                <w:color w:val="auto"/>
              </w:rPr>
              <w:t>Denominator for dilutive net income (loss) per share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(loss) per share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40" w:type="dxa"/>
            <w:vAlign w:val="bottom"/>
            <w:vMerge w:val="continue"/>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120" w:hanging="412"/>
        <w:spacing w:after="0" w:line="26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 of dilutive securities of 2.3 million shares in the three months ended April 30, 2019, has been excluded from the calculation of diluted net loss per share as those shares would have been anti-dilutive due to the net loss incurred in that period.</w:t>
      </w:r>
    </w:p>
    <w:p>
      <w:pPr>
        <w:spacing w:after="0" w:line="151"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computation of diluted net income (loss) per share does not include shares that are anti-dilutive under the treasury stock method because their exercise prices are higher than the average market value of Autodesk’s stock during the periods. For the three months ended April 30, 2020 and 2019, there were no potentially anti-dilutive shares excluded from the computation of diluted net income (loss) per share.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19. Segments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100330</wp:posOffset>
            </wp:positionV>
            <wp:extent cx="20485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9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180" w:type="dxa"/>
            <w:vAlign w:val="bottom"/>
          </w:tcPr>
          <w:p>
            <w:pPr>
              <w:spacing w:after="0"/>
              <w:rPr>
                <w:sz w:val="16"/>
                <w:szCs w:val="16"/>
                <w:color w:val="auto"/>
              </w:rPr>
            </w:pPr>
          </w:p>
        </w:tc>
        <w:tc>
          <w:tcPr>
            <w:tcW w:w="1380" w:type="dxa"/>
            <w:vAlign w:val="bottom"/>
          </w:tcPr>
          <w:p>
            <w:pPr>
              <w:jc w:val="right"/>
              <w:ind w:right="180"/>
              <w:spacing w:after="0"/>
              <w:rPr>
                <w:sz w:val="20"/>
                <w:szCs w:val="20"/>
                <w:color w:val="auto"/>
              </w:rPr>
            </w:pPr>
            <w:r>
              <w:rPr>
                <w:rFonts w:ascii="Arial" w:cs="Arial" w:eastAsia="Arial" w:hAnsi="Arial"/>
                <w:sz w:val="14"/>
                <w:szCs w:val="14"/>
                <w:b w:val="1"/>
                <w:bCs w:val="1"/>
                <w:color w:val="auto"/>
                <w:w w:val="98"/>
              </w:rPr>
              <w:t>January 31, 2020</w:t>
            </w:r>
          </w:p>
        </w:tc>
      </w:tr>
      <w:tr>
        <w:trPr>
          <w:trHeight w:val="210"/>
        </w:trPr>
        <w:tc>
          <w:tcPr>
            <w:tcW w:w="794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60"/>
        </w:trPr>
        <w:tc>
          <w:tcPr>
            <w:tcW w:w="7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Americas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940" w:type="dxa"/>
            <w:vAlign w:val="bottom"/>
          </w:tcPr>
          <w:p>
            <w:pPr>
              <w:ind w:left="72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434.2</w:t>
            </w:r>
          </w:p>
        </w:tc>
      </w:tr>
      <w:tr>
        <w:trPr>
          <w:trHeight w:val="33"/>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r>
      <w:tr>
        <w:trPr>
          <w:trHeight w:val="217"/>
        </w:trPr>
        <w:tc>
          <w:tcPr>
            <w:tcW w:w="7940" w:type="dxa"/>
            <w:vAlign w:val="bottom"/>
          </w:tcPr>
          <w:p>
            <w:pPr>
              <w:ind w:left="380"/>
              <w:spacing w:after="0"/>
              <w:rPr>
                <w:sz w:val="20"/>
                <w:szCs w:val="20"/>
                <w:color w:val="auto"/>
              </w:rPr>
            </w:pPr>
            <w:r>
              <w:rPr>
                <w:rFonts w:ascii="Arial" w:cs="Arial" w:eastAsia="Arial" w:hAnsi="Arial"/>
                <w:sz w:val="16"/>
                <w:szCs w:val="16"/>
                <w:color w:val="auto"/>
              </w:rPr>
              <w:t>Total Americas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467.4</w:t>
            </w:r>
          </w:p>
        </w:tc>
      </w:tr>
      <w:tr>
        <w:trPr>
          <w:trHeight w:val="33"/>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r>
      <w:tr>
        <w:trPr>
          <w:trHeight w:val="237"/>
        </w:trPr>
        <w:tc>
          <w:tcPr>
            <w:tcW w:w="79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57.3</w:t>
            </w:r>
          </w:p>
        </w:tc>
      </w:tr>
      <w:tr>
        <w:trPr>
          <w:trHeight w:val="33"/>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long-lived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Months Ended April 30, 2020 and 2019” and in </w:t>
      </w:r>
      <w:r>
        <w:rPr>
          <w:rFonts w:ascii="Arial" w:cs="Arial" w:eastAsia="Arial" w:hAnsi="Arial"/>
          <w:sz w:val="16"/>
          <w:szCs w:val="16"/>
          <w:i w:val="1"/>
          <w:iCs w:val="1"/>
          <w:color w:val="212529"/>
        </w:rPr>
        <w:t>“Results of Operations-Impacts of COVID-19 to Autodesk’s Business.”</w:t>
      </w:r>
      <w:r>
        <w:rPr>
          <w:rFonts w:ascii="Arial" w:cs="Arial" w:eastAsia="Arial" w:hAnsi="Arial"/>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18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18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Product Evolution</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Today, we offer subscriptions for individual products and Industry Collections,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8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subscription plans currently represent a hybrid of desktop software and cloud functionality, which provides a device-independent, collaborative design workflow for designers and their stakeholders. Our cloud offerings, for example, BIM 360, Shotgun, AutoCAD web app and AutoCAD mobile app, provide tools, including mobile and collaboration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76"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46"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discontinued the sale of new commercial licenses of most individual software products in fiscal 2016. Additionally, in fiscal 2018,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offerings as of May 7, 2021. Customers will have a one-year period starting May 7, 2020, to convert a maintenance seat to subscription plan offerings.</w:t>
      </w:r>
    </w:p>
    <w:p>
      <w:pPr>
        <w:spacing w:after="0" w:line="176"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To support our strategic priority of re-imagining construction, in fiscal 2019, we strengthened the foundation of our construction solutions with both organic and inorganic investments. In addition to investing in our BIM 360 portfolio, we acquired Assemble Systems for quantity take off functionality, PlanGrid for document-centric workflows and field execution, and BuildingConnected for bidding and estimation processes. The broadened product portfolio, the Autodesk Construction Cloud, has helped us expand our presence with sub-contractors, trades people, and building owners.</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part of our manufacturing strategy, we continue to attract both global manufacturing leaders and disruptive startups with our generative design and our Fusion 360 technology enhancements.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6" w:name="page27"/>
    <w:bookmarkEnd w:id="26"/>
    <w:p>
      <w:pPr>
        <w:ind w:right="16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We evaluate growth of billings and remaining performance obligations in determining business momentum. To analyze progress, we have disaggregated our growth between the original maintenance model and the subscription plan model. Maintenance plan subscriptions peaked in the fourth quarter of fiscal 2016 as we discontinued selling new maintenance plan subscriptions in fiscal 2017, and we expect the number of these subscriptions to keep declining over time as maintenance plan customers continue to convert to our subscription plans. We will be retiring maintenance offerings as of May 7, 2021. Customers will have a one-year period starting May 7, 2020 to convert a maintenance seat to subscription plan offerings.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Global Reach</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3, "Revenue Recognition" in the Notes to the Condensed Consolidated Financial Statements for further detail on the results of our indirect and direct channel sales for the three months ending April 30, 2020 and 2019.</w:t>
      </w:r>
    </w:p>
    <w:p>
      <w:pPr>
        <w:spacing w:after="0" w:line="18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17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Better World</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To help our customers imagine, design, and make a better world, our sustainability initiatives focus our efforts on the areas where we can have the greatest positive impact: products and support, catalyzing impact and innovation in our future markets, and leading by example with our 100% renewable and sustainable business practices. Through our products and services, we are supporting our customers to better understand and improve the environmental performance of everything they make and mitigate the causes and effects of climate change.</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73" w:right="33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color w:val="auto"/>
        </w:rPr>
        <w:t>discounted software donation program to nonprofit organizations, social and environmental entrepreneurs, and others who are developing design solutions that will shape a more sustainable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Assumptions Behind Our Strategy</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Note 1, “Business and Summary of Significant Accounting Policies,” in the Notes to Consolidated Financial Statements in our Form 10-K for the fiscal year ended January 31, 2020.</w:t>
      </w:r>
    </w:p>
    <w:p>
      <w:pPr>
        <w:spacing w:after="0" w:line="19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April 30, 2020, as compared to those disclosed in our Form 10-K for the fiscal year ended January 31, 2020. We believe these policies are the most critical to aid in fully understanding and evaluating our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2020</w:t>
      </w:r>
    </w:p>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net revenue increased 20% to $885.7 million for the three months ended April 30, 2020, compared to the same period in the prior fiscal year.</w:t>
      </w:r>
    </w:p>
    <w:p>
      <w:pPr>
        <w:spacing w:after="0" w:line="86"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Recurring revenue as a percentage of net revenue was 98% for the three months ending April 30, 2020, compared to 96% for the same period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revenue retention rate ("NR3") was within the approximate range of 110% and 120% as of April 30, 2020 and 2019.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revenue was $3.01 billion, with flat growth compared to the fourth quarter in the prior fiscal year.</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Remaining performance obligations (short-term and long-term deferred revenue plus unbilled deferred revenue) ("RPO") was $3.47 billion, a decrease of 2% compared to the fourth quarter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Current remaining performance obligations were $2.35 billion, a decrease of 1% compared to the fourth quarter in the prior fiscal year.</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Net revenue increased during the three months ended April 30, 2020, as compared to the same period in the prior fiscal year, primarily due to a 35% increase in subscription revenue, partially offset by a 45% decrease in maintenance revenue as a result of the program to migrate customers from maintenance plans to subscription plans.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discussion of the drivers of these results, see below under the heading “Results of Operations.”</w:t>
      </w:r>
    </w:p>
    <w:p>
      <w:pPr>
        <w:spacing w:after="0" w:line="22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Total sales to Tech Data accounted for 38% and 35% of our total net revenue for the three months ended April 30, 2020 and 2019, respectively. During both the three months 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t>April 30, 2020 and 2019, Ingram Micro accounted for 10% of Autodesk's total net revenue, respectively.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Net Revenue Retention Rate</w:t>
      </w:r>
    </w:p>
    <w:p>
      <w:pPr>
        <w:spacing w:after="0" w:line="22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In order to help better understand our financial performance, we use metrics such as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months ended April 30, 2020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Change compared 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42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865.0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157.2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707.8</w:t>
            </w: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3"/>
          </w:tcPr>
          <w:p>
            <w:pPr>
              <w:jc w:val="right"/>
              <w:ind w:right="96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9"/>
        </w:trPr>
        <w:tc>
          <w:tcPr>
            <w:tcW w:w="542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7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NR3 was within the approximate range of 110% and 120% as of April 30, 2020 and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Japan, Germany, Finland and the United Kingdom.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84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Three Months Ended April 30, 2020</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Constant Currency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prior fiscal year (1)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 spend</w:t>
            </w: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49"/>
        </w:trPr>
        <w:tc>
          <w:tcPr>
            <w:tcW w:w="64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7" w:right="3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3,007.1</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469.7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549.6</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RPO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3,556.7</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RPO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60" w:type="dxa"/>
            <w:vAlign w:val="bottom"/>
          </w:tcPr>
          <w:p>
            <w:pPr>
              <w:ind w:left="16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2020</w:t>
            </w:r>
          </w:p>
        </w:tc>
        <w:tc>
          <w:tcPr>
            <w:tcW w:w="16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RPO</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2,368.6</w:t>
            </w:r>
          </w:p>
        </w:tc>
      </w:tr>
      <w:tr>
        <w:trPr>
          <w:trHeight w:val="237"/>
        </w:trPr>
        <w:tc>
          <w:tcPr>
            <w:tcW w:w="8160" w:type="dxa"/>
            <w:vAlign w:val="bottom"/>
          </w:tcPr>
          <w:p>
            <w:pPr>
              <w:ind w:left="160"/>
              <w:spacing w:after="0"/>
              <w:rPr>
                <w:sz w:val="20"/>
                <w:szCs w:val="20"/>
                <w:color w:val="auto"/>
              </w:rPr>
            </w:pPr>
            <w:r>
              <w:rPr>
                <w:rFonts w:ascii="Arial" w:cs="Arial" w:eastAsia="Arial" w:hAnsi="Arial"/>
                <w:sz w:val="16"/>
                <w:szCs w:val="16"/>
                <w:color w:val="auto"/>
              </w:rPr>
              <w:t>Non-current RPO</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1,188.1</w:t>
            </w:r>
          </w:p>
        </w:tc>
      </w:tr>
      <w:tr>
        <w:trPr>
          <w:trHeight w:val="33"/>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RPO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3,556.7</w:t>
            </w: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At April 30, 2020, we had $1.47 billion in cash and marketable securities. Our cash flow from operations increased to $327.3 million for the three months ended April 30, 2020, compared to $221.2 million for the three months ended April 30, 2019. We repurchased 1.2 million shares of our common stock for $189.0 million during the three months ended April 30, 2020. Comparatively, we repurchased 0.6 million shares of our common stock for $100.0 million during the three months ended April 30, 2019. See further discussion regarding the balance sheet and cash flow activities under the heading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of COVID-19 to Autodesk’s Business</w:t>
      </w:r>
    </w:p>
    <w:p>
      <w:pPr>
        <w:spacing w:after="0" w:line="225" w:lineRule="exact"/>
        <w:rPr>
          <w:sz w:val="20"/>
          <w:szCs w:val="20"/>
          <w:color w:val="auto"/>
        </w:rPr>
      </w:pPr>
    </w:p>
    <w:p>
      <w:pPr>
        <w:ind w:right="140" w:firstLine="391"/>
        <w:spacing w:after="0" w:line="296" w:lineRule="auto"/>
        <w:rPr>
          <w:sz w:val="20"/>
          <w:szCs w:val="20"/>
          <w:color w:val="auto"/>
        </w:rPr>
      </w:pPr>
      <w:r>
        <w:rPr>
          <w:rFonts w:ascii="Arial" w:cs="Arial" w:eastAsia="Arial" w:hAnsi="Arial"/>
          <w:sz w:val="16"/>
          <w:szCs w:val="16"/>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161" w:lineRule="exact"/>
        <w:rPr>
          <w:sz w:val="20"/>
          <w:szCs w:val="20"/>
          <w:color w:val="auto"/>
        </w:rPr>
      </w:pPr>
    </w:p>
    <w:p>
      <w:pPr>
        <w:ind w:right="140" w:firstLine="391"/>
        <w:spacing w:after="0" w:line="301" w:lineRule="auto"/>
        <w:rPr>
          <w:sz w:val="20"/>
          <w:szCs w:val="20"/>
          <w:color w:val="auto"/>
        </w:rPr>
      </w:pPr>
      <w:r>
        <w:rPr>
          <w:rFonts w:ascii="Arial" w:cs="Arial" w:eastAsia="Arial" w:hAnsi="Arial"/>
          <w:sz w:val="16"/>
          <w:szCs w:val="16"/>
          <w:color w:val="auto"/>
        </w:rPr>
        <w:t>We have noticed that the COVID-19 pandemic has had some specific effects on our business. During the three months ended April 30, 2020, weekly average users of our products decreased slightly, but we saw an increase in usage of our cloud collaboration products as customers worked from home. During the quarter renewal rates held relatively steady, whereas new business slowed in the second half of the quarter. Among our target markets, AEC revenue held up well while we experienced a slowdown in Manufacturing revenue. Our partial renewal rate remained relatively steady as well.</w:t>
      </w:r>
    </w:p>
    <w:p>
      <w:pPr>
        <w:spacing w:after="0" w:line="157" w:lineRule="exact"/>
        <w:rPr>
          <w:sz w:val="20"/>
          <w:szCs w:val="20"/>
          <w:color w:val="auto"/>
        </w:rPr>
      </w:pPr>
    </w:p>
    <w:p>
      <w:pPr>
        <w:ind w:right="20" w:firstLine="391"/>
        <w:spacing w:after="0" w:line="263" w:lineRule="auto"/>
        <w:rPr>
          <w:sz w:val="20"/>
          <w:szCs w:val="20"/>
          <w:color w:val="auto"/>
        </w:rPr>
      </w:pPr>
      <w:r>
        <w:rPr>
          <w:rFonts w:ascii="Arial" w:cs="Arial" w:eastAsia="Arial" w:hAnsi="Arial"/>
          <w:sz w:val="18"/>
          <w:szCs w:val="18"/>
          <w:color w:val="auto"/>
        </w:rPr>
        <w:t>We also took action to support our customers during the three months ended April 30, 2020 by extending payment terms to 60 days through the beginning of August 2020, offering free commercial use of our cloud collaboration products through June 2020, and delaying the transition from multi-user to named user from May 2020 to August 2020 to minimize customer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73" w:right="339" w:bottom="1440" w:gutter="0" w:footer="0" w:header="0"/>
        </w:sectPr>
      </w:pPr>
    </w:p>
    <w:bookmarkStart w:id="30" w:name="page31"/>
    <w:bookmarkEnd w:id="30"/>
    <w:p>
      <w:pPr>
        <w:ind w:right="720"/>
        <w:spacing w:after="0" w:line="277" w:lineRule="auto"/>
        <w:rPr>
          <w:sz w:val="20"/>
          <w:szCs w:val="20"/>
          <w:color w:val="auto"/>
        </w:rPr>
      </w:pPr>
      <w:r>
        <w:rPr>
          <w:rFonts w:ascii="Arial" w:cs="Arial" w:eastAsia="Arial" w:hAnsi="Arial"/>
          <w:sz w:val="18"/>
          <w:szCs w:val="18"/>
          <w:color w:val="auto"/>
        </w:rPr>
        <w:t>disruption. Further, we deferred a 20% maintenance price increase from May 2020 to August 2020 to give customers additional time to consider a subscription agreement.</w:t>
      </w:r>
    </w:p>
    <w:p>
      <w:pPr>
        <w:spacing w:after="0" w:line="170" w:lineRule="exact"/>
        <w:rPr>
          <w:sz w:val="20"/>
          <w:szCs w:val="20"/>
          <w:color w:val="auto"/>
        </w:rPr>
      </w:pPr>
    </w:p>
    <w:p>
      <w:pPr>
        <w:ind w:right="320" w:firstLine="391"/>
        <w:spacing w:after="0" w:line="286" w:lineRule="auto"/>
        <w:rPr>
          <w:sz w:val="20"/>
          <w:szCs w:val="20"/>
          <w:color w:val="auto"/>
        </w:rPr>
      </w:pPr>
      <w:r>
        <w:rPr>
          <w:rFonts w:ascii="Arial" w:cs="Arial" w:eastAsia="Arial" w:hAnsi="Arial"/>
          <w:sz w:val="17"/>
          <w:szCs w:val="17"/>
          <w:color w:val="auto"/>
        </w:rPr>
        <w:t>Given the evolving business environment as a result of COVID-19, we are actively managing our spending, reducing travel and entertainment expense, monitoring our hiring rate, shifting to virtual events, and rationalizing our marketing spend. We will continue to invest in critical areas such as R&amp;D, construction, and digitizing the company to ensure our future success as we come out of the pandemic.</w:t>
      </w:r>
    </w:p>
    <w:p>
      <w:pPr>
        <w:spacing w:after="0" w:line="165" w:lineRule="exact"/>
        <w:rPr>
          <w:sz w:val="20"/>
          <w:szCs w:val="20"/>
          <w:color w:val="auto"/>
        </w:rPr>
      </w:pPr>
    </w:p>
    <w:p>
      <w:pPr>
        <w:ind w:right="200" w:firstLine="391"/>
        <w:spacing w:after="0" w:line="254" w:lineRule="auto"/>
        <w:rPr>
          <w:sz w:val="20"/>
          <w:szCs w:val="20"/>
          <w:color w:val="auto"/>
        </w:rPr>
      </w:pPr>
      <w:r>
        <w:rPr>
          <w:rFonts w:ascii="Arial" w:cs="Arial" w:eastAsia="Arial" w:hAnsi="Arial"/>
          <w:sz w:val="18"/>
          <w:szCs w:val="18"/>
          <w:color w:val="auto"/>
        </w:rPr>
        <w:t>We believe our investment in cloud products and a subscription business model, backed by a strong balance sheet, give us a robust foundation to successfully navigate the economic challenges of COVID-19. The extent of the impact on our business in fiscal 2021 will depend on several factors, including: the full duration and the extent of the pandemic; actions taken by governments, businesses and consumers in response to the pandemic; speed and timing of economic recovery; our billings and renewal rates including new business close rates, rate of multi-year contracts and new unit volume growth; and effect of the pandemic on margins and cash flow. All of these factors continue to evolve and remain uncertain at this time, and some of these factors are not within our control. Further discussion of the potential impacts of COVID-19 on our business can be found in Part II, Item 1A “Risk Factors.”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5"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4"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9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Change Compared to Prior</w:t>
            </w:r>
          </w:p>
        </w:tc>
        <w:tc>
          <w:tcPr>
            <w:tcW w:w="14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9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3"/>
                <w:szCs w:val="13"/>
                <w:color w:val="auto"/>
              </w:rPr>
            </w:pPr>
          </w:p>
        </w:tc>
        <w:tc>
          <w:tcPr>
            <w:tcW w:w="6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3"/>
                <w:szCs w:val="13"/>
                <w:color w:val="auto"/>
              </w:rPr>
            </w:pPr>
          </w:p>
        </w:tc>
        <w:tc>
          <w:tcPr>
            <w:tcW w:w="32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803.0</w:t>
            </w:r>
          </w:p>
        </w:tc>
        <w:tc>
          <w:tcPr>
            <w:tcW w:w="10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207.2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595.8</w:t>
            </w:r>
          </w:p>
        </w:tc>
        <w:tc>
          <w:tcPr>
            <w:tcW w:w="100" w:type="dxa"/>
            <w:vAlign w:val="bottom"/>
          </w:tcPr>
          <w:p>
            <w:pPr>
              <w:spacing w:after="0"/>
              <w:rPr>
                <w:sz w:val="19"/>
                <w:szCs w:val="19"/>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8"/>
              </w:rPr>
              <w:t>Increase due to growth across all subscription</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types, led by product subscription renewal</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2"/>
              </w:rPr>
              <w:t>revenue, which benefited from the success of the</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M2S program. Also contributing to the growth</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was an increase in revenue from new product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primarily due to the migration of</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maintenance plan subscriptions to subscription</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04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157.3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707.8</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150.2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80" w:hanging="412"/>
        <w:spacing w:after="0" w:line="26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Three</w:t>
            </w:r>
          </w:p>
        </w:tc>
        <w:tc>
          <w:tcPr>
            <w:tcW w:w="220" w:type="dxa"/>
            <w:vAlign w:val="bottom"/>
          </w:tcPr>
          <w:p>
            <w:pPr>
              <w:spacing w:after="0"/>
              <w:rPr>
                <w:sz w:val="14"/>
                <w:szCs w:val="14"/>
                <w:color w:val="auto"/>
              </w:rPr>
            </w:pPr>
          </w:p>
        </w:tc>
        <w:tc>
          <w:tcPr>
            <w:tcW w:w="18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3"/>
                <w:szCs w:val="13"/>
                <w:color w:val="auto"/>
              </w:rPr>
            </w:pPr>
          </w:p>
        </w:tc>
        <w:tc>
          <w:tcPr>
            <w:tcW w:w="6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37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6"/>
                <w:szCs w:val="16"/>
                <w:color w:val="auto"/>
              </w:rPr>
            </w:pPr>
          </w:p>
        </w:tc>
        <w:tc>
          <w:tcPr>
            <w:tcW w:w="68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360"/>
              <w:spacing w:after="0"/>
              <w:rPr>
                <w:sz w:val="20"/>
                <w:szCs w:val="20"/>
                <w:color w:val="auto"/>
              </w:rPr>
            </w:pPr>
            <w:r>
              <w:rPr>
                <w:rFonts w:ascii="Arial" w:cs="Arial" w:eastAsia="Arial" w:hAnsi="Arial"/>
                <w:sz w:val="16"/>
                <w:szCs w:val="16"/>
                <w:color w:val="auto"/>
              </w:rPr>
              <w:t>AEC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382.7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78.4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5"/>
              </w:rPr>
              <w:t>Up due to increases in revenue from AEC Collections,</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EBAs, PlanGrid, and BIM 360.</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increases in revenue from both AutoCAD</w:t>
            </w: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220"/>
        </w:trPr>
        <w:tc>
          <w:tcPr>
            <w:tcW w:w="3620" w:type="dxa"/>
            <w:vAlign w:val="bottom"/>
          </w:tcPr>
          <w:p>
            <w:pPr>
              <w:ind w:left="380"/>
              <w:spacing w:after="0"/>
              <w:rPr>
                <w:sz w:val="20"/>
                <w:szCs w:val="20"/>
                <w:color w:val="auto"/>
              </w:rPr>
            </w:pPr>
            <w:r>
              <w:rPr>
                <w:rFonts w:ascii="Arial" w:cs="Arial" w:eastAsia="Arial" w:hAnsi="Arial"/>
                <w:sz w:val="16"/>
                <w:szCs w:val="16"/>
                <w:color w:val="auto"/>
              </w:rPr>
              <w:t>MFG</w:t>
            </w:r>
          </w:p>
        </w:tc>
        <w:tc>
          <w:tcPr>
            <w:tcW w:w="10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15.4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6"/>
              </w:rPr>
              <w:t>Up due to increases in revenue from MFG Collections</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increases in revenue from Maya, EBAs,</w:t>
            </w: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M&amp;E Collections, and 3DS Max.</w:t>
            </w:r>
          </w:p>
        </w:tc>
        <w:tc>
          <w:tcPr>
            <w:tcW w:w="0" w:type="dxa"/>
            <w:vAlign w:val="bottom"/>
          </w:tcPr>
          <w:p>
            <w:pPr>
              <w:spacing w:after="0"/>
              <w:rPr>
                <w:sz w:val="1"/>
                <w:szCs w:val="1"/>
                <w:color w:val="auto"/>
              </w:rPr>
            </w:pPr>
          </w:p>
        </w:tc>
      </w:tr>
      <w:tr>
        <w:trPr>
          <w:trHeight w:val="224"/>
        </w:trPr>
        <w:tc>
          <w:tcPr>
            <w:tcW w:w="362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150.2</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50" w:lineRule="exact"/>
        <w:rPr>
          <w:sz w:val="20"/>
          <w:szCs w:val="20"/>
          <w:color w:val="auto"/>
        </w:rPr>
      </w:pPr>
    </w:p>
    <w:p>
      <w:pPr>
        <w:jc w:val="center"/>
        <w:ind w:right="30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Constant currency data not provided at this level.</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 currency</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prior fiscal year</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1540" w:type="dxa"/>
            <w:vAlign w:val="bottom"/>
            <w:gridSpan w:val="2"/>
            <w:vMerge w:val="continue"/>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62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2020</w:t>
            </w: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-8255</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342900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21%</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249.1</w:t>
            </w:r>
          </w:p>
        </w:tc>
      </w:tr>
      <w:tr>
        <w:trPr>
          <w:trHeight w:val="270"/>
        </w:trPr>
        <w:tc>
          <w:tcPr>
            <w:tcW w:w="5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32%</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22%</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295.8</w:t>
            </w:r>
          </w:p>
        </w:tc>
      </w:tr>
      <w:tr>
        <w:trPr>
          <w:trHeight w:val="270"/>
        </w:trPr>
        <w:tc>
          <w:tcPr>
            <w:tcW w:w="5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16%</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297.2</w:t>
            </w:r>
          </w:p>
        </w:tc>
      </w:tr>
      <w:tr>
        <w:trPr>
          <w:trHeight w:val="270"/>
        </w:trPr>
        <w:tc>
          <w:tcPr>
            <w:tcW w:w="5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25%</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142.5</w:t>
            </w:r>
          </w:p>
        </w:tc>
      </w:tr>
      <w:tr>
        <w:trPr>
          <w:trHeight w:val="33"/>
        </w:trPr>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150.2</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740" w:type="dxa"/>
            <w:vAlign w:val="bottom"/>
          </w:tcPr>
          <w:p>
            <w:pPr>
              <w:jc w:val="right"/>
              <w:ind w:right="639"/>
              <w:spacing w:after="0"/>
              <w:rPr>
                <w:sz w:val="20"/>
                <w:szCs w:val="20"/>
                <w:color w:val="auto"/>
              </w:rPr>
            </w:pPr>
            <w:r>
              <w:rPr>
                <w:rFonts w:ascii="Arial" w:cs="Arial" w:eastAsia="Arial" w:hAnsi="Arial"/>
                <w:sz w:val="16"/>
                <w:szCs w:val="16"/>
                <w:color w:val="auto"/>
              </w:rPr>
              <w:t>27%</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-1049655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-707390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-355600</wp:posOffset>
            </wp:positionV>
            <wp:extent cx="71323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3980" w:space="720"/>
            <w:col w:w="6540"/>
          </w:cols>
          <w:pgMar w:left="320" w:top="557" w:right="339" w:bottom="1440" w:gutter="0" w:footer="0" w:header="0"/>
          <w:type w:val="continuous"/>
        </w:sectPr>
      </w:pPr>
    </w:p>
    <w:p>
      <w:pPr>
        <w:spacing w:after="0" w:line="3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type w:val="continuous"/>
        </w:sectPr>
      </w:pPr>
    </w:p>
    <w:bookmarkStart w:id="32" w:name="page33"/>
    <w:bookmarkEnd w:id="32"/>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Three</w:t>
            </w:r>
          </w:p>
        </w:tc>
        <w:tc>
          <w:tcPr>
            <w:tcW w:w="220" w:type="dxa"/>
            <w:vAlign w:val="bottom"/>
          </w:tcPr>
          <w:p>
            <w:pPr>
              <w:spacing w:after="0"/>
              <w:rPr>
                <w:sz w:val="14"/>
                <w:szCs w:val="14"/>
                <w:color w:val="auto"/>
              </w:rPr>
            </w:pPr>
          </w:p>
        </w:tc>
        <w:tc>
          <w:tcPr>
            <w:tcW w:w="18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4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3"/>
                <w:szCs w:val="13"/>
                <w:color w:val="auto"/>
              </w:rPr>
            </w:pPr>
          </w:p>
        </w:tc>
        <w:tc>
          <w:tcPr>
            <w:tcW w:w="6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37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6"/>
                <w:szCs w:val="16"/>
                <w:color w:val="auto"/>
              </w:rPr>
            </w:pPr>
          </w:p>
        </w:tc>
        <w:tc>
          <w:tcPr>
            <w:tcW w:w="680" w:type="dxa"/>
            <w:vAlign w:val="bottom"/>
          </w:tcPr>
          <w:p>
            <w:pPr>
              <w:jc w:val="center"/>
              <w:ind w:right="2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5"/>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107.0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5"/>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3"/>
              </w:rPr>
              <w:t>Up due to an increase in subscription revenue offset by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2"/>
              </w:rPr>
              <w:t>lower maintenance plan subscriptions as we continue to</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8"/>
              </w:rPr>
              <w:t>migrate customers to subscriptions through the M2S</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262.3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43.2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Up due to an increase in EBAs and our online Autodesk</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branded store.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885.7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150.2</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 Direct material and overhead charges include the cost associated with electronic and physical fulfillment.</w:t>
      </w:r>
    </w:p>
    <w:p>
      <w:pPr>
        <w:spacing w:after="0" w:line="187" w:lineRule="exact"/>
        <w:rPr>
          <w:sz w:val="20"/>
          <w:szCs w:val="20"/>
          <w:color w:val="auto"/>
        </w:rPr>
      </w:pPr>
    </w:p>
    <w:p>
      <w:pPr>
        <w:ind w:right="560" w:firstLine="432"/>
        <w:spacing w:after="0" w:line="263" w:lineRule="auto"/>
        <w:rPr>
          <w:sz w:val="20"/>
          <w:szCs w:val="20"/>
          <w:color w:val="auto"/>
        </w:rPr>
      </w:pPr>
      <w:r>
        <w:rPr>
          <w:rFonts w:ascii="Arial" w:cs="Arial" w:eastAsia="Arial" w:hAnsi="Arial"/>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18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acquisition-related transition costs, and the cost of supplies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5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48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6"/>
                <w:szCs w:val="16"/>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8"/>
              </w:rPr>
              <w:t>Decrease primarily due to a decrease in employee-related costs and</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primarily due to an increase in employee-related costs.</w:t>
            </w: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w w:val="98"/>
              </w:rPr>
              <w:t>Amortization of developed technology</w:t>
            </w:r>
          </w:p>
        </w:tc>
        <w:tc>
          <w:tcPr>
            <w:tcW w:w="10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8"/>
              </w:rPr>
              <w:t>Decrease as previously acquired developed technologies continue to</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become fully amortized.</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341.3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28.0</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2"/>
              </w:rPr>
              <w:t>Increase primarily due to an increase in employee-related costs driven by</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6"/>
              </w:rPr>
              <w:t>higher headcount as well as an increase in stock-based compensation</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expense and cloud hosting costs.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primarily due to an increase in cloud hosting costs and</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employee-related costs driven by higher headcount as well as an increase</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stock-based compensation expense.</w:t>
            </w: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9"/>
              </w:rPr>
              <w:t>Increase primarily due to charitable contributions and cancellation of</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corporate events.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Amortization of purchased intangibles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as previously acquired purchased intangibles continue to</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become fully amortized.</w:t>
            </w:r>
          </w:p>
        </w:tc>
        <w:tc>
          <w:tcPr>
            <w:tcW w:w="0" w:type="dxa"/>
            <w:vAlign w:val="bottom"/>
          </w:tcPr>
          <w:p>
            <w:pPr>
              <w:spacing w:after="0"/>
              <w:rPr>
                <w:sz w:val="1"/>
                <w:szCs w:val="1"/>
                <w:color w:val="auto"/>
              </w:rPr>
            </w:pPr>
          </w:p>
        </w:tc>
      </w:tr>
      <w:tr>
        <w:trPr>
          <w:trHeight w:val="220"/>
        </w:trPr>
        <w:tc>
          <w:tcPr>
            <w:tcW w:w="3020" w:type="dxa"/>
            <w:vAlign w:val="bottom"/>
          </w:tcPr>
          <w:p>
            <w:pPr>
              <w:ind w:left="380"/>
              <w:spacing w:after="0"/>
              <w:rPr>
                <w:sz w:val="20"/>
                <w:szCs w:val="20"/>
                <w:color w:val="auto"/>
              </w:rPr>
            </w:pPr>
            <w:r>
              <w:rPr>
                <w:rFonts w:ascii="Arial" w:cs="Arial" w:eastAsia="Arial" w:hAnsi="Arial"/>
                <w:sz w:val="16"/>
                <w:szCs w:val="16"/>
                <w:color w:val="auto"/>
                <w:w w:val="97"/>
              </w:rPr>
              <w:t>Restructuring and other exit costs, net</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w w:val="90"/>
              </w:rPr>
              <w:t>Decreased as we substantially completed the actions authorized under the</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fiscal 2018 restructuring plan.</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45.2</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628.0</w:t>
            </w:r>
          </w:p>
        </w:tc>
        <w:tc>
          <w:tcPr>
            <w:tcW w:w="1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60"/>
              <w:spacing w:after="0"/>
              <w:rPr>
                <w:sz w:val="20"/>
                <w:szCs w:val="20"/>
                <w:color w:val="auto"/>
              </w:rPr>
            </w:pPr>
            <w:r>
              <w:rPr>
                <w:rFonts w:ascii="Arial" w:cs="Arial" w:eastAsia="Arial" w:hAnsi="Arial"/>
                <w:sz w:val="16"/>
                <w:szCs w:val="16"/>
                <w:color w:val="auto"/>
              </w:rPr>
              <w:t>* Percentage is not meaningful.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second quarter of fiscal 2021, as compared to the second quarter of fiscal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Absolute dollar impact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Decrease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6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98" w:right="339" w:bottom="1440" w:gutter="0" w:footer="0" w:header="0"/>
        </w:sectPr>
      </w:pP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interest and other expense, net:</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on non-marketable equity securities,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774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23"/>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0.7</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698" w:right="339" w:bottom="1440" w:gutter="0" w:footer="0" w:header="0"/>
          <w:type w:val="continuous"/>
        </w:sectPr>
      </w:pPr>
    </w:p>
    <w:p>
      <w:pPr>
        <w:spacing w:after="0" w:line="2"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Interest and Other Expense, Net, increased by $23.9 million during the three months ended April 30, 2020, as compared to the same period in the prior fiscal year. This was primarily due to an increase in negative adjustments, including impairments on our non-marketable equity securities and mark-to-market losses in the current period versus gains in the previous period on marketable securities.</w:t>
      </w:r>
    </w:p>
    <w:p>
      <w:pPr>
        <w:sectPr>
          <w:pgSz w:w="11900" w:h="16838" w:orient="portrait"/>
          <w:cols w:equalWidth="0" w:num="1">
            <w:col w:w="11240"/>
          </w:cols>
          <w:pgMar w:left="320" w:top="698"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698" w:right="339" w:bottom="1440" w:gutter="0" w:footer="0" w:header="0"/>
          <w:type w:val="continuous"/>
        </w:sectPr>
      </w:pPr>
    </w:p>
    <w:bookmarkStart w:id="34" w:name="page35"/>
    <w:bookmarkEnd w:id="34"/>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4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had an income tax expense of $24.0 million, relative to pre-tax income of $90.5 million for the three months ended April 30, 2020, and an income tax expense of $32.8 million, relative to pre-tax income of $8.6 million for the three months ended April 30, 2019. Income tax expense for the three months ended April 30, 2020 decreased primarily primarily due to the jurisdictional mix of earnings, offset by the U.S. full valuation allowance and a reduction in withholding taxes.</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April 30, 2020.</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anticipates a significant increase in U.S. taxable income in fiscal 2021 due to current year increase in global earnings. We currently forecast the utilization of U.S. deferred tax assets to offset U.S. taxable income resulting from the inclusion of foreign earnings. While increased U.S. taxable income is considered positive evidence, we believe that the cumulative losses should be given more weight and have maintained the valuation allowance on our U.S. deferred tax assets.</w:t>
      </w:r>
    </w:p>
    <w:p>
      <w:pPr>
        <w:spacing w:after="0" w:line="187"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As Autodesk continually strives to optimize the overall business model, tax planning strategies may become feasible and prudent allowing the Company to realize many of the deferred tax assets that are offset by a valuation allowance; therefore, Autodesk will continue to evaluate the ability to utilize the deferred tax assets each quarter, both in the U.S. and in foreign jurisdictions, based on all available evidence, both positive and negative.</w:t>
      </w:r>
    </w:p>
    <w:p>
      <w:pPr>
        <w:spacing w:after="0" w:line="149"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As of April 30, 2020, we had $218.6 million of gross unrecognized tax benefits, of which $201.7 million would reduce our valuation allowance, if recognized. The remaining $16.9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6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We anticipate that the U.S. Department of Treasury will continue to interpret or issue guidance on how provisions of the U.S. Tax Cuts and Jobs Act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4"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176"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On March 27, 2020, the President of the United States signed into law the Coronavirus Aid, Relief and Economic Security Act (the "CARES Act"). The CARES Act, among other things, included certain income tax provisions for individuals and corporations; however, these benefits do not impact the Company's current tax provision due to the U.S. full valuation allowance. In addition to the CARES Act, the California May budget bill proposed suspending utilization of net operating losses and limiting R&amp;D credits utilization against California taxable income in excess of $5.0 million for the succeeding 5 years. If this state tax legislation is enacted, it may have a material impact on the Company's income tax provision. In response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773" w:right="359" w:bottom="144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7"/>
          <w:szCs w:val="17"/>
          <w:color w:val="auto"/>
        </w:rPr>
        <w:t>to the impact of COVID-19, certain governmental agencies have provided employer wage and retirement subsidies or employment tax deferrals. Where Autodesk has availed to such subsidies or deferrals, we have accounted for the tax impact in our income tax provision. As of the first quarter of fiscal 2021, the Company continues to be able to reliably estimate forecasted earnings and tax by jurisdiction for the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months ended April 30, 2020 and 2019, our gross profit, gross margin, income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 April 30,</w:t>
            </w:r>
          </w:p>
        </w:tc>
      </w:tr>
      <w:tr>
        <w:trPr>
          <w:trHeight w:val="263"/>
        </w:trPr>
        <w:tc>
          <w:tcPr>
            <w:tcW w:w="83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96"/>
        </w:trPr>
        <w:tc>
          <w:tcPr>
            <w:tcW w:w="8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7"/>
                <w:szCs w:val="17"/>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803.8</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652.8</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816.5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666.9</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130.6</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24.8</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247.8</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131.9</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66.5</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188.4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99.0</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income (loss) per share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0.30</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0.85</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0.45</w:t>
            </w:r>
          </w:p>
        </w:tc>
      </w:tr>
      <w:tr>
        <w:trPr>
          <w:trHeight w:val="33"/>
        </w:trPr>
        <w:tc>
          <w:tcPr>
            <w:tcW w:w="8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weighted average shares used in computing diluted net income (loss) per share</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221.3</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219.6</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Non-GAAP weighted average shares used in computing diluted net income (loss) per share</w:t>
            </w:r>
          </w:p>
        </w:tc>
        <w:tc>
          <w:tcPr>
            <w:tcW w:w="840" w:type="dxa"/>
            <w:vAlign w:val="bottom"/>
          </w:tcPr>
          <w:p>
            <w:pPr>
              <w:spacing w:after="0"/>
              <w:rPr>
                <w:sz w:val="20"/>
                <w:szCs w:val="20"/>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221.3</w:t>
            </w:r>
          </w:p>
        </w:tc>
        <w:tc>
          <w:tcPr>
            <w:tcW w:w="500" w:type="dxa"/>
            <w:vAlign w:val="bottom"/>
          </w:tcPr>
          <w:p>
            <w:pPr>
              <w:spacing w:after="0"/>
              <w:rPr>
                <w:sz w:val="20"/>
                <w:szCs w:val="20"/>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222.0</w:t>
            </w:r>
          </w:p>
        </w:tc>
      </w:tr>
    </w:tbl>
    <w:p>
      <w:pPr>
        <w:spacing w:after="0" w:line="235"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 (1)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strategic investments and dispositions,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benefit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income</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34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190"/>
        </w:trPr>
        <w:tc>
          <w:tcPr>
            <w:tcW w:w="320" w:type="dxa"/>
            <w:vAlign w:val="bottom"/>
          </w:tcPr>
          <w:p>
            <w:pPr>
              <w:spacing w:after="0"/>
              <w:rPr>
                <w:sz w:val="16"/>
                <w:szCs w:val="16"/>
                <w:color w:val="auto"/>
              </w:rPr>
            </w:pPr>
          </w:p>
        </w:tc>
        <w:tc>
          <w:tcPr>
            <w:tcW w:w="1620" w:type="dxa"/>
            <w:vAlign w:val="bottom"/>
            <w:gridSpan w:val="3"/>
          </w:tcPr>
          <w:p>
            <w:pPr>
              <w:ind w:left="76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6"/>
                <w:szCs w:val="16"/>
                <w:color w:val="auto"/>
              </w:rPr>
            </w:pPr>
          </w:p>
        </w:tc>
      </w:tr>
      <w:tr>
        <w:trPr>
          <w:trHeight w:val="249"/>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803.8</w:t>
            </w:r>
          </w:p>
        </w:tc>
        <w:tc>
          <w:tcPr>
            <w:tcW w:w="100" w:type="dxa"/>
            <w:vAlign w:val="bottom"/>
          </w:tcPr>
          <w:p>
            <w:pPr>
              <w:spacing w:after="0"/>
              <w:rPr>
                <w:sz w:val="21"/>
                <w:szCs w:val="21"/>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652.8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816.5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666.9</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75.2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12.7</w:t>
            </w:r>
          </w:p>
        </w:tc>
      </w:tr>
      <w:tr>
        <w:trPr>
          <w:trHeight w:val="270"/>
        </w:trPr>
        <w:tc>
          <w:tcPr>
            <w:tcW w:w="3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131.9</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320" w:type="dxa"/>
            <w:vAlign w:val="bottom"/>
          </w:tcPr>
          <w:p>
            <w:pPr>
              <w:spacing w:after="0"/>
              <w:rPr>
                <w:sz w:val="23"/>
                <w:szCs w:val="23"/>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4"/>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75.2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12.7</w:t>
            </w:r>
          </w:p>
        </w:tc>
      </w:tr>
      <w:tr>
        <w:trPr>
          <w:trHeight w:val="270"/>
        </w:trPr>
        <w:tc>
          <w:tcPr>
            <w:tcW w:w="3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13.4</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99.0</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40" w:space="720"/>
            <w:col w:w="2880"/>
          </w:cols>
          <w:pgMar w:left="320" w:top="553"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w:t>
            </w:r>
          </w:p>
        </w:tc>
        <w:tc>
          <w:tcPr>
            <w:tcW w:w="86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Loss on strategic investments and dispositions, net</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per share</w:t>
            </w:r>
          </w:p>
        </w:tc>
        <w:tc>
          <w:tcPr>
            <w:tcW w:w="86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GAAP weighted average shares used in computing diluted net income (loss) per share</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221.3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Dilutive effect of restricted awards</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Non-GAAP weighted average shares used in computing diluted net income (loss) per share</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221.3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33"/>
        </w:trPr>
        <w:tc>
          <w:tcPr>
            <w:tcW w:w="84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 as applicable:</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100" w:firstLine="391"/>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7"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i w:val="1"/>
          <w:iCs w:val="1"/>
          <w:color w:val="auto"/>
        </w:rPr>
        <w:t xml:space="preserve">Acquisition related costs. </w:t>
      </w:r>
      <w:r>
        <w:rPr>
          <w:rFonts w:ascii="Arial" w:cs="Arial" w:eastAsia="Arial" w:hAnsi="Arial"/>
          <w:sz w:val="18"/>
          <w:szCs w:val="18"/>
          <w:color w:val="auto"/>
        </w:rPr>
        <w:t>We exclude certain acquisition related costs, including due diligence costs, professional fees in connection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8" w:right="339" w:bottom="1440" w:gutter="0" w:footer="0" w:header="0"/>
        </w:sectPr>
      </w:pPr>
    </w:p>
    <w:bookmarkStart w:id="38" w:name="page39"/>
    <w:bookmarkEnd w:id="38"/>
    <w:p>
      <w:pPr>
        <w:ind w:right="560"/>
        <w:spacing w:after="0" w:line="277" w:lineRule="auto"/>
        <w:rPr>
          <w:sz w:val="20"/>
          <w:szCs w:val="20"/>
          <w:color w:val="auto"/>
        </w:rPr>
      </w:pPr>
      <w:r>
        <w:rPr>
          <w:rFonts w:ascii="Arial" w:cs="Arial" w:eastAsia="Arial" w:hAnsi="Arial"/>
          <w:sz w:val="18"/>
          <w:szCs w:val="18"/>
          <w:color w:val="auto"/>
        </w:rPr>
        <w:t>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18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Loss (gain) on strategic investments and dispositions. </w:t>
      </w:r>
      <w:r>
        <w:rPr>
          <w:rFonts w:ascii="Arial" w:cs="Arial" w:eastAsia="Arial" w:hAnsi="Arial"/>
          <w:sz w:val="17"/>
          <w:szCs w:val="17"/>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7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Discrete tax provision items. </w:t>
      </w:r>
      <w:r>
        <w:rPr>
          <w:rFonts w:ascii="Arial" w:cs="Arial" w:eastAsia="Arial" w:hAnsi="Arial"/>
          <w:sz w:val="18"/>
          <w:szCs w:val="18"/>
          <w:color w:val="auto"/>
        </w:rPr>
        <w:t>We exclude the GAAP tax provision, including discrete items, from the non-GAAP measure of net (loss)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9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This is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1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repay existing debt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April 30, 2020, our principal sources of liquidity were cash, cash equivalents and marketable securities totaling $1.47 billion and net accounts receivable of $356.5 million.</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April 30, 2020, Autodesk had no outstanding borrowings on this line of credit. As of June 2, 2020, we have no amounts outstanding under the credit facility. See Part I, Item 1, Note 13, "Borrowing Arrangements," in the Notes to Condensed Consolidated Financial Statements for further discussion on our covenant requirements. If we are unable to remain in compliance with the covenants under the Credit Agreement, we will not be able to draw on our credit facility.</w:t>
      </w:r>
    </w:p>
    <w:p>
      <w:pPr>
        <w:spacing w:after="0" w:line="19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April 30, 2020, we have $1.65 billion aggregate principal amount of notes outstanding. See Part I, Item 1, Note 13, "Borrowing Arrangements," in the Notes to Condensed Consolidated Financial Statements for further discussion.</w:t>
      </w:r>
    </w:p>
    <w:p>
      <w:pPr>
        <w:spacing w:after="0" w:line="170"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557" w:right="359" w:bottom="1440" w:gutter="0" w:footer="0" w:header="0"/>
        </w:sectPr>
      </w:pPr>
    </w:p>
    <w:bookmarkStart w:id="39" w:name="page40"/>
    <w:bookmarkEnd w:id="39"/>
    <w:p>
      <w:pPr>
        <w:ind w:right="360" w:firstLine="405"/>
        <w:spacing w:after="0" w:line="263"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April 30, 2020, approximately 46%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6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Additionally, as a result of the COVID-19 pandemic, we have extended contract payment terms for up to 60 days for all customers and partners for new orders and renewals placed directly with Autodesk beginning March 16, 2020 through August 7, 2020. We currently expect to have sufficient liquidity to manage through the COVID-19 pandemic but we will continue to monitor the impact of potential disruptions beyond our control. However, based on our current business plan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w:t>
      </w:r>
    </w:p>
    <w:p>
      <w:pPr>
        <w:spacing w:after="0" w:line="195"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221.2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r>
      <w:tr>
        <w:trPr>
          <w:trHeight w:val="33"/>
        </w:trPr>
        <w:tc>
          <w:tcPr>
            <w:tcW w:w="8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Net cash provided by operating activities of $327.3 million for the three months ended April 30, 2020, was primarily impacted by non-cash stock-based compensation expense, a source of working capital primarily from a decrease in accounts receivable from January 31, 2020, to April 30, 2020 partially offset by a use of working capital from a decrease in accounts payable and other liabilities and our net income. Net cash provided by operating activities of $221.2 million for the three months ended April 30, 2019, includes $147.8 million of non-cash expenses, including stock-based compensation expense, depreciation, amortization and accretion expense, and an increase in changes in operating assets and liabilities of $97.6 million partially offset by our net loss of $24.2 million.</w:t>
      </w:r>
    </w:p>
    <w:p>
      <w:pPr>
        <w:spacing w:after="0" w:line="192"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Net cash used in investing activities was $78.0 million for the three months ended April 30, 2020, primarily due to purchases of non-marketable equity securities, capital expenditures and purchases of marketable securities. Net cash used in investing activities for the three months ended April 30, 2019, was primarily due to purchases of marketable securities and capital expenditures.</w:t>
      </w:r>
    </w:p>
    <w:p>
      <w:pPr>
        <w:spacing w:after="0" w:line="184"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At April 30, 2020, our short-term investment portfolio had an estimated fair value of $77.2 million and a cost basis of $73.1 million. The portfolio fair value primarily consists of short-term trading securities that were invested in a defined set of mutual funds as directed by the participants in our Deferred Compensation Plan (see Note 11, “Deferred Compensation,” in the Notes to the Condensed Consolidated Financial Statements for further discussion).</w:t>
      </w:r>
    </w:p>
    <w:p>
      <w:pPr>
        <w:spacing w:after="0" w:line="149"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Net cash used in financing activities was $630.2 million for the three months ended April 30, 2020, primary due to the repayment of debt and the repurchases of common stock. These cash outflows were offset in part by cash proceeds from the issuance of common stock. Net cash used in financing activities was $192.4 for the three months ended April 30, 2019, and was primary due to the repayment of debt and the repurchases of common stock. These cash outflows were offset in part by cash proceeds from the issuance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three months ended April 30,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Plans or Programs (1)</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29</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181.59</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153.34</w:t>
            </w:r>
          </w:p>
        </w:tc>
        <w:tc>
          <w:tcPr>
            <w:tcW w:w="120" w:type="dxa"/>
            <w:vAlign w:val="bottom"/>
          </w:tcPr>
          <w:p>
            <w:pPr>
              <w:spacing w:after="0"/>
              <w:rPr>
                <w:sz w:val="20"/>
                <w:szCs w:val="20"/>
                <w:color w:val="auto"/>
              </w:rPr>
            </w:pPr>
          </w:p>
        </w:tc>
        <w:tc>
          <w:tcPr>
            <w:tcW w:w="212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2220" w:type="dxa"/>
            <w:vAlign w:val="bottom"/>
            <w:gridSpan w:val="2"/>
          </w:tcPr>
          <w:p>
            <w:pPr>
              <w:jc w:val="right"/>
              <w:ind w:right="28"/>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139.76</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2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153.41</w:t>
            </w:r>
          </w:p>
        </w:tc>
        <w:tc>
          <w:tcPr>
            <w:tcW w:w="120" w:type="dxa"/>
            <w:vAlign w:val="bottom"/>
          </w:tcPr>
          <w:p>
            <w:pPr>
              <w:spacing w:after="0"/>
              <w:rPr>
                <w:sz w:val="21"/>
                <w:szCs w:val="21"/>
                <w:color w:val="auto"/>
              </w:rPr>
            </w:pPr>
          </w:p>
        </w:tc>
        <w:tc>
          <w:tcPr>
            <w:tcW w:w="21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jc w:val="both"/>
        <w:ind w:left="420" w:right="80" w:hanging="412"/>
        <w:spacing w:after="0" w:line="328"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16, “Stockholders' Deficit,” in the Notes to the unaudited Condensed Consolidated Financial Statements for further discussion.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2020,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 xml:space="preserve">Cloud Service Offerings: </w:t>
      </w:r>
      <w:r>
        <w:rPr>
          <w:rFonts w:ascii="Arial" w:cs="Arial" w:eastAsia="Arial" w:hAnsi="Arial"/>
          <w:sz w:val="16"/>
          <w:szCs w:val="16"/>
          <w:color w:val="auto"/>
        </w:rPr>
        <w:t>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Constant Currency (CC) Growth Rates: </w:t>
      </w:r>
      <w:r>
        <w:rPr>
          <w:rFonts w:ascii="Arial" w:cs="Arial" w:eastAsia="Arial" w:hAnsi="Arial"/>
          <w:sz w:val="17"/>
          <w:szCs w:val="17"/>
          <w:color w:val="auto"/>
        </w:rPr>
        <w:t>We attempt to represent the changes in the underlying business operations by eliminating fluctuations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to a broad pool of Autodesk</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over a defined contract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69" w:right="339" w:bottom="1440" w:gutter="0" w:footer="0" w:header="0"/>
        </w:sectPr>
      </w:pPr>
    </w:p>
    <w:bookmarkStart w:id="41" w:name="page42"/>
    <w:bookmarkEnd w:id="41"/>
    <w:p>
      <w:pPr>
        <w:ind w:right="80"/>
        <w:spacing w:after="0" w:line="259" w:lineRule="auto"/>
        <w:rPr>
          <w:sz w:val="20"/>
          <w:szCs w:val="20"/>
          <w:color w:val="auto"/>
        </w:rPr>
      </w:pPr>
      <w:r>
        <w:rPr>
          <w:rFonts w:ascii="Arial" w:cs="Arial" w:eastAsia="Arial" w:hAnsi="Arial"/>
          <w:sz w:val="18"/>
          <w:szCs w:val="18"/>
          <w:i w:val="1"/>
          <w:iCs w:val="1"/>
          <w:color w:val="auto"/>
        </w:rPr>
        <w:t xml:space="preserve">Maintenance Plan: </w:t>
      </w:r>
      <w:r>
        <w:rPr>
          <w:rFonts w:ascii="Arial" w:cs="Arial" w:eastAsia="Arial" w:hAnsi="Arial"/>
          <w:sz w:val="18"/>
          <w:szCs w:val="18"/>
          <w:color w:val="auto"/>
        </w:rPr>
        <w:t>Our maintenance plans provide our customers with a cost effective and predictable budgetary option to obtain the productivity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Revenue Retention Rate (NR3): </w:t>
      </w:r>
      <w:r>
        <w:rPr>
          <w:rFonts w:ascii="Arial" w:cs="Arial" w:eastAsia="Arial" w:hAnsi="Arial"/>
          <w:sz w:val="16"/>
          <w:szCs w:val="16"/>
          <w:color w:val="auto"/>
        </w:rPr>
        <w:t>Measures the year-over-year change in subscription and maintenance revenue for the population of customers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existed 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 Beginning with the first quarter of fiscal 2021, Autodesk modified its definition of NR3 to the definition above. The effect of this change is not material for the period presented.</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Consists of revenue from consulting, training and other services, and is recognized over time as the services are performed.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also includes software license revenue from the sale of products that do not incorporate substantial cloud services and is recognized up front.</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the most flexible, cost-effective way to access and manage 3D design, engineering, and entertainment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1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Remaining Performance Obligations (RPO): </w:t>
      </w:r>
      <w:r>
        <w:rPr>
          <w:rFonts w:ascii="Arial" w:cs="Arial" w:eastAsia="Arial" w:hAnsi="Arial"/>
          <w:sz w:val="18"/>
          <w:szCs w:val="18"/>
          <w:color w:val="auto"/>
        </w:rPr>
        <w:t>The sum of total short-term, long-term, and unbilled deferred revenue. Current remaining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is the amount of revenue we expect to recognize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color w:val="auto"/>
        </w:rPr>
        <w:t>: The sum of cost of revenue and operating expenses.</w:t>
      </w:r>
    </w:p>
    <w:p>
      <w:pPr>
        <w:spacing w:after="0" w:line="225"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i w:val="1"/>
          <w:iCs w:val="1"/>
          <w:color w:val="auto"/>
        </w:rPr>
        <w:t xml:space="preserve">Subscription Plan: </w:t>
      </w:r>
      <w:r>
        <w:rPr>
          <w:rFonts w:ascii="Arial" w:cs="Arial" w:eastAsia="Arial" w:hAnsi="Arial"/>
          <w:sz w:val="16"/>
          <w:szCs w:val="16"/>
          <w:color w:val="auto"/>
        </w:rPr>
        <w:t>Comprises our term-based product subscriptions, cloud service offerings, and EBAs. Subscriptions represent a combined hybrid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subscription fees from product subscriptions, cloud service offerings, and EBAs.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Unbilled Deferred Revenue: </w:t>
      </w:r>
      <w:r>
        <w:rPr>
          <w:rFonts w:ascii="Arial" w:cs="Arial" w:eastAsia="Arial" w:hAnsi="Arial"/>
          <w:sz w:val="18"/>
          <w:szCs w:val="18"/>
          <w:color w:val="auto"/>
        </w:rPr>
        <w:t>Unbilled deferred revenue represents contractually stated or committed orders under early renewal and multi-year billing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557" w:right="35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0" w:firstLine="432"/>
        <w:spacing w:after="0" w:line="270"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2020, and January 31, 2020, we had open cash flow and balance sheet hedge contracts with future settlements generally within one to twelve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$1.11 billion and $1.72 billion at April 30, 2020, and January 31, 2020, respectively.</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2020, indicated that a hypothetical 10% appreciation of the U.S. dollar from its value at April 30, 2020, and January 31, 2020, would increase the fair value of our foreign currency contracts by $104.5 million and $158.8 million, respectively. A hypothetical 10% depreciation of the dollar from its value at April 30, 2020, and January 31, 2020, would decrease the fair value of our foreign currency contracts by $59.0 million and $119.2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longer-term securities. At April 30, 2020, we had $801.5 million of cash equivalents and marketable securities, including $77.2 million classified as short-term marketable securities. If interest rates were to move up or down by 50 or 100 basis points over a twelve-month period, the market value change of our marketable securities would not have a material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3" w:right="339" w:bottom="1440" w:gutter="0" w:footer="0" w:header="0"/>
        </w:sectPr>
      </w:pPr>
    </w:p>
    <w:bookmarkStart w:id="43" w:name="page44"/>
    <w:bookmarkEnd w:id="43"/>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3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three months ended April 30, 2020,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557"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40" w:firstLine="391"/>
        <w:spacing w:after="0" w:line="286"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For example, the recent Coronavirus disease (COVID-19) pandemic has caused additional uncertainty in the global economy, and an economic downturn or recession in the United States or in other countries around the world may occur or may have already occurred and continue. The extent to which COVID-19 may impact our financial condition or results of operations is currently uncertain and will depend on developments such as the impact on our customers, vendors, distributors and resellers, and well as other factors, including: the full duration and the extent of the pandemic; actions taken by governments, businesses and consumers in response to the pandemic; speed and timing of economic recovery; our billings and renewal rates including new business close rates, rate of multi-year contracts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180" w:firstLine="391"/>
        <w:spacing w:after="0" w:line="255" w:lineRule="auto"/>
        <w:rPr>
          <w:sz w:val="20"/>
          <w:szCs w:val="20"/>
          <w:color w:val="auto"/>
        </w:rPr>
      </w:pPr>
      <w:r>
        <w:rPr>
          <w:rFonts w:ascii="Arial" w:cs="Arial" w:eastAsia="Arial" w:hAnsi="Arial"/>
          <w:sz w:val="18"/>
          <w:szCs w:val="18"/>
          <w:color w:val="212529"/>
        </w:rPr>
        <w:t xml:space="preserve">As described elsewhere in this Risk Factors section, we are dependent on international revenue and operations and are subject to related risks of conducting business globally. </w:t>
      </w:r>
      <w:r>
        <w:rPr>
          <w:rFonts w:ascii="Arial" w:cs="Arial" w:eastAsia="Arial" w:hAnsi="Arial"/>
          <w:sz w:val="18"/>
          <w:szCs w:val="18"/>
          <w:color w:val="000000"/>
        </w:rPr>
        <w:t>Geopolitical trends toward nationalism and protectionism and the weakening or dissolution of international trade pacts may</w:t>
      </w:r>
      <w:r>
        <w:rPr>
          <w:rFonts w:ascii="Arial" w:cs="Arial" w:eastAsia="Arial" w:hAnsi="Arial"/>
          <w:sz w:val="18"/>
          <w:szCs w:val="18"/>
          <w:color w:val="212529"/>
        </w:rPr>
        <w:t xml:space="preserve"> </w:t>
      </w:r>
      <w:r>
        <w:rPr>
          <w:rFonts w:ascii="Arial" w:cs="Arial" w:eastAsia="Arial" w:hAnsi="Arial"/>
          <w:sz w:val="18"/>
          <w:szCs w:val="18"/>
          <w:color w:val="000000"/>
        </w:rPr>
        <w:t>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92" w:lineRule="exact"/>
        <w:rPr>
          <w:sz w:val="20"/>
          <w:szCs w:val="20"/>
          <w:color w:val="auto"/>
        </w:rPr>
      </w:pPr>
    </w:p>
    <w:p>
      <w:pPr>
        <w:ind w:right="340" w:firstLine="391"/>
        <w:spacing w:after="0" w:line="311" w:lineRule="auto"/>
        <w:rPr>
          <w:sz w:val="20"/>
          <w:szCs w:val="20"/>
          <w:color w:val="auto"/>
        </w:rPr>
      </w:pPr>
      <w:r>
        <w:rPr>
          <w:rFonts w:ascii="Arial" w:cs="Arial" w:eastAsia="Arial" w:hAnsi="Arial"/>
          <w:sz w:val="16"/>
          <w:szCs w:val="16"/>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over 30 years ago, the software industry has undergone a transition from developing and selling perpetual licenses and on-premises products to subscriptions and cloud 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For example, in fiscal 2021, we are transitioning multi-subscription plans to named user plans. It is uncertain whether these strategies, including our product and pricing changes,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6"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6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The effect of the novel coronavirus COVID-19 on Autodesk’s business is currently unknown but it may adversely affect our business and results of operations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It is not clear what the potential effects any such alterations or modifications may have on our business, including the effects on our customers and prospects, or on our financial results.</w:t>
      </w:r>
    </w:p>
    <w:p>
      <w:pPr>
        <w:spacing w:after="0" w:line="195" w:lineRule="exact"/>
        <w:rPr>
          <w:sz w:val="20"/>
          <w:szCs w:val="20"/>
          <w:color w:val="auto"/>
        </w:rPr>
      </w:pPr>
    </w:p>
    <w:p>
      <w:pPr>
        <w:ind w:right="20" w:firstLine="391"/>
        <w:spacing w:after="0" w:line="272" w:lineRule="auto"/>
        <w:rPr>
          <w:sz w:val="20"/>
          <w:szCs w:val="20"/>
          <w:color w:val="auto"/>
        </w:rPr>
      </w:pPr>
      <w:r>
        <w:rPr>
          <w:rFonts w:ascii="Arial" w:cs="Arial" w:eastAsia="Arial" w:hAnsi="Arial"/>
          <w:sz w:val="17"/>
          <w:szCs w:val="17"/>
          <w:color w:val="auto"/>
        </w:rPr>
        <w:t>In particular, if we are not able to retain current customers and attract new business, including multi-year contracts, or if customer renewal rates decline or fluctuate, it could have a material adverse effect upon our business and results of operations. To support our customers, during the three months ended April 30, 2020, among other things, we extended payment terms to 60 days through the beginning of August 2020, offered free commercial use of our cloud collaboration products through June 2020, delayed the transition from multi-user to named user from May to August 2020 to minimize disruption and deferred a 20% maintenance price increase from May to August 2020. These actions are affecting our cash flow, and if these actions as well as our other sales and marketing activities are not successful in retaining current customers and in closing new business, they could have a material adverse effect upon our business and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57" w:right="339" w:bottom="1440" w:gutter="0" w:footer="0" w:header="0"/>
        </w:sectPr>
      </w:pPr>
    </w:p>
    <w:bookmarkStart w:id="46" w:name="page47"/>
    <w:bookmarkEnd w:id="46"/>
    <w:p>
      <w:pPr>
        <w:ind w:right="20" w:firstLine="648"/>
        <w:spacing w:after="0" w:line="301" w:lineRule="auto"/>
        <w:rPr>
          <w:sz w:val="20"/>
          <w:szCs w:val="20"/>
          <w:color w:val="auto"/>
        </w:rPr>
      </w:pPr>
      <w:r>
        <w:rPr>
          <w:rFonts w:ascii="Arial" w:cs="Arial" w:eastAsia="Arial" w:hAnsi="Arial"/>
          <w:sz w:val="16"/>
          <w:szCs w:val="16"/>
          <w:color w:val="auto"/>
        </w:rPr>
        <w:t>Given the evolving business environment as a result of COVID-19, we are actively managing our spending, reducing travel and entertainment expense, monitoring our hiring rate, shifting to virtual events, and rationalizing our marketing spend. We will continue to invest in critical areas such as R&amp;D, construction, and digitizing the company to ensure our future success as we come out of the pandemic. If we are not able to successfully manage our spending and investment it could have a material adverse effect on our cash balances, business and results of operations.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80" w:firstLine="391"/>
        <w:spacing w:after="0" w:line="275" w:lineRule="auto"/>
        <w:rPr>
          <w:sz w:val="20"/>
          <w:szCs w:val="20"/>
          <w:color w:val="auto"/>
        </w:rPr>
      </w:pPr>
      <w:r>
        <w:rPr>
          <w:rFonts w:ascii="Arial" w:cs="Arial" w:eastAsia="Arial" w:hAnsi="Arial"/>
          <w:sz w:val="17"/>
          <w:szCs w:val="17"/>
          <w:color w:val="auto"/>
        </w:rPr>
        <w:t>We regularly acquire or invest in businesses, software solutions and technologies that are complementary to our business through acquisitions, strategic alliances or equity or debt investments.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impact on relationships with existing customers, vendors, and distributors as business partners as a result of acquiring another business.</w:t>
      </w:r>
    </w:p>
    <w:p>
      <w:pPr>
        <w:spacing w:after="0" w:line="170"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4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66% of our net revenue for both the three months ended April 30, 2020 and 2019.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64" w:lineRule="exact"/>
        <w:rPr>
          <w:sz w:val="20"/>
          <w:szCs w:val="20"/>
          <w:color w:val="auto"/>
        </w:rPr>
      </w:pPr>
    </w:p>
    <w:p>
      <w:pPr>
        <w:jc w:val="both"/>
        <w:ind w:right="880" w:firstLine="405"/>
        <w:spacing w:after="0" w:line="342"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557" w:right="37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fluctuating currency exchange rates, including devaluations, currency controls and inflation, and risks related to any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 and the complexities of tax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120" w:hanging="88"/>
        <w:spacing w:after="0" w:line="500" w:lineRule="auto"/>
        <w:tabs>
          <w:tab w:leader="none" w:pos="6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 and pandemics, such as COVID-19. Some of our business partners also have international operations and are subject to the risks described above.</w:t>
      </w:r>
    </w:p>
    <w:p>
      <w:pPr>
        <w:spacing w:after="0" w:line="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"Brexit" vote has exacerbated and may further exacerbate many of the risks and uncertainties described above. The United Kingdom officially left the European Union pursuant to Brexit on January 31, 2020, with a transitional period set to end on December 31, 2020. The withdrawal of the United Kingdom from the European Union could, among other potential outcomes, adversely affect the tax, tax treaty, banking, operational, legal and regulatory regimes to which our businesses in the region are subject.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While the United Kingdom left the European Union as of January 31, 2020, it has until December 31, 2020, to negotiate a new trade agreement addressing customs and trade matters. Further, uncertainty around these and related issues could lead to adverse effects on the United Kingdom economy, the European Union economies, and the other economies in which we operate.</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773" w:right="439" w:bottom="1440" w:gutter="0" w:footer="0" w:header="0"/>
        </w:sectPr>
      </w:pPr>
    </w:p>
    <w:bookmarkStart w:id="48" w:name="page49"/>
    <w:bookmarkEnd w:id="48"/>
    <w:p>
      <w:pPr>
        <w:ind w:right="140" w:firstLine="486"/>
        <w:spacing w:after="0" w:line="272" w:lineRule="auto"/>
        <w:rPr>
          <w:sz w:val="20"/>
          <w:szCs w:val="20"/>
          <w:color w:val="auto"/>
        </w:rPr>
      </w:pPr>
      <w:r>
        <w:rPr>
          <w:rFonts w:ascii="Arial" w:cs="Arial" w:eastAsia="Arial" w:hAnsi="Arial"/>
          <w:sz w:val="17"/>
          <w:szCs w:val="17"/>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37"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impossible for us to entirely eliminate these risks.</w:t>
      </w:r>
    </w:p>
    <w:p>
      <w:pPr>
        <w:spacing w:after="0" w:line="13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55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4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GDPR. We have self-certified under the EU-U.S. Privacy Shield program and make use of model contractual clauses approved by the European Commission in relation to the transfer of personal data from the European Union to the United States. The Privacy Shield and the European Commission’s model contractual clauses are currently the subject of legal challenges in the European Union, however, and it is unclear whether these will serve as appropriate means for us to transfer personal data from the European Union to the United States. We have also self-certified to the Swiss-U.S. Privacy Shield program in relation to the transfer of personal data from Switzerland to the United States. This Privacy Shield program also may no longer be valid due to possible legal challenges. Additionally, in June 2016, the United Kingdom voted to leave the European Union, which could also lead to further legislative and regulatory changes with regard to personal data. The United 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4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The CCPA was amended in September 2018 and November 2019, and modifications were proposed in February 2020. It is unclear whether further modifications will be made to this law. Additionally, in October 2019, the California Department of Justice published a notice of proposed rulemaking action with respect to draft regulations to implement the CCPA. We cannot yet predict the impact of the CCPA on our business or operations, but it may require us to modify our data processing practices and policies and to incur substantial costs and expenses in to comply.</w:t>
      </w:r>
    </w:p>
    <w:p>
      <w:pPr>
        <w:spacing w:after="0" w:line="154" w:lineRule="exact"/>
        <w:rPr>
          <w:sz w:val="20"/>
          <w:szCs w:val="20"/>
          <w:color w:val="auto"/>
        </w:rPr>
      </w:pPr>
    </w:p>
    <w:p>
      <w:pPr>
        <w:ind w:right="100" w:firstLine="391"/>
        <w:spacing w:after="0" w:line="273" w:lineRule="auto"/>
        <w:rPr>
          <w:sz w:val="20"/>
          <w:szCs w:val="20"/>
          <w:color w:val="auto"/>
        </w:rPr>
      </w:pPr>
      <w:r>
        <w:rPr>
          <w:rFonts w:ascii="Arial" w:cs="Arial" w:eastAsia="Arial" w:hAnsi="Arial"/>
          <w:sz w:val="17"/>
          <w:szCs w:val="17"/>
          <w:color w:val="auto"/>
        </w:rPr>
        <w:t xml:space="preserve">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w:t>
      </w:r>
      <w:r>
        <w:rPr>
          <w:rFonts w:ascii="Arial" w:cs="Arial" w:eastAsia="Arial" w:hAnsi="Arial"/>
          <w:sz w:val="17"/>
          <w:szCs w:val="17"/>
          <w:color w:val="212529"/>
        </w:rPr>
        <w:t>or regulations, or related contractual or other obligations, or any perceived privacy rights violation, could lead to investigations,</w:t>
      </w:r>
      <w:r>
        <w:rPr>
          <w:rFonts w:ascii="Arial" w:cs="Arial" w:eastAsia="Arial" w:hAnsi="Arial"/>
          <w:sz w:val="17"/>
          <w:szCs w:val="17"/>
          <w:color w:val="auto"/>
        </w:rPr>
        <w:t xml:space="preserve"> </w:t>
      </w:r>
      <w:r>
        <w:rPr>
          <w:rFonts w:ascii="Arial" w:cs="Arial" w:eastAsia="Arial" w:hAnsi="Arial"/>
          <w:sz w:val="17"/>
          <w:szCs w:val="17"/>
          <w:color w:val="212529"/>
        </w:rPr>
        <w:t>claims, and proceedings by governmental entities and private parties, damages for contract breach, and other significant costs, penalties, and other liabilities, as well as harm to our reputation and market position</w:t>
      </w:r>
      <w:r>
        <w:rPr>
          <w:rFonts w:ascii="Arial" w:cs="Arial" w:eastAsia="Arial" w:hAnsi="Arial"/>
          <w:sz w:val="17"/>
          <w:szCs w:val="17"/>
          <w:color w:val="000000"/>
        </w:rPr>
        <w:t>.</w:t>
      </w:r>
    </w:p>
    <w:p>
      <w:pPr>
        <w:spacing w:after="0" w:line="137" w:lineRule="exact"/>
        <w:rPr>
          <w:sz w:val="20"/>
          <w:szCs w:val="20"/>
          <w:color w:val="auto"/>
        </w:rPr>
      </w:pPr>
    </w:p>
    <w:p>
      <w:pPr>
        <w:ind w:right="140" w:firstLine="391"/>
        <w:spacing w:after="0" w:line="275"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773" w:right="35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performance could be negatively impacted.</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4" w:lineRule="exact"/>
        <w:rPr>
          <w:sz w:val="20"/>
          <w:szCs w:val="20"/>
          <w:color w:val="auto"/>
        </w:rPr>
      </w:pPr>
    </w:p>
    <w:p>
      <w:pPr>
        <w:ind w:right="320" w:firstLine="391"/>
        <w:spacing w:after="0" w:line="301"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7" w:lineRule="exact"/>
        <w:rPr>
          <w:sz w:val="20"/>
          <w:szCs w:val="20"/>
          <w:color w:val="auto"/>
        </w:rPr>
      </w:pPr>
    </w:p>
    <w:p>
      <w:pPr>
        <w:ind w:right="160" w:firstLine="391"/>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40" w:firstLine="391"/>
        <w:spacing w:after="0" w:line="257" w:lineRule="auto"/>
        <w:rPr>
          <w:sz w:val="20"/>
          <w:szCs w:val="20"/>
          <w:color w:val="auto"/>
        </w:rPr>
      </w:pPr>
      <w:r>
        <w:rPr>
          <w:rFonts w:ascii="Arial" w:cs="Arial" w:eastAsia="Arial" w:hAnsi="Arial"/>
          <w:sz w:val="18"/>
          <w:szCs w:val="18"/>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400" w:firstLine="391"/>
        <w:spacing w:after="0" w:line="301"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 xml:space="preserve">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w:t>
      </w:r>
      <w:r>
        <w:rPr>
          <w:rFonts w:ascii="Arial" w:cs="Arial" w:eastAsia="Arial" w:hAnsi="Arial"/>
          <w:sz w:val="17"/>
          <w:szCs w:val="17"/>
          <w:color w:val="212529"/>
        </w:rPr>
        <w:t>subscriptions and cloud-enabled technologies</w:t>
      </w:r>
      <w:r>
        <w:rPr>
          <w:rFonts w:ascii="Arial" w:cs="Arial" w:eastAsia="Arial" w:hAnsi="Arial"/>
          <w:sz w:val="17"/>
          <w:szCs w:val="17"/>
          <w:color w:val="auto"/>
        </w:rPr>
        <w:t>.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Brexit may contribute to volatility in foreign exchange markets with respect to the British Pound and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557" w:right="339" w:bottom="1440" w:gutter="0" w:footer="0" w:header="0"/>
        </w:sectPr>
      </w:pPr>
    </w:p>
    <w:bookmarkStart w:id="52" w:name="page53"/>
    <w:bookmarkEnd w:id="52"/>
    <w:p>
      <w:pPr>
        <w:ind w:right="340"/>
        <w:spacing w:after="0" w:line="263"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both the three months ended April 30, 2020 and 2019, approximately 70% and 70%,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We rely significantly upon major distributors and resellers in both the U.S. and international regions, including the distributors Tech Data and Ingram Micro. Tech Data accounted for 38% and 35% of our total net revenue for three months ended April 30, 2020 and 2019, respectively, and Ingram Micro accounted for 10% of our total net revenue for both three months ended April 30, 2020 and 2019.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disruption with its business, or if our relationship with either of them were to significantly deteriorate, it is possible that our ability to sell to end users would be, at least temporarily, negatively impacted. This could in turn negatively impact our financial results. </w:t>
      </w:r>
      <w:r>
        <w:rPr>
          <w:rFonts w:ascii="Arial" w:cs="Arial" w:eastAsia="Arial" w:hAnsi="Arial"/>
          <w:sz w:val="16"/>
          <w:szCs w:val="16"/>
          <w:color w:val="212529"/>
        </w:rPr>
        <w:t>For example, on</w:t>
      </w:r>
      <w:r>
        <w:rPr>
          <w:rFonts w:ascii="Arial" w:cs="Arial" w:eastAsia="Arial" w:hAnsi="Arial"/>
          <w:sz w:val="16"/>
          <w:szCs w:val="16"/>
          <w:color w:val="auto"/>
        </w:rPr>
        <w:t xml:space="preserve"> </w:t>
      </w:r>
      <w:r>
        <w:rPr>
          <w:rFonts w:ascii="Arial" w:cs="Arial" w:eastAsia="Arial" w:hAnsi="Arial"/>
          <w:sz w:val="16"/>
          <w:szCs w:val="16"/>
          <w:color w:val="212529"/>
        </w:rPr>
        <w:t>November 13, 2019, Tech Data announced that it had entered into a definitive agreement to be acquired by an affiliate of funds managed by affiliates of Apollo Global Management, a global alternative investment manager. The transaction is not subject to a financing condition and is expected to close in the first half of calendar year 2020, subject to the satisfaction of customary closing conditions. The transaction has been approved by Tech Data stockholders but has not yet closed. If there is any uncertainty resulting from the transaction between Tech Data and Apollo with the resellers and end users who currently purchase our products through Tech Data, our ability to sell to these resellers and end users could be, at least temporarily, negatively impacted.</w:t>
      </w:r>
    </w:p>
    <w:p>
      <w:pPr>
        <w:spacing w:after="0" w:line="174" w:lineRule="exact"/>
        <w:rPr>
          <w:sz w:val="20"/>
          <w:szCs w:val="20"/>
          <w:color w:val="auto"/>
        </w:rPr>
      </w:pPr>
    </w:p>
    <w:p>
      <w:pPr>
        <w:ind w:right="20" w:firstLine="391"/>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key metrics and other operating metrics to fluctuate include:</w:t>
      </w:r>
    </w:p>
    <w:p>
      <w:pPr>
        <w:spacing w:after="0" w:line="171"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Europe, APAC, and emerging economies, including from an economic downturn or recession in the United States or in other countries around the world;</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produce sufficient revenue, billings, subscription, profitability and cash flow growth, including as a result of the current COVID-19 pandemic;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3" w:name="page54"/>
    <w:bookmarkEnd w:id="53"/>
    <w:p>
      <w:pPr>
        <w:ind w:left="328" w:right="20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governments around the world to adopt fiscal policies, meet their financial and debt obligations, and to finance infrastructure projects;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tax or accounting rules and regulations, such as increased use of fair value measures;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ectPr>
          <w:pgSz w:w="11900" w:h="16838" w:orient="portrait"/>
          <w:cols w:equalWidth="0" w:num="1">
            <w:col w:w="10868"/>
          </w:cols>
          <w:pgMar w:left="652" w:top="557"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868"/>
          </w:cols>
          <w:pgMar w:left="652" w:top="557" w:right="379" w:bottom="1440" w:gutter="0" w:footer="0" w:header="0"/>
          <w:type w:val="continuous"/>
        </w:sectPr>
      </w:pPr>
    </w:p>
    <w:bookmarkStart w:id="54" w:name="page55"/>
    <w:bookmarkEnd w:id="54"/>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situations, such as pandemics and epidemics, including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120" w:firstLine="391"/>
        <w:spacing w:after="0" w:line="263"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4"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three months ending April 30, 2020 and 2019, combined revenue from our AutoCAD and AutoCAD LT family products, not including collections having AutoCAD or AutoCAD LT as a component, represented 30% and 29% of our total net revenue,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right="40" w:firstLine="391"/>
        <w:spacing w:after="0" w:line="259" w:lineRule="auto"/>
        <w:rPr>
          <w:sz w:val="20"/>
          <w:szCs w:val="20"/>
          <w:color w:val="auto"/>
        </w:rPr>
      </w:pPr>
      <w:r>
        <w:rPr>
          <w:rFonts w:ascii="Arial" w:cs="Arial" w:eastAsia="Arial" w:hAnsi="Arial"/>
          <w:sz w:val="18"/>
          <w:szCs w:val="18"/>
          <w:color w:val="auto"/>
        </w:rPr>
        <w:t>We have $1.6 billion of debt, consisting of notes due at various times from December 2022 to January 2030, as described in Part 2, Item 8. We also entered into a credit agreement that provides for an unsecured revolving loan facility in the aggregate principal amount of $650.0 million, with an option to be increased up to $1.0 billion, as described in Part 2, Item 8. Maintenance of our indebtedness, contractual restrictions, and additional issuances of indebtedness could:</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right="4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2, Item 8 and any outstanding indebtedness under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557" w:right="359" w:bottom="1440" w:gutter="0" w:footer="0" w:header="0"/>
        </w:sectPr>
      </w:pPr>
    </w:p>
    <w:bookmarkStart w:id="55" w:name="page56"/>
    <w:bookmarkEnd w:id="55"/>
    <w:p>
      <w:pPr>
        <w:ind w:right="200"/>
        <w:spacing w:after="0" w:line="259" w:lineRule="auto"/>
        <w:rPr>
          <w:sz w:val="20"/>
          <w:szCs w:val="20"/>
          <w:color w:val="auto"/>
        </w:rPr>
      </w:pPr>
      <w:r>
        <w:rPr>
          <w:rFonts w:ascii="Arial" w:cs="Arial" w:eastAsia="Arial" w:hAnsi="Arial"/>
          <w:sz w:val="18"/>
          <w:szCs w:val="18"/>
          <w:color w:val="auto"/>
        </w:rPr>
        <w:t>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 Furthermore, our means of protecting our proprietary rights may not be adequate.</w:t>
      </w:r>
    </w:p>
    <w:p>
      <w:pPr>
        <w:spacing w:after="0" w:line="1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and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4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Many of our products are designed to include software licensed from third parties. Such third-party software includes software licensed from commercial suppliers and software licensed under public open source licenses. We have internal processes to manage our use of such third-party software. However, if we fail to adequately manage our use of third-party software, then we may be subject to copyright infringement or other third-party claims. If we are non-compliant with a license for commercial software, then we may be required to pay penalties or undergo costly audits pursuant to the license agreement. In the case of open-source software licensed under certain “copyleft” licenses, the license itself may require, or a court-imposed remedy for non-compliant use of the open source software may require, that proprietary portions of our own software be publicly disclosed or licensed. This could result in a loss of intellectual property rights, increased costs, damage to our reputation and/or a loss of revenue.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557" w:right="359" w:bottom="1440" w:gutter="0" w:footer="0" w:header="0"/>
        </w:sectPr>
      </w:pPr>
    </w:p>
    <w:bookmarkStart w:id="56" w:name="page57"/>
    <w:bookmarkEnd w:id="56"/>
    <w:p>
      <w:pPr>
        <w:ind w:right="20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Net revenue, billings, earnings, cash flow or subscriptions shortfalls or the volatility of the market generally may cause the market price of our stock to decline.</w:t>
      </w:r>
    </w:p>
    <w:p>
      <w:pPr>
        <w:spacing w:after="0" w:line="17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6" w:lineRule="exact"/>
        <w:rPr>
          <w:sz w:val="20"/>
          <w:szCs w:val="20"/>
          <w:color w:val="auto"/>
        </w:rPr>
      </w:pPr>
    </w:p>
    <w:p>
      <w:pPr>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shortfalls in our expected financial results, including net revenue, billings, earnings and cash flow or key performance metrics, such as subscriptions, including as a result of the current COVID-19 pandemic, </w:t>
      </w:r>
      <w:r>
        <w:rPr>
          <w:rFonts w:ascii="Arial" w:cs="Arial" w:eastAsia="Arial" w:hAnsi="Arial"/>
          <w:sz w:val="18"/>
          <w:szCs w:val="18"/>
          <w:color w:val="212529"/>
        </w:rPr>
        <w:t>and how those results compare to securities analyst expectations, including</w:t>
      </w:r>
      <w:r>
        <w:rPr>
          <w:rFonts w:ascii="Arial" w:cs="Arial" w:eastAsia="Arial" w:hAnsi="Arial"/>
          <w:sz w:val="18"/>
          <w:szCs w:val="18"/>
          <w:color w:val="auto"/>
        </w:rPr>
        <w:t xml:space="preserve"> </w:t>
      </w:r>
      <w:r>
        <w:rPr>
          <w:rFonts w:ascii="Arial" w:cs="Arial" w:eastAsia="Arial" w:hAnsi="Arial"/>
          <w:sz w:val="18"/>
          <w:szCs w:val="18"/>
          <w:color w:val="212529"/>
        </w:rPr>
        <w:t>whether those results fail to meet, exceed, or significantly exceed securities analyst expectations</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including from an economic downturn or recession in the United States or in other countries around the world;</w:t>
      </w:r>
    </w:p>
    <w:p>
      <w:pPr>
        <w:spacing w:after="0" w:line="170" w:lineRule="exact"/>
        <w:rPr>
          <w:rFonts w:ascii="Arial" w:cs="Arial" w:eastAsia="Arial" w:hAnsi="Arial"/>
          <w:sz w:val="18"/>
          <w:szCs w:val="18"/>
          <w:color w:val="auto"/>
        </w:rPr>
      </w:pPr>
    </w:p>
    <w:p>
      <w:pPr>
        <w:ind w:left="660" w:right="104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212529"/>
        </w:rPr>
        <w:t xml:space="preserve">changes in forward-looking estimates of future results, how those estimates compare to securities analyst expectations, </w:t>
      </w:r>
      <w:r>
        <w:rPr>
          <w:rFonts w:ascii="Arial" w:cs="Arial" w:eastAsia="Arial" w:hAnsi="Arial"/>
          <w:sz w:val="16"/>
          <w:szCs w:val="16"/>
          <w:color w:val="000000"/>
        </w:rPr>
        <w:t>or changes in</w:t>
      </w:r>
      <w:r>
        <w:rPr>
          <w:rFonts w:ascii="Arial" w:cs="Arial" w:eastAsia="Arial" w:hAnsi="Arial"/>
          <w:sz w:val="16"/>
          <w:szCs w:val="16"/>
          <w:color w:val="212529"/>
        </w:rPr>
        <w:t xml:space="preserve"> </w:t>
      </w:r>
      <w:r>
        <w:rPr>
          <w:rFonts w:ascii="Arial" w:cs="Arial" w:eastAsia="Arial" w:hAnsi="Arial"/>
          <w:sz w:val="16"/>
          <w:szCs w:val="16"/>
          <w:color w:val="000000"/>
        </w:rPr>
        <w:t>recommendations or confusion on the part of analysts and investors about the short-term and long-term impact to our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77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and sales personnel, could make it difficult to meet key objectives, such as timely and effective product introductions and financial goals.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4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92"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6"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("Tax Act"), which impacted our tax obligations and effective tax rate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557" w:right="37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18"/>
          <w:szCs w:val="18"/>
          <w:color w:val="auto"/>
        </w:rPr>
        <w:t>beginning in our fiscal 2018 tax year and significant tax legislation was included in the March 2020 CARES Act.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impact to our results of operations from both the Tax Act and the CARES Act, including for our prior tax years.</w:t>
      </w:r>
    </w:p>
    <w:p>
      <w:pPr>
        <w:spacing w:after="0" w:line="18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Increasingly, governmental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in which we have interpreted and historically applied the rules and regulations in our tax returns filed in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way we conduct our business. Further, such changes could potentially affect our reporting of transactions completed before such changes are effective.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557" w:right="339" w:bottom="1440" w:gutter="0" w:footer="0" w:header="0"/>
        </w:sectPr>
      </w:pPr>
    </w:p>
    <w:bookmarkStart w:id="59" w:name="page60"/>
    <w:bookmarkEnd w:id="59"/>
    <w:p>
      <w:pPr>
        <w:ind w:right="100"/>
        <w:spacing w:after="0" w:line="263" w:lineRule="auto"/>
        <w:rPr>
          <w:sz w:val="20"/>
          <w:szCs w:val="20"/>
          <w:color w:val="auto"/>
        </w:rPr>
      </w:pPr>
      <w:r>
        <w:rPr>
          <w:rFonts w:ascii="Arial" w:cs="Arial" w:eastAsia="Arial" w:hAnsi="Arial"/>
          <w:sz w:val="18"/>
          <w:szCs w:val="18"/>
          <w:color w:val="auto"/>
        </w:rPr>
        <w:t>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71"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 or pandemic diseases, or the fear of such events,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have a full valuation allowance against our U.S., Canada and Netherlands deferred tax assets. Changes in the amount of the U.S. and foreign jurisdictions valuation allowance could also result in a material non-cash expense or benefit in the period in which the valuation allowance is adjusted and our results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557" w:right="339" w:bottom="1440" w:gutter="0" w:footer="0" w:header="0"/>
        </w:sectPr>
      </w:pPr>
    </w:p>
    <w:bookmarkStart w:id="60" w:name="page61"/>
    <w:bookmarkEnd w:id="60"/>
    <w:p>
      <w:pPr>
        <w:ind w:right="380"/>
        <w:spacing w:after="0" w:line="277" w:lineRule="auto"/>
        <w:rPr>
          <w:sz w:val="20"/>
          <w:szCs w:val="20"/>
          <w:color w:val="auto"/>
        </w:rPr>
      </w:pPr>
      <w:r>
        <w:rPr>
          <w:rFonts w:ascii="Arial" w:cs="Arial" w:eastAsia="Arial" w:hAnsi="Arial"/>
          <w:sz w:val="18"/>
          <w:szCs w:val="18"/>
          <w:color w:val="auto"/>
        </w:rPr>
        <w:t>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2020.</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557" w:right="339" w:bottom="1440" w:gutter="0" w:footer="0" w:header="0"/>
        </w:sectPr>
      </w:pPr>
    </w:p>
    <w:bookmarkStart w:id="61" w:name="page62"/>
    <w:bookmarkEnd w:id="61"/>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920" w:type="dxa"/>
            <w:vAlign w:val="bottom"/>
            <w:gridSpan w:val="4"/>
          </w:tcPr>
          <w:p>
            <w:pPr>
              <w:ind w:left="2740"/>
              <w:spacing w:after="0"/>
              <w:rPr>
                <w:sz w:val="20"/>
                <w:szCs w:val="20"/>
                <w:color w:val="auto"/>
              </w:rPr>
            </w:pPr>
            <w:r>
              <w:rPr>
                <w:rFonts w:ascii="Arial" w:cs="Arial" w:eastAsia="Arial" w:hAnsi="Arial"/>
                <w:sz w:val="16"/>
                <w:szCs w:val="16"/>
                <w:color w:val="auto"/>
              </w:rPr>
              <w:t>Description</w:t>
            </w:r>
          </w:p>
        </w:tc>
      </w:tr>
      <w:tr>
        <w:trPr>
          <w:trHeight w:val="453"/>
        </w:trPr>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6"/>
                <w:szCs w:val="16"/>
                <w:color w:val="0000FF"/>
                <w:w w:val="94"/>
              </w:rPr>
            </w:pPr>
            <w:hyperlink r:id="rId68">
              <w:r>
                <w:rPr>
                  <w:rFonts w:ascii="Arial" w:cs="Arial" w:eastAsia="Arial" w:hAnsi="Arial"/>
                  <w:sz w:val="16"/>
                  <w:szCs w:val="16"/>
                  <w:color w:val="0000FF"/>
                  <w:w w:val="94"/>
                </w:rPr>
                <w:t>Amended and Restated Bylaws (incorporated by reference to Exhibit 3.1 filed with the Registrant’s Current Report on Form 8-K filed on March 23,</w:t>
              </w:r>
            </w:hyperlink>
          </w:p>
        </w:tc>
      </w:tr>
      <w:tr>
        <w:trPr>
          <w:trHeight w:val="183"/>
        </w:trPr>
        <w:tc>
          <w:tcPr>
            <w:tcW w:w="700" w:type="dxa"/>
            <w:vAlign w:val="bottom"/>
          </w:tcPr>
          <w:p>
            <w:pPr>
              <w:spacing w:after="0" w:line="183" w:lineRule="exact"/>
              <w:rPr>
                <w:sz w:val="20"/>
                <w:szCs w:val="20"/>
                <w:color w:val="auto"/>
              </w:rPr>
            </w:pPr>
            <w:r>
              <w:rPr>
                <w:rFonts w:ascii="Arial" w:cs="Arial" w:eastAsia="Arial" w:hAnsi="Arial"/>
                <w:sz w:val="16"/>
                <w:szCs w:val="16"/>
                <w:color w:val="auto"/>
              </w:rPr>
              <w:t>3.1</w:t>
            </w:r>
          </w:p>
        </w:tc>
        <w:tc>
          <w:tcPr>
            <w:tcW w:w="54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7"/>
              </w:rPr>
            </w:pPr>
            <w:hyperlink r:id="rId68">
              <w:r>
                <w:rPr>
                  <w:rFonts w:ascii="Arial" w:cs="Arial" w:eastAsia="Arial" w:hAnsi="Arial"/>
                  <w:sz w:val="16"/>
                  <w:szCs w:val="16"/>
                  <w:color w:val="0000FF"/>
                  <w:w w:val="87"/>
                </w:rPr>
                <w:t>2020)</w:t>
              </w:r>
            </w:hyperlink>
          </w:p>
        </w:tc>
        <w:tc>
          <w:tcPr>
            <w:tcW w:w="1460" w:type="dxa"/>
            <w:vAlign w:val="bottom"/>
            <w:tcBorders>
              <w:top w:val="single" w:sz="8" w:color="0000FF"/>
            </w:tcBorders>
          </w:tcPr>
          <w:p>
            <w:pPr>
              <w:spacing w:after="0"/>
              <w:rPr>
                <w:sz w:val="15"/>
                <w:szCs w:val="15"/>
                <w:color w:val="auto"/>
              </w:rPr>
            </w:pPr>
          </w:p>
        </w:tc>
        <w:tc>
          <w:tcPr>
            <w:tcW w:w="3140" w:type="dxa"/>
            <w:vAlign w:val="bottom"/>
            <w:tcBorders>
              <w:top w:val="single" w:sz="8" w:color="0000FF"/>
            </w:tcBorders>
          </w:tcPr>
          <w:p>
            <w:pPr>
              <w:spacing w:after="0"/>
              <w:rPr>
                <w:sz w:val="15"/>
                <w:szCs w:val="15"/>
                <w:color w:val="auto"/>
              </w:rPr>
            </w:pPr>
          </w:p>
        </w:tc>
        <w:tc>
          <w:tcPr>
            <w:tcW w:w="45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r>
      <w:tr>
        <w:trPr>
          <w:trHeight w:val="358"/>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60" w:type="dxa"/>
            <w:vAlign w:val="bottom"/>
            <w:tcBorders>
              <w:bottom w:val="single" w:sz="8" w:color="0000FF"/>
            </w:tcBorders>
            <w:gridSpan w:val="6"/>
          </w:tcPr>
          <w:p>
            <w:pPr>
              <w:spacing w:after="0"/>
              <w:rPr>
                <w:rFonts w:ascii="Arial" w:cs="Arial" w:eastAsia="Arial" w:hAnsi="Arial"/>
                <w:sz w:val="16"/>
                <w:szCs w:val="16"/>
                <w:color w:val="0000FF"/>
                <w:w w:val="91"/>
              </w:rPr>
            </w:pPr>
            <w:hyperlink r:id="rId69">
              <w:r>
                <w:rPr>
                  <w:rFonts w:ascii="Arial" w:cs="Arial" w:eastAsia="Arial" w:hAnsi="Arial"/>
                  <w:sz w:val="16"/>
                  <w:szCs w:val="16"/>
                  <w:color w:val="0000FF"/>
                  <w:w w:val="91"/>
                </w:rPr>
                <w:t>Participants, target awards and payout formulas for fiscal year 2021 under the Registrant's Executive Incentive Plan (incorporated by reference to Item</w:t>
              </w:r>
            </w:hyperlink>
          </w:p>
        </w:tc>
      </w:tr>
      <w:tr>
        <w:trPr>
          <w:trHeight w:val="183"/>
        </w:trPr>
        <w:tc>
          <w:tcPr>
            <w:tcW w:w="70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540" w:type="dxa"/>
            <w:vAlign w:val="bottom"/>
          </w:tcPr>
          <w:p>
            <w:pPr>
              <w:spacing w:after="0"/>
              <w:rPr>
                <w:sz w:val="15"/>
                <w:szCs w:val="15"/>
                <w:color w:val="auto"/>
              </w:rPr>
            </w:pPr>
          </w:p>
        </w:tc>
        <w:tc>
          <w:tcPr>
            <w:tcW w:w="9760" w:type="dxa"/>
            <w:vAlign w:val="bottom"/>
            <w:gridSpan w:val="6"/>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5.</w:t>
              </w:r>
              <w:r>
                <w:rPr>
                  <w:rFonts w:ascii="Arial" w:cs="Arial" w:eastAsia="Arial" w:hAnsi="Arial"/>
                  <w:sz w:val="16"/>
                  <w:szCs w:val="16"/>
                  <w:u w:val="single" w:color="auto"/>
                  <w:color w:val="0000FF"/>
                </w:rPr>
                <w:t>02</w:t>
              </w:r>
              <w:r>
                <w:rPr>
                  <w:rFonts w:ascii="Arial" w:cs="Arial" w:eastAsia="Arial" w:hAnsi="Arial"/>
                  <w:sz w:val="16"/>
                  <w:szCs w:val="16"/>
                  <w:color w:val="0000FF"/>
                </w:rPr>
                <w:t xml:space="preserve"> of the Registrant's Current Report on Form 8-K filed on April 15, 2020)</w:t>
              </w:r>
            </w:hyperlink>
          </w:p>
        </w:tc>
      </w:tr>
      <w:tr>
        <w:trPr>
          <w:trHeight w:val="20"/>
        </w:trPr>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93"/>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5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Certification of Chief Executive Officer pursuant to Rule 13a-14(a) of the Securities Exchange Act of 1934</w:t>
              </w:r>
            </w:hyperlink>
          </w:p>
        </w:tc>
      </w:tr>
      <w:tr>
        <w:trPr>
          <w:trHeight w:val="445"/>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Certification of Chief Financial Officer pursuant to Rule 13a-14(a) of the Securities Exchange Act of 1934</w:t>
              </w:r>
            </w:hyperlink>
          </w:p>
        </w:tc>
      </w:tr>
      <w:tr>
        <w:trPr>
          <w:trHeight w:val="398"/>
        </w:trPr>
        <w:tc>
          <w:tcPr>
            <w:tcW w:w="1240" w:type="dxa"/>
            <w:vAlign w:val="bottom"/>
            <w:gridSpan w:val="2"/>
          </w:tcPr>
          <w:p>
            <w:pPr>
              <w:spacing w:after="0"/>
              <w:rPr>
                <w:sz w:val="20"/>
                <w:szCs w:val="20"/>
                <w:color w:val="auto"/>
              </w:rPr>
            </w:pPr>
            <w:r>
              <w:rPr>
                <w:rFonts w:ascii="Arial" w:cs="Arial" w:eastAsia="Arial" w:hAnsi="Arial"/>
                <w:sz w:val="16"/>
                <w:szCs w:val="16"/>
                <w:color w:val="auto"/>
              </w:rPr>
              <w:t>32.1 †</w:t>
            </w:r>
          </w:p>
        </w:tc>
        <w:tc>
          <w:tcPr>
            <w:tcW w:w="9760" w:type="dxa"/>
            <w:vAlign w:val="bottom"/>
            <w:gridSpan w:val="6"/>
          </w:tcPr>
          <w:p>
            <w:pPr>
              <w:spacing w:after="0"/>
              <w:rPr>
                <w:rFonts w:ascii="Arial" w:cs="Arial" w:eastAsia="Arial" w:hAnsi="Arial"/>
                <w:sz w:val="16"/>
                <w:szCs w:val="16"/>
                <w:color w:val="0000FF"/>
                <w:w w:val="95"/>
              </w:rPr>
            </w:pPr>
            <w:hyperlink w:anchor="page66">
              <w:r>
                <w:rPr>
                  <w:rFonts w:ascii="Arial" w:cs="Arial" w:eastAsia="Arial" w:hAnsi="Arial"/>
                  <w:sz w:val="16"/>
                  <w:szCs w:val="16"/>
                  <w:color w:val="0000FF"/>
                  <w:w w:val="95"/>
                </w:rPr>
                <w:t>Certification of Chief Executive Officer and Chief Financial Officer pursuant to 18 U.S.C. Section 1350, as adopted pursuant to Section 906 of the</w:t>
              </w:r>
            </w:hyperlink>
          </w:p>
        </w:tc>
      </w:tr>
      <w:tr>
        <w:trPr>
          <w:trHeight w:val="183"/>
        </w:trPr>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500" w:type="dxa"/>
            <w:vAlign w:val="bottom"/>
            <w:tcBorders>
              <w:top w:val="single" w:sz="8" w:color="0000FF"/>
            </w:tcBorders>
            <w:gridSpan w:val="4"/>
          </w:tcPr>
          <w:p>
            <w:pPr>
              <w:spacing w:after="0" w:line="183" w:lineRule="exact"/>
              <w:rPr>
                <w:rFonts w:ascii="Arial" w:cs="Arial" w:eastAsia="Arial" w:hAnsi="Arial"/>
                <w:sz w:val="16"/>
                <w:szCs w:val="16"/>
                <w:color w:val="0000FF"/>
              </w:rPr>
            </w:pPr>
            <w:hyperlink w:anchor="page66">
              <w:r>
                <w:rPr>
                  <w:rFonts w:ascii="Arial" w:cs="Arial" w:eastAsia="Arial" w:hAnsi="Arial"/>
                  <w:sz w:val="16"/>
                  <w:szCs w:val="16"/>
                  <w:color w:val="0000FF"/>
                </w:rPr>
                <w:t>Sarbanes-Oxley Act of 2002</w:t>
              </w:r>
            </w:hyperlink>
          </w:p>
        </w:tc>
        <w:tc>
          <w:tcPr>
            <w:tcW w:w="26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r>
      <w:tr>
        <w:trPr>
          <w:trHeight w:val="389"/>
        </w:trPr>
        <w:tc>
          <w:tcPr>
            <w:tcW w:w="124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60" w:type="dxa"/>
            <w:vAlign w:val="bottom"/>
            <w:gridSpan w:val="6"/>
          </w:tcPr>
          <w:p>
            <w:pPr>
              <w:spacing w:after="0"/>
              <w:rPr>
                <w:sz w:val="20"/>
                <w:szCs w:val="20"/>
                <w:color w:val="auto"/>
              </w:rPr>
            </w:pPr>
            <w:r>
              <w:rPr>
                <w:rFonts w:ascii="Arial" w:cs="Arial" w:eastAsia="Arial" w:hAnsi="Arial"/>
                <w:sz w:val="16"/>
                <w:szCs w:val="16"/>
                <w:color w:val="auto"/>
                <w:w w:val="92"/>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gridSpan w:val="6"/>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4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4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1"/>
        </w:trPr>
        <w:tc>
          <w:tcPr>
            <w:tcW w:w="124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60" w:type="dxa"/>
            <w:vAlign w:val="bottom"/>
            <w:gridSpan w:val="6"/>
          </w:tcPr>
          <w:p>
            <w:pPr>
              <w:spacing w:after="0"/>
              <w:rPr>
                <w:sz w:val="20"/>
                <w:szCs w:val="20"/>
                <w:color w:val="auto"/>
              </w:rPr>
            </w:pPr>
            <w:r>
              <w:rPr>
                <w:rFonts w:ascii="Arial" w:cs="Arial" w:eastAsia="Arial" w:hAnsi="Arial"/>
                <w:sz w:val="16"/>
                <w:szCs w:val="16"/>
                <w:color w:val="auto"/>
              </w:rPr>
              <w:t>XBRL Taxonomy Definition Linkbase</w:t>
            </w:r>
          </w:p>
        </w:tc>
      </w:tr>
      <w:tr>
        <w:trPr>
          <w:trHeight w:val="391"/>
        </w:trPr>
        <w:tc>
          <w:tcPr>
            <w:tcW w:w="124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4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405"/>
        </w:trPr>
        <w:tc>
          <w:tcPr>
            <w:tcW w:w="1240" w:type="dxa"/>
            <w:vAlign w:val="bottom"/>
            <w:gridSpan w:val="2"/>
          </w:tcPr>
          <w:p>
            <w:pPr>
              <w:spacing w:after="0"/>
              <w:rPr>
                <w:sz w:val="20"/>
                <w:szCs w:val="20"/>
                <w:color w:val="auto"/>
              </w:rPr>
            </w:pPr>
            <w:r>
              <w:rPr>
                <w:rFonts w:ascii="Arial" w:cs="Arial" w:eastAsia="Arial" w:hAnsi="Arial"/>
                <w:sz w:val="16"/>
                <w:szCs w:val="16"/>
                <w:color w:val="auto"/>
              </w:rPr>
              <w:t>104 ††</w:t>
            </w:r>
          </w:p>
        </w:tc>
        <w:tc>
          <w:tcPr>
            <w:tcW w:w="976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74" w:lineRule="exact"/>
        <w:rPr>
          <w:sz w:val="20"/>
          <w:szCs w:val="20"/>
          <w:color w:val="auto"/>
        </w:rPr>
      </w:pPr>
    </w:p>
    <w:p>
      <w:pPr>
        <w:ind w:left="720" w:hanging="685"/>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hanging="685"/>
        <w:spacing w:after="0" w:line="335" w:lineRule="auto"/>
        <w:tabs>
          <w:tab w:leader="none" w:pos="7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62</w:t>
      </w:r>
    </w:p>
    <w:p>
      <w:pPr>
        <w:sectPr>
          <w:pgSz w:w="11900" w:h="16838" w:orient="portrait"/>
          <w:cols w:equalWidth="0" w:num="1">
            <w:col w:w="11200"/>
          </w:cols>
          <w:pgMar w:left="320" w:top="553" w:right="379" w:bottom="1440" w:gutter="0" w:footer="0" w:header="0"/>
        </w:sectPr>
      </w:pPr>
    </w:p>
    <w:bookmarkStart w:id="62" w:name="page63"/>
    <w:bookmarkEnd w:id="6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520"/>
        <w:spacing w:after="0"/>
        <w:rPr>
          <w:sz w:val="20"/>
          <w:szCs w:val="20"/>
          <w:color w:val="auto"/>
        </w:rPr>
      </w:pPr>
      <w:r>
        <w:rPr>
          <w:rFonts w:ascii="Arial" w:cs="Arial" w:eastAsia="Arial" w:hAnsi="Arial"/>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31750</wp:posOffset>
            </wp:positionV>
            <wp:extent cx="3617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48"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Stephen W. Hope</w:t>
      </w:r>
    </w:p>
    <w:p>
      <w:pPr>
        <w:spacing w:after="0" w:line="4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Vice President and Chief Accounting Officer</w:t>
      </w:r>
    </w:p>
    <w:p>
      <w:pPr>
        <w:spacing w:after="0" w:line="4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20"/>
          </w:cols>
          <w:pgMar w:left="320" w:top="553" w:right="8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2020</w:t>
      </w:r>
    </w:p>
    <w:p>
      <w:pPr>
        <w:spacing w:after="0" w:line="252" w:lineRule="exact"/>
        <w:rPr>
          <w:sz w:val="20"/>
          <w:szCs w:val="20"/>
          <w:color w:val="auto"/>
        </w:rPr>
      </w:pPr>
    </w:p>
    <w:p>
      <w:pPr>
        <w:ind w:left="7540"/>
        <w:spacing w:after="0"/>
        <w:tabs>
          <w:tab w:leader="none" w:pos="7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0"/>
          </w:cols>
          <w:pgMar w:left="320" w:top="63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2020</w:t>
      </w:r>
    </w:p>
    <w:p>
      <w:pPr>
        <w:spacing w:after="0" w:line="252"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240"/>
          </w:cols>
          <w:pgMar w:left="320" w:top="63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2, 2020</w:t>
      </w:r>
    </w:p>
    <w:p>
      <w:pPr>
        <w:spacing w:after="0" w:line="252" w:lineRule="exact"/>
        <w:rPr>
          <w:sz w:val="20"/>
          <w:szCs w:val="20"/>
          <w:color w:val="auto"/>
        </w:rPr>
      </w:pPr>
    </w:p>
    <w:p>
      <w:pPr>
        <w:ind w:left="7300"/>
        <w:spacing w:after="0"/>
        <w:tabs>
          <w:tab w:leader="none" w:pos="7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Executive Officer)</w:t>
      </w:r>
    </w:p>
    <w:p>
      <w:pPr>
        <w:spacing w:after="0" w:line="3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2, 2020</w:t>
      </w:r>
    </w:p>
    <w:p>
      <w:pPr>
        <w:spacing w:after="0" w:line="25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8" Type="http://schemas.openxmlformats.org/officeDocument/2006/relationships/hyperlink" Target="http://www.sec.gov/Archives/edgar/data/769397/000119312520082595/d834537dex31.htm" TargetMode="External"/><Relationship Id="rId69" Type="http://schemas.openxmlformats.org/officeDocument/2006/relationships/hyperlink" Target="https://www.sec.gov/Archives/edgar/data/769397/000119312520108139/d90796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2020-06-02T15:09:55Z</dcterms:created>
  <dcterms:modified xsi:type="dcterms:W3CDTF">2020-06-02T15:09:55Z</dcterms:modified>
</cp:coreProperties>
</file>