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-224155</wp:posOffset>
            </wp:positionV>
            <wp:extent cx="2785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right="300" w:hanging="685"/>
        <w:spacing w:after="0" w:line="249"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July 31, 2020</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28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92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520"/>
        </w:trPr>
        <w:tc>
          <w:tcPr>
            <w:tcW w:w="2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40" w:type="dxa"/>
            <w:vAlign w:val="bottom"/>
            <w:gridSpan w:val="3"/>
          </w:tcPr>
          <w:p>
            <w:pPr>
              <w:jc w:val="center"/>
              <w:ind w:right="2780"/>
              <w:spacing w:after="0"/>
              <w:rPr>
                <w:sz w:val="20"/>
                <w:szCs w:val="20"/>
                <w:color w:val="auto"/>
              </w:rPr>
            </w:pPr>
            <w:r>
              <w:rPr>
                <w:rFonts w:ascii="Arial" w:cs="Arial" w:eastAsia="Arial" w:hAnsi="Arial"/>
                <w:sz w:val="43"/>
                <w:szCs w:val="43"/>
                <w:b w:val="1"/>
                <w:bCs w:val="1"/>
                <w:color w:val="auto"/>
              </w:rPr>
              <w:t>AUTODESK, INC.</w:t>
            </w:r>
          </w:p>
        </w:tc>
      </w:tr>
      <w:tr>
        <w:trPr>
          <w:trHeight w:val="186"/>
        </w:trPr>
        <w:tc>
          <w:tcPr>
            <w:tcW w:w="2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40" w:type="dxa"/>
            <w:vAlign w:val="bottom"/>
            <w:gridSpan w:val="3"/>
          </w:tcPr>
          <w:p>
            <w:pPr>
              <w:jc w:val="center"/>
              <w:ind w:right="278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377"/>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60" w:type="dxa"/>
            <w:vAlign w:val="bottom"/>
            <w:gridSpan w:val="2"/>
          </w:tcPr>
          <w:p>
            <w:pPr>
              <w:jc w:val="right"/>
              <w:ind w:right="2380"/>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76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76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1"/>
              </w:rPr>
              <w:t>111 McInnis Parkway,</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70"/>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San Rafael,</w:t>
            </w: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California</w:t>
            </w:r>
          </w:p>
        </w:tc>
        <w:tc>
          <w:tcPr>
            <w:tcW w:w="28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94903</w:t>
            </w:r>
          </w:p>
        </w:tc>
        <w:tc>
          <w:tcPr>
            <w:tcW w:w="2520" w:type="dxa"/>
            <w:vAlign w:val="bottom"/>
          </w:tcPr>
          <w:p>
            <w:pPr>
              <w:spacing w:after="0"/>
              <w:rPr>
                <w:sz w:val="23"/>
                <w:szCs w:val="23"/>
                <w:color w:val="auto"/>
              </w:rPr>
            </w:pPr>
          </w:p>
        </w:tc>
      </w:tr>
      <w:tr>
        <w:trPr>
          <w:trHeight w:val="218"/>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76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25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jc w:val="center"/>
              <w:ind w:left="855"/>
              <w:spacing w:after="0"/>
              <w:rPr>
                <w:sz w:val="20"/>
                <w:szCs w:val="20"/>
                <w:color w:val="auto"/>
              </w:rPr>
            </w:pPr>
            <w:r>
              <w:rPr>
                <w:rFonts w:ascii="Arial" w:cs="Arial" w:eastAsia="Arial" w:hAnsi="Arial"/>
                <w:sz w:val="18"/>
                <w:szCs w:val="18"/>
                <w:b w:val="1"/>
                <w:bCs w:val="1"/>
                <w:color w:val="auto"/>
                <w:w w:val="90"/>
              </w:rPr>
              <w:t>(415) 507-5000</w:t>
            </w:r>
          </w:p>
        </w:tc>
        <w:tc>
          <w:tcPr>
            <w:tcW w:w="1240" w:type="dxa"/>
            <w:vAlign w:val="bottom"/>
          </w:tcPr>
          <w:p>
            <w:pPr>
              <w:spacing w:after="0"/>
              <w:rPr>
                <w:sz w:val="23"/>
                <w:szCs w:val="23"/>
                <w:color w:val="auto"/>
              </w:rPr>
            </w:pPr>
          </w:p>
        </w:tc>
        <w:tc>
          <w:tcPr>
            <w:tcW w:w="2520" w:type="dxa"/>
            <w:vAlign w:val="bottom"/>
          </w:tcPr>
          <w:p>
            <w:pPr>
              <w:spacing w:after="0"/>
              <w:rPr>
                <w:sz w:val="23"/>
                <w:szCs w:val="23"/>
                <w:color w:val="auto"/>
              </w:rPr>
            </w:pPr>
          </w:p>
        </w:tc>
      </w:tr>
      <w:tr>
        <w:trPr>
          <w:trHeight w:val="186"/>
        </w:trPr>
        <w:tc>
          <w:tcPr>
            <w:tcW w:w="2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40" w:type="dxa"/>
            <w:vAlign w:val="bottom"/>
            <w:gridSpan w:val="3"/>
          </w:tcPr>
          <w:p>
            <w:pPr>
              <w:jc w:val="center"/>
              <w:ind w:right="2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255"/>
        </w:trPr>
        <w:tc>
          <w:tcPr>
            <w:tcW w:w="3440" w:type="dxa"/>
            <w:vAlign w:val="bottom"/>
            <w:gridSpan w:val="2"/>
          </w:tcPr>
          <w:p>
            <w:pPr>
              <w:spacing w:after="0"/>
              <w:rPr>
                <w:sz w:val="22"/>
                <w:szCs w:val="22"/>
                <w:color w:val="auto"/>
              </w:rPr>
            </w:pPr>
          </w:p>
        </w:tc>
        <w:tc>
          <w:tcPr>
            <w:tcW w:w="3140" w:type="dxa"/>
            <w:vAlign w:val="bottom"/>
            <w:tcBorders>
              <w:bottom w:val="single" w:sz="8" w:color="auto"/>
            </w:tcBorders>
            <w:gridSpan w:val="2"/>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2520" w:type="dxa"/>
            <w:vAlign w:val="bottom"/>
          </w:tcPr>
          <w:p>
            <w:pPr>
              <w:spacing w:after="0"/>
              <w:rPr>
                <w:sz w:val="22"/>
                <w:szCs w:val="22"/>
                <w:color w:val="auto"/>
              </w:rPr>
            </w:pPr>
          </w:p>
        </w:tc>
      </w:tr>
      <w:tr>
        <w:trPr>
          <w:trHeight w:val="426"/>
        </w:trPr>
        <w:tc>
          <w:tcPr>
            <w:tcW w:w="658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78"/>
        </w:trPr>
        <w:tc>
          <w:tcPr>
            <w:tcW w:w="3700" w:type="dxa"/>
            <w:vAlign w:val="bottom"/>
            <w:gridSpan w:val="3"/>
          </w:tcPr>
          <w:p>
            <w:pPr>
              <w:jc w:val="center"/>
              <w:ind w:left="276"/>
              <w:spacing w:after="0"/>
              <w:rPr>
                <w:sz w:val="20"/>
                <w:szCs w:val="20"/>
                <w:color w:val="auto"/>
              </w:rPr>
            </w:pPr>
            <w:r>
              <w:rPr>
                <w:rFonts w:ascii="Arial" w:cs="Arial" w:eastAsia="Arial" w:hAnsi="Arial"/>
                <w:sz w:val="18"/>
                <w:szCs w:val="18"/>
                <w:b w:val="1"/>
                <w:bCs w:val="1"/>
                <w:color w:val="auto"/>
                <w:w w:val="86"/>
              </w:rPr>
              <w:t>Title of each class</w:t>
            </w:r>
          </w:p>
        </w:tc>
        <w:tc>
          <w:tcPr>
            <w:tcW w:w="2880" w:type="dxa"/>
            <w:vAlign w:val="bottom"/>
          </w:tcPr>
          <w:p>
            <w:pPr>
              <w:jc w:val="center"/>
              <w:ind w:right="15"/>
              <w:spacing w:after="0"/>
              <w:rPr>
                <w:sz w:val="20"/>
                <w:szCs w:val="20"/>
                <w:color w:val="auto"/>
              </w:rPr>
            </w:pPr>
            <w:r>
              <w:rPr>
                <w:rFonts w:ascii="Arial" w:cs="Arial" w:eastAsia="Arial" w:hAnsi="Arial"/>
                <w:sz w:val="18"/>
                <w:szCs w:val="18"/>
                <w:b w:val="1"/>
                <w:bCs w:val="1"/>
                <w:color w:val="auto"/>
                <w:w w:val="91"/>
              </w:rPr>
              <w:t>Trading Symbol(s)</w:t>
            </w:r>
          </w:p>
        </w:tc>
        <w:tc>
          <w:tcPr>
            <w:tcW w:w="3760" w:type="dxa"/>
            <w:vAlign w:val="bottom"/>
            <w:gridSpan w:val="2"/>
          </w:tcPr>
          <w:p>
            <w:pPr>
              <w:jc w:val="center"/>
              <w:ind w:left="338"/>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0"/>
        </w:trPr>
        <w:tc>
          <w:tcPr>
            <w:tcW w:w="3700" w:type="dxa"/>
            <w:vAlign w:val="bottom"/>
            <w:gridSpan w:val="3"/>
          </w:tcPr>
          <w:p>
            <w:pPr>
              <w:jc w:val="center"/>
              <w:ind w:left="276"/>
              <w:spacing w:after="0"/>
              <w:rPr>
                <w:sz w:val="20"/>
                <w:szCs w:val="20"/>
                <w:color w:val="auto"/>
              </w:rPr>
            </w:pPr>
            <w:r>
              <w:rPr>
                <w:rFonts w:ascii="Arial" w:cs="Arial" w:eastAsia="Arial" w:hAnsi="Arial"/>
                <w:sz w:val="18"/>
                <w:szCs w:val="18"/>
                <w:color w:val="auto"/>
                <w:w w:val="89"/>
              </w:rPr>
              <w:t>Common Stock, par value $0.01 per share</w:t>
            </w:r>
          </w:p>
        </w:tc>
        <w:tc>
          <w:tcPr>
            <w:tcW w:w="2880" w:type="dxa"/>
            <w:vAlign w:val="bottom"/>
          </w:tcPr>
          <w:p>
            <w:pPr>
              <w:jc w:val="center"/>
              <w:ind w:right="15"/>
              <w:spacing w:after="0"/>
              <w:rPr>
                <w:sz w:val="20"/>
                <w:szCs w:val="20"/>
                <w:color w:val="auto"/>
              </w:rPr>
            </w:pPr>
            <w:r>
              <w:rPr>
                <w:rFonts w:ascii="Arial" w:cs="Arial" w:eastAsia="Arial" w:hAnsi="Arial"/>
                <w:sz w:val="18"/>
                <w:szCs w:val="18"/>
                <w:color w:val="auto"/>
                <w:w w:val="97"/>
              </w:rPr>
              <w:t>ADSK</w:t>
            </w:r>
          </w:p>
        </w:tc>
        <w:tc>
          <w:tcPr>
            <w:tcW w:w="3760" w:type="dxa"/>
            <w:vAlign w:val="bottom"/>
            <w:gridSpan w:val="2"/>
          </w:tcPr>
          <w:p>
            <w:pPr>
              <w:jc w:val="center"/>
              <w:ind w:left="318"/>
              <w:spacing w:after="0"/>
              <w:rPr>
                <w:sz w:val="20"/>
                <w:szCs w:val="20"/>
                <w:color w:val="auto"/>
              </w:rPr>
            </w:pPr>
            <w:r>
              <w:rPr>
                <w:rFonts w:ascii="Arial" w:cs="Arial" w:eastAsia="Arial" w:hAnsi="Arial"/>
                <w:sz w:val="18"/>
                <w:szCs w:val="18"/>
                <w:color w:val="auto"/>
                <w:w w:val="90"/>
              </w:rPr>
              <w:t>The 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-2605405</wp:posOffset>
            </wp:positionV>
            <wp:extent cx="2785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0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right="60" w:firstLine="432"/>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60" w:firstLine="43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1165" w:right="39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9"/>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6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jc w:val="right"/>
              <w:spacing w:after="0"/>
              <w:rPr>
                <w:sz w:val="20"/>
                <w:szCs w:val="20"/>
                <w:color w:val="auto"/>
              </w:rPr>
            </w:pPr>
            <w:r>
              <w:rPr>
                <w:rFonts w:ascii="Arial" w:cs="Arial" w:eastAsia="Arial" w:hAnsi="Arial"/>
                <w:sz w:val="18"/>
                <w:szCs w:val="18"/>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20" w:type="dxa"/>
            <w:vAlign w:val="bottom"/>
          </w:tcPr>
          <w:p>
            <w:pPr>
              <w:jc w:val="right"/>
              <w:spacing w:after="0"/>
              <w:rPr>
                <w:sz w:val="20"/>
                <w:szCs w:val="20"/>
                <w:color w:val="auto"/>
              </w:rPr>
            </w:pPr>
            <w:r>
              <w:rPr>
                <w:rFonts w:ascii="Arial" w:cs="Arial" w:eastAsia="Arial" w:hAnsi="Arial"/>
                <w:sz w:val="18"/>
                <w:szCs w:val="18"/>
                <w:color w:val="auto"/>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0"/>
          <w:szCs w:val="20"/>
          <w:color w:val="auto"/>
        </w:rPr>
      </w:pPr>
    </w:p>
    <w:p>
      <w:pPr>
        <w:ind w:firstLine="432"/>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0"/>
          <w:szCs w:val="20"/>
          <w:color w:val="auto"/>
        </w:rPr>
      </w:pPr>
    </w:p>
    <w:p>
      <w:pPr>
        <w:ind w:left="440" w:right="1520"/>
        <w:spacing w:after="0" w:line="219"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28, 2020, registrant had outstanding 219,279,183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687" w:right="41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Page No.</w:t>
            </w:r>
          </w:p>
        </w:tc>
      </w:tr>
      <w:tr>
        <w:trPr>
          <w:trHeight w:val="230"/>
        </w:trPr>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180" w:type="dxa"/>
            <w:vAlign w:val="bottom"/>
            <w:gridSpan w:val="2"/>
          </w:tcPr>
          <w:p>
            <w:pPr>
              <w:jc w:val="center"/>
              <w:ind w:right="68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 FINANCIAL INFORMATION</w:t>
              </w:r>
            </w:hyperlink>
          </w:p>
        </w:tc>
        <w:tc>
          <w:tcPr>
            <w:tcW w:w="1460" w:type="dxa"/>
            <w:vAlign w:val="bottom"/>
          </w:tcPr>
          <w:p>
            <w:pPr>
              <w:spacing w:after="0"/>
              <w:rPr>
                <w:sz w:val="19"/>
                <w:szCs w:val="19"/>
                <w:color w:val="auto"/>
              </w:rPr>
            </w:pPr>
          </w:p>
        </w:tc>
      </w:tr>
      <w:tr>
        <w:trPr>
          <w:trHeight w:val="405"/>
        </w:trPr>
        <w:tc>
          <w:tcPr>
            <w:tcW w:w="9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840" w:type="dxa"/>
            <w:vAlign w:val="bottom"/>
            <w:gridSpan w:val="3"/>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Financial Statements:</w:t>
              </w:r>
            </w:hyperlink>
          </w:p>
        </w:tc>
        <w:tc>
          <w:tcPr>
            <w:tcW w:w="1460" w:type="dxa"/>
            <w:vAlign w:val="bottom"/>
          </w:tcPr>
          <w:p>
            <w:pPr>
              <w:spacing w:after="0"/>
              <w:rPr>
                <w:sz w:val="24"/>
                <w:szCs w:val="24"/>
                <w:color w:val="auto"/>
              </w:rPr>
            </w:pPr>
          </w:p>
        </w:tc>
      </w:tr>
      <w:tr>
        <w:trPr>
          <w:trHeight w:val="392"/>
        </w:trPr>
        <w:tc>
          <w:tcPr>
            <w:tcW w:w="900" w:type="dxa"/>
            <w:vAlign w:val="bottom"/>
          </w:tcPr>
          <w:p>
            <w:pPr>
              <w:spacing w:after="0"/>
              <w:rPr>
                <w:sz w:val="24"/>
                <w:szCs w:val="24"/>
                <w:color w:val="auto"/>
              </w:rPr>
            </w:pPr>
          </w:p>
        </w:tc>
        <w:tc>
          <w:tcPr>
            <w:tcW w:w="8840" w:type="dxa"/>
            <w:vAlign w:val="bottom"/>
            <w:gridSpan w:val="3"/>
          </w:tcPr>
          <w:p>
            <w:pPr>
              <w:spacing w:after="0"/>
              <w:rPr>
                <w:rFonts w:ascii="Arial" w:cs="Arial" w:eastAsia="Arial" w:hAnsi="Arial"/>
                <w:sz w:val="18"/>
                <w:szCs w:val="18"/>
                <w:u w:val="single" w:color="auto"/>
                <w:color w:val="0000EE"/>
                <w:w w:val="98"/>
              </w:rPr>
            </w:pPr>
            <w:hyperlink w:anchor="page4">
              <w:r>
                <w:rPr>
                  <w:rFonts w:ascii="Arial" w:cs="Arial" w:eastAsia="Arial" w:hAnsi="Arial"/>
                  <w:sz w:val="18"/>
                  <w:szCs w:val="18"/>
                  <w:u w:val="single" w:color="auto"/>
                  <w:color w:val="0000EE"/>
                  <w:w w:val="98"/>
                </w:rPr>
                <w:t>Condensed Consolidated Statements of Operations for the Three and Six Months Ended July 31, 2020 and 2019</w:t>
              </w:r>
            </w:hyperlink>
          </w:p>
        </w:tc>
        <w:tc>
          <w:tcPr>
            <w:tcW w:w="14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351"/>
        </w:trPr>
        <w:tc>
          <w:tcPr>
            <w:tcW w:w="900" w:type="dxa"/>
            <w:vAlign w:val="bottom"/>
          </w:tcPr>
          <w:p>
            <w:pPr>
              <w:spacing w:after="0"/>
              <w:rPr>
                <w:sz w:val="24"/>
                <w:szCs w:val="24"/>
                <w:color w:val="auto"/>
              </w:rPr>
            </w:pPr>
          </w:p>
        </w:tc>
        <w:tc>
          <w:tcPr>
            <w:tcW w:w="878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for the Three and Six Months Ended July 31, 2020</w:t>
              </w:r>
            </w:hyperlink>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8840" w:type="dxa"/>
            <w:vAlign w:val="bottom"/>
            <w:gridSpan w:val="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2019</w:t>
              </w:r>
            </w:hyperlink>
          </w:p>
        </w:tc>
        <w:tc>
          <w:tcPr>
            <w:tcW w:w="1460" w:type="dxa"/>
            <w:vAlign w:val="bottom"/>
          </w:tcPr>
          <w:p>
            <w:pPr>
              <w:jc w:val="right"/>
              <w:spacing w:after="0" w:line="196"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0"/>
        </w:trPr>
        <w:tc>
          <w:tcPr>
            <w:tcW w:w="9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1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12"/>
        </w:trPr>
        <w:tc>
          <w:tcPr>
            <w:tcW w:w="900" w:type="dxa"/>
            <w:vAlign w:val="bottom"/>
          </w:tcPr>
          <w:p>
            <w:pPr>
              <w:spacing w:after="0"/>
              <w:rPr>
                <w:sz w:val="24"/>
                <w:szCs w:val="24"/>
                <w:color w:val="auto"/>
              </w:rPr>
            </w:pPr>
          </w:p>
        </w:tc>
        <w:tc>
          <w:tcPr>
            <w:tcW w:w="884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Balance Sheets as of July 31, 2020 and January 31, 2020</w:t>
              </w:r>
            </w:hyperlink>
          </w:p>
        </w:tc>
        <w:tc>
          <w:tcPr>
            <w:tcW w:w="146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r>
      <w:tr>
        <w:trPr>
          <w:trHeight w:val="391"/>
        </w:trPr>
        <w:tc>
          <w:tcPr>
            <w:tcW w:w="900" w:type="dxa"/>
            <w:vAlign w:val="bottom"/>
          </w:tcPr>
          <w:p>
            <w:pPr>
              <w:spacing w:after="0"/>
              <w:rPr>
                <w:sz w:val="24"/>
                <w:szCs w:val="24"/>
                <w:color w:val="auto"/>
              </w:rPr>
            </w:pPr>
          </w:p>
        </w:tc>
        <w:tc>
          <w:tcPr>
            <w:tcW w:w="884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for the Six Months Ended July 31, 2020 and 2019</w:t>
              </w:r>
            </w:hyperlink>
          </w:p>
        </w:tc>
        <w:tc>
          <w:tcPr>
            <w:tcW w:w="146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tc>
      </w:tr>
      <w:tr>
        <w:trPr>
          <w:trHeight w:val="392"/>
        </w:trPr>
        <w:tc>
          <w:tcPr>
            <w:tcW w:w="900" w:type="dxa"/>
            <w:vAlign w:val="bottom"/>
          </w:tcPr>
          <w:p>
            <w:pPr>
              <w:spacing w:after="0"/>
              <w:rPr>
                <w:sz w:val="24"/>
                <w:szCs w:val="24"/>
                <w:color w:val="auto"/>
              </w:rPr>
            </w:pPr>
          </w:p>
        </w:tc>
        <w:tc>
          <w:tcPr>
            <w:tcW w:w="8840" w:type="dxa"/>
            <w:vAlign w:val="bottom"/>
            <w:gridSpan w:val="3"/>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w:t>
              </w:r>
            </w:hyperlink>
          </w:p>
        </w:tc>
        <w:tc>
          <w:tcPr>
            <w:tcW w:w="146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8</w:t>
              </w:r>
            </w:hyperlink>
          </w:p>
        </w:tc>
      </w:tr>
      <w:tr>
        <w:trPr>
          <w:trHeight w:val="392"/>
        </w:trPr>
        <w:tc>
          <w:tcPr>
            <w:tcW w:w="9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27">
              <w:r>
                <w:rPr>
                  <w:rFonts w:ascii="Arial" w:cs="Arial" w:eastAsia="Arial" w:hAnsi="Arial"/>
                  <w:sz w:val="18"/>
                  <w:szCs w:val="18"/>
                  <w:b w:val="1"/>
                  <w:bCs w:val="1"/>
                  <w:u w:val="single" w:color="auto"/>
                  <w:color w:val="0000FF"/>
                </w:rPr>
                <w:t>Management’s Discussion and Analysis of Financial Condition and Results of Operations</w:t>
              </w:r>
            </w:hyperlink>
          </w:p>
        </w:tc>
        <w:tc>
          <w:tcPr>
            <w:tcW w:w="146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r>
      <w:tr>
        <w:trPr>
          <w:trHeight w:val="392"/>
        </w:trPr>
        <w:tc>
          <w:tcPr>
            <w:tcW w:w="9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48">
              <w:r>
                <w:rPr>
                  <w:rFonts w:ascii="Arial" w:cs="Arial" w:eastAsia="Arial" w:hAnsi="Arial"/>
                  <w:sz w:val="18"/>
                  <w:szCs w:val="18"/>
                  <w:b w:val="1"/>
                  <w:bCs w:val="1"/>
                  <w:u w:val="single" w:color="auto"/>
                  <w:color w:val="0000FF"/>
                </w:rPr>
                <w:t>Quantitative and Qualitative Disclosures About Market Risk</w:t>
              </w:r>
            </w:hyperlink>
          </w:p>
        </w:tc>
        <w:tc>
          <w:tcPr>
            <w:tcW w:w="146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48</w:t>
              </w:r>
            </w:hyperlink>
          </w:p>
        </w:tc>
      </w:tr>
      <w:tr>
        <w:trPr>
          <w:trHeight w:val="391"/>
        </w:trPr>
        <w:tc>
          <w:tcPr>
            <w:tcW w:w="9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48">
              <w:r>
                <w:rPr>
                  <w:rFonts w:ascii="Arial" w:cs="Arial" w:eastAsia="Arial" w:hAnsi="Arial"/>
                  <w:sz w:val="18"/>
                  <w:szCs w:val="18"/>
                  <w:b w:val="1"/>
                  <w:bCs w:val="1"/>
                  <w:u w:val="single" w:color="auto"/>
                  <w:color w:val="0000FF"/>
                </w:rPr>
                <w:t>Controls and Procedures</w:t>
              </w:r>
            </w:hyperlink>
          </w:p>
        </w:tc>
        <w:tc>
          <w:tcPr>
            <w:tcW w:w="146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48</w:t>
              </w:r>
            </w:hyperlink>
          </w:p>
        </w:tc>
      </w:tr>
      <w:tr>
        <w:trPr>
          <w:trHeight w:val="392"/>
        </w:trPr>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180" w:type="dxa"/>
            <w:vAlign w:val="bottom"/>
            <w:gridSpan w:val="2"/>
          </w:tcPr>
          <w:p>
            <w:pPr>
              <w:jc w:val="center"/>
              <w:ind w:right="680"/>
              <w:spacing w:after="0"/>
              <w:rPr>
                <w:rFonts w:ascii="Arial" w:cs="Arial" w:eastAsia="Arial" w:hAnsi="Arial"/>
                <w:sz w:val="18"/>
                <w:szCs w:val="18"/>
                <w:b w:val="1"/>
                <w:bCs w:val="1"/>
                <w:u w:val="single" w:color="auto"/>
                <w:color w:val="0000FF"/>
              </w:rPr>
            </w:pPr>
            <w:hyperlink w:anchor="page50">
              <w:r>
                <w:rPr>
                  <w:rFonts w:ascii="Arial" w:cs="Arial" w:eastAsia="Arial" w:hAnsi="Arial"/>
                  <w:sz w:val="18"/>
                  <w:szCs w:val="18"/>
                  <w:b w:val="1"/>
                  <w:bCs w:val="1"/>
                  <w:u w:val="single" w:color="auto"/>
                  <w:color w:val="0000FF"/>
                </w:rPr>
                <w:t>PART II. OTHER INFORMATION</w:t>
              </w:r>
            </w:hyperlink>
          </w:p>
        </w:tc>
        <w:tc>
          <w:tcPr>
            <w:tcW w:w="1460" w:type="dxa"/>
            <w:vAlign w:val="bottom"/>
          </w:tcPr>
          <w:p>
            <w:pPr>
              <w:spacing w:after="0"/>
              <w:rPr>
                <w:sz w:val="24"/>
                <w:szCs w:val="24"/>
                <w:color w:val="auto"/>
              </w:rPr>
            </w:pPr>
          </w:p>
        </w:tc>
      </w:tr>
      <w:tr>
        <w:trPr>
          <w:trHeight w:val="392"/>
        </w:trPr>
        <w:tc>
          <w:tcPr>
            <w:tcW w:w="9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50">
              <w:r>
                <w:rPr>
                  <w:rFonts w:ascii="Arial" w:cs="Arial" w:eastAsia="Arial" w:hAnsi="Arial"/>
                  <w:sz w:val="18"/>
                  <w:szCs w:val="18"/>
                  <w:b w:val="1"/>
                  <w:bCs w:val="1"/>
                  <w:u w:val="single" w:color="auto"/>
                  <w:color w:val="0000FF"/>
                </w:rPr>
                <w:t>Legal Proceedings</w:t>
              </w:r>
            </w:hyperlink>
          </w:p>
        </w:tc>
        <w:tc>
          <w:tcPr>
            <w:tcW w:w="146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50</w:t>
              </w:r>
            </w:hyperlink>
          </w:p>
        </w:tc>
      </w:tr>
      <w:tr>
        <w:trPr>
          <w:trHeight w:val="391"/>
        </w:trPr>
        <w:tc>
          <w:tcPr>
            <w:tcW w:w="9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50">
              <w:r>
                <w:rPr>
                  <w:rFonts w:ascii="Arial" w:cs="Arial" w:eastAsia="Arial" w:hAnsi="Arial"/>
                  <w:sz w:val="18"/>
                  <w:szCs w:val="18"/>
                  <w:b w:val="1"/>
                  <w:bCs w:val="1"/>
                  <w:u w:val="single" w:color="auto"/>
                  <w:color w:val="0000FF"/>
                </w:rPr>
                <w:t>Risk Factors</w:t>
              </w:r>
            </w:hyperlink>
          </w:p>
        </w:tc>
        <w:tc>
          <w:tcPr>
            <w:tcW w:w="146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50</w:t>
              </w:r>
            </w:hyperlink>
          </w:p>
        </w:tc>
      </w:tr>
      <w:tr>
        <w:trPr>
          <w:trHeight w:val="392"/>
        </w:trPr>
        <w:tc>
          <w:tcPr>
            <w:tcW w:w="9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65">
              <w:r>
                <w:rPr>
                  <w:rFonts w:ascii="Arial" w:cs="Arial" w:eastAsia="Arial" w:hAnsi="Arial"/>
                  <w:sz w:val="18"/>
                  <w:szCs w:val="18"/>
                  <w:b w:val="1"/>
                  <w:bCs w:val="1"/>
                  <w:u w:val="single" w:color="auto"/>
                  <w:color w:val="0000FF"/>
                </w:rPr>
                <w:t>Unregistered Sales of Equity Securities and Use of Proceeds</w:t>
              </w:r>
            </w:hyperlink>
          </w:p>
        </w:tc>
        <w:tc>
          <w:tcPr>
            <w:tcW w:w="146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65</w:t>
              </w:r>
            </w:hyperlink>
          </w:p>
        </w:tc>
      </w:tr>
      <w:tr>
        <w:trPr>
          <w:trHeight w:val="391"/>
        </w:trPr>
        <w:tc>
          <w:tcPr>
            <w:tcW w:w="9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65">
              <w:r>
                <w:rPr>
                  <w:rFonts w:ascii="Arial" w:cs="Arial" w:eastAsia="Arial" w:hAnsi="Arial"/>
                  <w:sz w:val="18"/>
                  <w:szCs w:val="18"/>
                  <w:b w:val="1"/>
                  <w:bCs w:val="1"/>
                  <w:u w:val="single" w:color="auto"/>
                  <w:color w:val="0000FF"/>
                </w:rPr>
                <w:t>Defaults Upon Senior Securities</w:t>
              </w:r>
            </w:hyperlink>
          </w:p>
        </w:tc>
        <w:tc>
          <w:tcPr>
            <w:tcW w:w="1460" w:type="dxa"/>
            <w:vAlign w:val="bottom"/>
          </w:tcPr>
          <w:p>
            <w:pPr>
              <w:jc w:val="right"/>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65</w:t>
              </w:r>
            </w:hyperlink>
          </w:p>
        </w:tc>
      </w:tr>
      <w:tr>
        <w:trPr>
          <w:trHeight w:val="392"/>
        </w:trPr>
        <w:tc>
          <w:tcPr>
            <w:tcW w:w="9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66">
              <w:r>
                <w:rPr>
                  <w:rFonts w:ascii="Arial" w:cs="Arial" w:eastAsia="Arial" w:hAnsi="Arial"/>
                  <w:sz w:val="18"/>
                  <w:szCs w:val="18"/>
                  <w:b w:val="1"/>
                  <w:bCs w:val="1"/>
                  <w:u w:val="single" w:color="auto"/>
                  <w:color w:val="0000FF"/>
                </w:rPr>
                <w:t>Mine Safety Disclosures</w:t>
              </w:r>
            </w:hyperlink>
          </w:p>
        </w:tc>
        <w:tc>
          <w:tcPr>
            <w:tcW w:w="146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66</w:t>
              </w:r>
            </w:hyperlink>
          </w:p>
        </w:tc>
      </w:tr>
      <w:tr>
        <w:trPr>
          <w:trHeight w:val="391"/>
        </w:trPr>
        <w:tc>
          <w:tcPr>
            <w:tcW w:w="9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66">
              <w:r>
                <w:rPr>
                  <w:rFonts w:ascii="Arial" w:cs="Arial" w:eastAsia="Arial" w:hAnsi="Arial"/>
                  <w:sz w:val="18"/>
                  <w:szCs w:val="18"/>
                  <w:b w:val="1"/>
                  <w:bCs w:val="1"/>
                  <w:u w:val="single" w:color="auto"/>
                  <w:color w:val="0000FF"/>
                </w:rPr>
                <w:t>Other Information</w:t>
              </w:r>
            </w:hyperlink>
          </w:p>
        </w:tc>
        <w:tc>
          <w:tcPr>
            <w:tcW w:w="146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66</w:t>
              </w:r>
            </w:hyperlink>
          </w:p>
        </w:tc>
      </w:tr>
      <w:tr>
        <w:trPr>
          <w:trHeight w:val="392"/>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66">
              <w:r>
                <w:rPr>
                  <w:rFonts w:ascii="Arial" w:cs="Arial" w:eastAsia="Arial" w:hAnsi="Arial"/>
                  <w:sz w:val="18"/>
                  <w:szCs w:val="18"/>
                  <w:b w:val="1"/>
                  <w:bCs w:val="1"/>
                  <w:u w:val="single" w:color="auto"/>
                  <w:color w:val="0000FF"/>
                </w:rPr>
                <w:t>Exhibits</w:t>
              </w:r>
            </w:hyperlink>
          </w:p>
        </w:tc>
        <w:tc>
          <w:tcPr>
            <w:tcW w:w="1460" w:type="dxa"/>
            <w:vAlign w:val="bottom"/>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66</w:t>
              </w:r>
            </w:hyperlink>
          </w:p>
        </w:tc>
      </w:tr>
      <w:tr>
        <w:trPr>
          <w:trHeight w:val="391"/>
        </w:trPr>
        <w:tc>
          <w:tcPr>
            <w:tcW w:w="900" w:type="dxa"/>
            <w:vAlign w:val="bottom"/>
          </w:tcPr>
          <w:p>
            <w:pPr>
              <w:spacing w:after="0"/>
              <w:rPr>
                <w:sz w:val="24"/>
                <w:szCs w:val="24"/>
                <w:color w:val="auto"/>
              </w:rPr>
            </w:pPr>
          </w:p>
        </w:tc>
        <w:tc>
          <w:tcPr>
            <w:tcW w:w="8840" w:type="dxa"/>
            <w:vAlign w:val="bottom"/>
            <w:gridSpan w:val="3"/>
          </w:tcPr>
          <w:p>
            <w:pPr>
              <w:spacing w:after="0"/>
              <w:rPr>
                <w:rFonts w:ascii="Arial" w:cs="Arial" w:eastAsia="Arial" w:hAnsi="Arial"/>
                <w:sz w:val="18"/>
                <w:szCs w:val="18"/>
                <w:b w:val="1"/>
                <w:bCs w:val="1"/>
                <w:u w:val="single" w:color="auto"/>
                <w:color w:val="0000FF"/>
              </w:rPr>
            </w:pPr>
            <w:hyperlink w:anchor="page67">
              <w:r>
                <w:rPr>
                  <w:rFonts w:ascii="Arial" w:cs="Arial" w:eastAsia="Arial" w:hAnsi="Arial"/>
                  <w:sz w:val="18"/>
                  <w:szCs w:val="18"/>
                  <w:b w:val="1"/>
                  <w:bCs w:val="1"/>
                  <w:u w:val="single" w:color="auto"/>
                  <w:color w:val="0000FF"/>
                </w:rPr>
                <w:t>Signatures</w:t>
              </w:r>
            </w:hyperlink>
          </w:p>
        </w:tc>
        <w:tc>
          <w:tcPr>
            <w:tcW w:w="146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67</w:t>
              </w:r>
            </w:hyperlink>
          </w:p>
        </w:tc>
      </w:tr>
    </w:tbl>
    <w:p>
      <w:pPr>
        <w:sectPr>
          <w:pgSz w:w="11900" w:h="16838" w:orient="portrait"/>
          <w:cols w:equalWidth="0" w:num="1">
            <w:col w:w="11200"/>
          </w:cols>
          <w:pgMar w:left="360" w:top="55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July 31,</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841.2</w:t>
            </w:r>
          </w:p>
        </w:tc>
        <w:tc>
          <w:tcPr>
            <w:tcW w:w="120" w:type="dxa"/>
            <w:vAlign w:val="bottom"/>
          </w:tcPr>
          <w:p>
            <w:pPr>
              <w:spacing w:after="0"/>
              <w:rPr>
                <w:sz w:val="20"/>
                <w:szCs w:val="20"/>
                <w:color w:val="auto"/>
              </w:rPr>
            </w:pP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663.7</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1,644.2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1,259.5</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Maintenance</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103.5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217"/>
        </w:trPr>
        <w:tc>
          <w:tcPr>
            <w:tcW w:w="5520" w:type="dxa"/>
            <w:vAlign w:val="bottom"/>
          </w:tcPr>
          <w:p>
            <w:pPr>
              <w:ind w:left="540"/>
              <w:spacing w:after="0"/>
              <w:rPr>
                <w:sz w:val="20"/>
                <w:szCs w:val="20"/>
                <w:color w:val="auto"/>
              </w:rPr>
            </w:pPr>
            <w:r>
              <w:rPr>
                <w:rFonts w:ascii="Arial" w:cs="Arial" w:eastAsia="Arial" w:hAnsi="Arial"/>
                <w:sz w:val="16"/>
                <w:szCs w:val="16"/>
                <w:color w:val="auto"/>
              </w:rPr>
              <w:t>Total subscription and maintenance revenue</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892.4</w:t>
            </w: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767.2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1,757.5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1,475.0</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17"/>
        </w:trPr>
        <w:tc>
          <w:tcPr>
            <w:tcW w:w="5520" w:type="dxa"/>
            <w:vAlign w:val="bottom"/>
          </w:tcPr>
          <w:p>
            <w:pPr>
              <w:ind w:left="720"/>
              <w:spacing w:after="0"/>
              <w:rPr>
                <w:sz w:val="20"/>
                <w:szCs w:val="20"/>
                <w:color w:val="auto"/>
              </w:rPr>
            </w:pPr>
            <w:r>
              <w:rPr>
                <w:rFonts w:ascii="Arial" w:cs="Arial" w:eastAsia="Arial" w:hAnsi="Arial"/>
                <w:sz w:val="16"/>
                <w:szCs w:val="16"/>
                <w:color w:val="auto"/>
              </w:rPr>
              <w:t>Total net revenue</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913.1</w:t>
            </w: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796.8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1,798.8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1,532.3</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Cost of subscription and maintenance revenue</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115.9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112.7</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other revenue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Amortization of developed technology</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162.2</w:t>
            </w:r>
          </w:p>
        </w:tc>
        <w:tc>
          <w:tcPr>
            <w:tcW w:w="0" w:type="dxa"/>
            <w:vAlign w:val="bottom"/>
          </w:tcPr>
          <w:p>
            <w:pPr>
              <w:spacing w:after="0"/>
              <w:rPr>
                <w:sz w:val="1"/>
                <w:szCs w:val="1"/>
                <w:color w:val="auto"/>
              </w:rPr>
            </w:pPr>
          </w:p>
        </w:tc>
      </w:tr>
      <w:tr>
        <w:trPr>
          <w:trHeight w:val="217"/>
        </w:trPr>
        <w:tc>
          <w:tcPr>
            <w:tcW w:w="55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832.2</w:t>
            </w: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717.3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1,636.0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1,370.1</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350.9</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316.8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692.2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630.1</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232.5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215.4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421.0</w:t>
            </w:r>
          </w:p>
        </w:tc>
        <w:tc>
          <w:tcPr>
            <w:tcW w:w="0" w:type="dxa"/>
            <w:vAlign w:val="bottom"/>
          </w:tcPr>
          <w:p>
            <w:pPr>
              <w:spacing w:after="0"/>
              <w:rPr>
                <w:sz w:val="1"/>
                <w:szCs w:val="1"/>
                <w:color w:val="auto"/>
              </w:rPr>
            </w:pP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93.2</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101.4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198.0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200.5</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86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686.1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643.5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1,271.5</w:t>
            </w:r>
          </w:p>
        </w:tc>
        <w:tc>
          <w:tcPr>
            <w:tcW w:w="0" w:type="dxa"/>
            <w:vAlign w:val="bottom"/>
          </w:tcPr>
          <w:p>
            <w:pPr>
              <w:spacing w:after="0"/>
              <w:rPr>
                <w:sz w:val="1"/>
                <w:szCs w:val="1"/>
                <w:color w:val="auto"/>
              </w:rPr>
            </w:pPr>
          </w:p>
        </w:tc>
      </w:tr>
      <w:tr>
        <w:trPr>
          <w:trHeight w:val="217"/>
        </w:trPr>
        <w:tc>
          <w:tcPr>
            <w:tcW w:w="552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146.1</w:t>
            </w: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276.7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net</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7"/>
        </w:trPr>
        <w:tc>
          <w:tcPr>
            <w:tcW w:w="55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129.0</w:t>
            </w: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219.5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217"/>
        </w:trPr>
        <w:tc>
          <w:tcPr>
            <w:tcW w:w="55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860" w:type="dxa"/>
            <w:vAlign w:val="bottom"/>
            <w:tcBorders>
              <w:top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ind w:right="66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164.7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73"/>
        </w:trPr>
        <w:tc>
          <w:tcPr>
            <w:tcW w:w="552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5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per share</w:t>
            </w: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0.45</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20" w:type="dxa"/>
            <w:vAlign w:val="bottom"/>
            <w:vMerge w:val="continue"/>
          </w:tcPr>
          <w:p>
            <w:pPr>
              <w:spacing w:after="0"/>
              <w:rPr>
                <w:sz w:val="17"/>
                <w:szCs w:val="17"/>
                <w:color w:val="auto"/>
              </w:rPr>
            </w:pP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17"/>
                <w:szCs w:val="17"/>
                <w:color w:val="auto"/>
              </w:rPr>
            </w:pP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73"/>
        </w:trPr>
        <w:tc>
          <w:tcPr>
            <w:tcW w:w="552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5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basic net income per share</w:t>
            </w:r>
          </w:p>
        </w:tc>
        <w:tc>
          <w:tcPr>
            <w:tcW w:w="8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219.2</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219.6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diluted net income per share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2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222.2</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222.4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222.0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222.3</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July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Six Months Ended July 31,</w:t>
            </w:r>
          </w:p>
        </w:tc>
      </w:tr>
      <w:tr>
        <w:trPr>
          <w:trHeight w:val="263"/>
        </w:trPr>
        <w:tc>
          <w:tcPr>
            <w:tcW w:w="55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r>
      <w:tr>
        <w:trPr>
          <w:trHeight w:val="23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860" w:type="dxa"/>
            <w:vAlign w:val="bottom"/>
            <w:tcBorders>
              <w:bottom w:val="single" w:sz="8" w:color="CCEEFF"/>
            </w:tcBorders>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98.2</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Other comprehensive income (loss), net of reclassifications: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5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7"/>
              </w:rPr>
              <w:t>Net loss on derivative instruments (net of tax effect of $2.3, ($1.7), $1.9 and</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5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($2.0), respectively)</w:t>
            </w:r>
          </w:p>
        </w:tc>
        <w:tc>
          <w:tcPr>
            <w:tcW w:w="8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20"/>
        </w:trPr>
        <w:tc>
          <w:tcPr>
            <w:tcW w:w="5520" w:type="dxa"/>
            <w:vAlign w:val="bottom"/>
          </w:tcPr>
          <w:p>
            <w:pPr>
              <w:ind w:left="280"/>
              <w:spacing w:after="0"/>
              <w:rPr>
                <w:sz w:val="20"/>
                <w:szCs w:val="20"/>
                <w:color w:val="auto"/>
              </w:rPr>
            </w:pPr>
            <w:r>
              <w:rPr>
                <w:rFonts w:ascii="Arial" w:cs="Arial" w:eastAsia="Arial" w:hAnsi="Arial"/>
                <w:sz w:val="16"/>
                <w:szCs w:val="16"/>
                <w:color w:val="auto"/>
                <w:w w:val="92"/>
              </w:rPr>
              <w:t>Change in net unrealized gain (loss) on available-for-sale debt securities (net of</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5520" w:type="dxa"/>
            <w:vAlign w:val="bottom"/>
          </w:tcPr>
          <w:p>
            <w:pPr>
              <w:ind w:left="600"/>
              <w:spacing w:after="0"/>
              <w:rPr>
                <w:sz w:val="20"/>
                <w:szCs w:val="20"/>
                <w:color w:val="auto"/>
              </w:rPr>
            </w:pPr>
            <w:r>
              <w:rPr>
                <w:rFonts w:ascii="Arial" w:cs="Arial" w:eastAsia="Arial" w:hAnsi="Arial"/>
                <w:sz w:val="16"/>
                <w:szCs w:val="16"/>
                <w:color w:val="auto"/>
              </w:rPr>
              <w:t>tax effect of zero, $0.1, $0.1 and ($0.3), respectively)</w:t>
            </w:r>
          </w:p>
        </w:tc>
        <w:tc>
          <w:tcPr>
            <w:tcW w:w="86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0.9</w:t>
            </w:r>
          </w:p>
        </w:tc>
      </w:tr>
      <w:tr>
        <w:trPr>
          <w:trHeight w:val="33"/>
        </w:trPr>
        <w:tc>
          <w:tcPr>
            <w:tcW w:w="5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7"/>
              </w:rPr>
              <w:t>Change in defined benefit pension items (net of tax effect of zero, $0.4, zero</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5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and $0.5, respectively)</w:t>
            </w:r>
          </w:p>
        </w:tc>
        <w:tc>
          <w:tcPr>
            <w:tcW w:w="8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20"/>
        </w:trPr>
        <w:tc>
          <w:tcPr>
            <w:tcW w:w="5520" w:type="dxa"/>
            <w:vAlign w:val="bottom"/>
          </w:tcPr>
          <w:p>
            <w:pPr>
              <w:ind w:left="280"/>
              <w:spacing w:after="0"/>
              <w:rPr>
                <w:sz w:val="20"/>
                <w:szCs w:val="20"/>
                <w:color w:val="auto"/>
              </w:rPr>
            </w:pPr>
            <w:r>
              <w:rPr>
                <w:rFonts w:ascii="Arial" w:cs="Arial" w:eastAsia="Arial" w:hAnsi="Arial"/>
                <w:sz w:val="16"/>
                <w:szCs w:val="16"/>
                <w:color w:val="auto"/>
                <w:w w:val="98"/>
              </w:rPr>
              <w:t>Net change in cumulative foreign currency translation gain (loss) (net of tax</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5520" w:type="dxa"/>
            <w:vAlign w:val="bottom"/>
          </w:tcPr>
          <w:p>
            <w:pPr>
              <w:ind w:left="600"/>
              <w:spacing w:after="0"/>
              <w:rPr>
                <w:sz w:val="20"/>
                <w:szCs w:val="20"/>
                <w:color w:val="auto"/>
              </w:rPr>
            </w:pPr>
            <w:r>
              <w:rPr>
                <w:rFonts w:ascii="Arial" w:cs="Arial" w:eastAsia="Arial" w:hAnsi="Arial"/>
                <w:sz w:val="16"/>
                <w:szCs w:val="16"/>
                <w:color w:val="auto"/>
              </w:rPr>
              <w:t>effect of ($0.4), ($0.4), ($0.4) and zero, respectively)</w:t>
            </w:r>
          </w:p>
        </w:tc>
        <w:tc>
          <w:tcPr>
            <w:tcW w:w="86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5"/>
              </w:rPr>
              <w:t>(22.8)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33"/>
        </w:trPr>
        <w:tc>
          <w:tcPr>
            <w:tcW w:w="5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income (loss)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Total comprehensive income (loss)</w:t>
            </w:r>
          </w:p>
        </w:tc>
        <w:tc>
          <w:tcPr>
            <w:tcW w:w="860" w:type="dxa"/>
            <w:vAlign w:val="bottom"/>
            <w:tcBorders>
              <w:top w:val="single" w:sz="8" w:color="auto"/>
              <w:bottom w:val="single" w:sz="8" w:color="auto"/>
            </w:tcBorders>
          </w:tcPr>
          <w:p>
            <w:pPr>
              <w:jc w:val="right"/>
              <w:ind w:right="684"/>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4"/>
              </w:rPr>
              <w:t>122.8</w:t>
            </w:r>
          </w:p>
        </w:tc>
        <w:tc>
          <w:tcPr>
            <w:tcW w:w="12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170.5</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w:t>
            </w:r>
          </w:p>
        </w:tc>
      </w:tr>
      <w:tr>
        <w:trPr>
          <w:trHeight w:val="20"/>
        </w:trPr>
        <w:tc>
          <w:tcPr>
            <w:tcW w:w="5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31, 2020</w:t>
            </w:r>
          </w:p>
        </w:tc>
        <w:tc>
          <w:tcPr>
            <w:tcW w:w="180" w:type="dxa"/>
            <w:vAlign w:val="bottom"/>
          </w:tcPr>
          <w:p>
            <w:pPr>
              <w:spacing w:after="0"/>
              <w:rPr>
                <w:sz w:val="16"/>
                <w:szCs w:val="16"/>
                <w:color w:val="auto"/>
              </w:rPr>
            </w:pPr>
          </w:p>
        </w:tc>
        <w:tc>
          <w:tcPr>
            <w:tcW w:w="1380" w:type="dxa"/>
            <w:vAlign w:val="bottom"/>
          </w:tcPr>
          <w:p>
            <w:pPr>
              <w:jc w:val="right"/>
              <w:ind w:right="179"/>
              <w:spacing w:after="0"/>
              <w:rPr>
                <w:sz w:val="20"/>
                <w:szCs w:val="20"/>
                <w:color w:val="auto"/>
              </w:rPr>
            </w:pPr>
            <w:r>
              <w:rPr>
                <w:rFonts w:ascii="Arial" w:cs="Arial" w:eastAsia="Arial" w:hAnsi="Arial"/>
                <w:sz w:val="14"/>
                <w:szCs w:val="14"/>
                <w:b w:val="1"/>
                <w:bCs w:val="1"/>
                <w:color w:val="auto"/>
                <w:w w:val="98"/>
              </w:rPr>
              <w:t>January 31, 2020</w:t>
            </w:r>
          </w:p>
        </w:tc>
      </w:tr>
      <w:tr>
        <w:trPr>
          <w:trHeight w:val="249"/>
        </w:trPr>
        <w:tc>
          <w:tcPr>
            <w:tcW w:w="7980" w:type="dxa"/>
            <w:vAlign w:val="bottom"/>
            <w:tcBorders>
              <w:top w:val="single" w:sz="8" w:color="CCEEFF"/>
              <w:bottom w:val="single" w:sz="8" w:color="CCEEFF"/>
            </w:tcBorders>
            <w:shd w:val="clear" w:color="auto" w:fill="CCEEFF"/>
          </w:tcPr>
          <w:p>
            <w:pPr>
              <w:ind w:left="370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1,774.7</w:t>
            </w:r>
          </w:p>
        </w:tc>
      </w:tr>
      <w:tr>
        <w:trPr>
          <w:trHeight w:val="224"/>
        </w:trPr>
        <w:tc>
          <w:tcPr>
            <w:tcW w:w="798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69.0</w:t>
            </w:r>
          </w:p>
        </w:tc>
      </w:tr>
      <w:tr>
        <w:trPr>
          <w:trHeight w:val="33"/>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652.3</w:t>
            </w:r>
          </w:p>
        </w:tc>
      </w:tr>
      <w:tr>
        <w:trPr>
          <w:trHeight w:val="223"/>
        </w:trPr>
        <w:tc>
          <w:tcPr>
            <w:tcW w:w="798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194.3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163.3</w:t>
            </w:r>
          </w:p>
        </w:tc>
      </w:tr>
      <w:tr>
        <w:trPr>
          <w:trHeight w:val="33"/>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2,659.3</w:t>
            </w: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177.8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161.7</w:t>
            </w:r>
          </w:p>
        </w:tc>
      </w:tr>
      <w:tr>
        <w:trPr>
          <w:trHeight w:val="33"/>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438.8</w:t>
            </w:r>
          </w:p>
        </w:tc>
      </w:tr>
      <w:tr>
        <w:trPr>
          <w:trHeight w:val="224"/>
        </w:trPr>
        <w:tc>
          <w:tcPr>
            <w:tcW w:w="7980" w:type="dxa"/>
            <w:vAlign w:val="bottom"/>
          </w:tcPr>
          <w:p>
            <w:pPr>
              <w:ind w:left="40"/>
              <w:spacing w:after="0"/>
              <w:rPr>
                <w:sz w:val="20"/>
                <w:szCs w:val="20"/>
                <w:color w:val="auto"/>
              </w:rPr>
            </w:pPr>
            <w:r>
              <w:rPr>
                <w:rFonts w:ascii="Arial" w:cs="Arial" w:eastAsia="Arial" w:hAnsi="Arial"/>
                <w:sz w:val="16"/>
                <w:szCs w:val="16"/>
                <w:color w:val="auto"/>
              </w:rPr>
              <w:t>Developed technologies, net</w:t>
            </w:r>
          </w:p>
        </w:tc>
        <w:tc>
          <w:tcPr>
            <w:tcW w:w="26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70.9</w:t>
            </w:r>
          </w:p>
        </w:tc>
      </w:tr>
      <w:tr>
        <w:trPr>
          <w:trHeight w:val="33"/>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2,445.0</w:t>
            </w:r>
          </w:p>
        </w:tc>
      </w:tr>
      <w:tr>
        <w:trPr>
          <w:trHeight w:val="223"/>
        </w:trPr>
        <w:tc>
          <w:tcPr>
            <w:tcW w:w="798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26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56.4</w:t>
            </w:r>
          </w:p>
        </w:tc>
      </w:tr>
      <w:tr>
        <w:trPr>
          <w:trHeight w:val="33"/>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other assets</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347.2</w:t>
            </w: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5,747.3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6,179.3</w:t>
            </w:r>
          </w:p>
        </w:tc>
      </w:tr>
      <w:tr>
        <w:trPr>
          <w:trHeight w:val="73"/>
        </w:trPr>
        <w:tc>
          <w:tcPr>
            <w:tcW w:w="79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17"/>
        </w:trPr>
        <w:tc>
          <w:tcPr>
            <w:tcW w:w="7980" w:type="dxa"/>
            <w:vAlign w:val="bottom"/>
            <w:tcBorders>
              <w:bottom w:val="single" w:sz="8" w:color="CCEEFF"/>
            </w:tcBorders>
            <w:shd w:val="clear" w:color="auto" w:fill="CCEEFF"/>
          </w:tcPr>
          <w:p>
            <w:pPr>
              <w:ind w:left="1820"/>
              <w:spacing w:after="0" w:line="177" w:lineRule="exact"/>
              <w:rPr>
                <w:sz w:val="20"/>
                <w:szCs w:val="20"/>
                <w:color w:val="auto"/>
              </w:rPr>
            </w:pPr>
            <w:r>
              <w:rPr>
                <w:rFonts w:ascii="Arial" w:cs="Arial" w:eastAsia="Arial" w:hAnsi="Arial"/>
                <w:sz w:val="16"/>
                <w:szCs w:val="16"/>
                <w:b w:val="1"/>
                <w:bCs w:val="1"/>
                <w:color w:val="auto"/>
              </w:rPr>
              <w:t>LIABILITIES AND STOCKHOLDERS’ EQUITY (DEFICIT)</w:t>
            </w:r>
          </w:p>
        </w:tc>
        <w:tc>
          <w:tcPr>
            <w:tcW w:w="2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23"/>
        </w:trPr>
        <w:tc>
          <w:tcPr>
            <w:tcW w:w="79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83.7</w:t>
            </w:r>
          </w:p>
        </w:tc>
      </w:tr>
      <w:tr>
        <w:trPr>
          <w:trHeight w:val="224"/>
        </w:trPr>
        <w:tc>
          <w:tcPr>
            <w:tcW w:w="798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26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193.6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272.1</w:t>
            </w:r>
          </w:p>
        </w:tc>
      </w:tr>
      <w:tr>
        <w:trPr>
          <w:trHeight w:val="33"/>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w:t>
            </w:r>
          </w:p>
        </w:tc>
      </w:tr>
      <w:tr>
        <w:trPr>
          <w:trHeight w:val="223"/>
        </w:trPr>
        <w:tc>
          <w:tcPr>
            <w:tcW w:w="798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2,102.1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2,176.1</w:t>
            </w:r>
          </w:p>
        </w:tc>
      </w:tr>
      <w:tr>
        <w:trPr>
          <w:trHeight w:val="33"/>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Current portion of long-term notes payable, net</w:t>
            </w:r>
          </w:p>
        </w:tc>
        <w:tc>
          <w:tcPr>
            <w:tcW w:w="2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449.7</w:t>
            </w:r>
          </w:p>
        </w:tc>
      </w:tr>
      <w:tr>
        <w:trPr>
          <w:trHeight w:val="33"/>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168.3</w:t>
            </w:r>
          </w:p>
        </w:tc>
      </w:tr>
      <w:tr>
        <w:trPr>
          <w:trHeight w:val="217"/>
        </w:trPr>
        <w:tc>
          <w:tcPr>
            <w:tcW w:w="798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2,619.6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3,219.2</w:t>
            </w:r>
          </w:p>
        </w:tc>
      </w:tr>
      <w:tr>
        <w:trPr>
          <w:trHeight w:val="33"/>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deferred revenue</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831.0</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Long-term operating lease liabilities</w:t>
            </w:r>
          </w:p>
        </w:tc>
        <w:tc>
          <w:tcPr>
            <w:tcW w:w="26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393.3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411.7</w:t>
            </w:r>
          </w:p>
        </w:tc>
      </w:tr>
      <w:tr>
        <w:trPr>
          <w:trHeight w:val="33"/>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income taxes payable</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r>
      <w:tr>
        <w:trPr>
          <w:trHeight w:val="237"/>
        </w:trPr>
        <w:tc>
          <w:tcPr>
            <w:tcW w:w="7980" w:type="dxa"/>
            <w:vAlign w:val="bottom"/>
          </w:tcPr>
          <w:p>
            <w:pPr>
              <w:ind w:left="40"/>
              <w:spacing w:after="0"/>
              <w:rPr>
                <w:sz w:val="20"/>
                <w:szCs w:val="20"/>
                <w:color w:val="auto"/>
              </w:rPr>
            </w:pPr>
            <w:r>
              <w:rPr>
                <w:rFonts w:ascii="Arial" w:cs="Arial" w:eastAsia="Arial" w:hAnsi="Arial"/>
                <w:sz w:val="16"/>
                <w:szCs w:val="16"/>
                <w:color w:val="auto"/>
              </w:rPr>
              <w:t>Long-term deferred income taxes</w:t>
            </w:r>
          </w:p>
        </w:tc>
        <w:tc>
          <w:tcPr>
            <w:tcW w:w="26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82.5</w:t>
            </w:r>
          </w:p>
        </w:tc>
      </w:tr>
      <w:tr>
        <w:trPr>
          <w:trHeight w:val="33"/>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notes payable,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1,635.1</w:t>
            </w:r>
          </w:p>
        </w:tc>
      </w:tr>
      <w:tr>
        <w:trPr>
          <w:trHeight w:val="223"/>
        </w:trPr>
        <w:tc>
          <w:tcPr>
            <w:tcW w:w="7980" w:type="dxa"/>
            <w:vAlign w:val="bottom"/>
          </w:tcPr>
          <w:p>
            <w:pPr>
              <w:ind w:left="40"/>
              <w:spacing w:after="0"/>
              <w:rPr>
                <w:sz w:val="20"/>
                <w:szCs w:val="20"/>
                <w:color w:val="auto"/>
              </w:rPr>
            </w:pPr>
            <w:r>
              <w:rPr>
                <w:rFonts w:ascii="Arial" w:cs="Arial" w:eastAsia="Arial" w:hAnsi="Arial"/>
                <w:sz w:val="16"/>
                <w:szCs w:val="16"/>
                <w:color w:val="auto"/>
              </w:rPr>
              <w:t>Long-term other liabilities</w:t>
            </w:r>
          </w:p>
        </w:tc>
        <w:tc>
          <w:tcPr>
            <w:tcW w:w="26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119.8</w:t>
            </w:r>
          </w:p>
        </w:tc>
      </w:tr>
      <w:tr>
        <w:trPr>
          <w:trHeight w:val="33"/>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 (deficit):</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23"/>
        </w:trPr>
        <w:tc>
          <w:tcPr>
            <w:tcW w:w="7980" w:type="dxa"/>
            <w:vAlign w:val="bottom"/>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26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2,492.7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2,317.0</w:t>
            </w:r>
          </w:p>
        </w:tc>
      </w:tr>
      <w:tr>
        <w:trPr>
          <w:trHeight w:val="33"/>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(160.3)</w:t>
            </w:r>
          </w:p>
        </w:tc>
      </w:tr>
      <w:tr>
        <w:trPr>
          <w:trHeight w:val="223"/>
        </w:trPr>
        <w:tc>
          <w:tcPr>
            <w:tcW w:w="7980" w:type="dxa"/>
            <w:vAlign w:val="bottom"/>
          </w:tcPr>
          <w:p>
            <w:pPr>
              <w:ind w:left="380"/>
              <w:spacing w:after="0"/>
              <w:rPr>
                <w:sz w:val="20"/>
                <w:szCs w:val="20"/>
                <w:color w:val="auto"/>
              </w:rPr>
            </w:pPr>
            <w:r>
              <w:rPr>
                <w:rFonts w:ascii="Arial" w:cs="Arial" w:eastAsia="Arial" w:hAnsi="Arial"/>
                <w:sz w:val="16"/>
                <w:szCs w:val="16"/>
                <w:color w:val="auto"/>
              </w:rPr>
              <w:t>Accumulated deficit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(2,270.9)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(2,295.8)</w:t>
            </w:r>
          </w:p>
        </w:tc>
      </w:tr>
      <w:tr>
        <w:trPr>
          <w:trHeight w:val="33"/>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 equity (deficit)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 (deficit)</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5,747.3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6,179.3</w:t>
            </w:r>
          </w:p>
        </w:tc>
      </w:tr>
      <w:tr>
        <w:trPr>
          <w:trHeight w:val="33"/>
        </w:trPr>
        <w:tc>
          <w:tcPr>
            <w:tcW w:w="7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53"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4"/>
                <w:szCs w:val="14"/>
                <w:b w:val="1"/>
                <w:bCs w:val="1"/>
                <w:color w:val="auto"/>
              </w:rPr>
              <w:t>Six Months Ended July 31,</w:t>
            </w:r>
          </w:p>
        </w:tc>
        <w:tc>
          <w:tcPr>
            <w:tcW w:w="580" w:type="dxa"/>
            <w:vAlign w:val="bottom"/>
            <w:tcBorders>
              <w:bottom w:val="single" w:sz="8" w:color="auto"/>
            </w:tcBorders>
          </w:tcPr>
          <w:p>
            <w:pPr>
              <w:spacing w:after="0"/>
              <w:rPr>
                <w:sz w:val="16"/>
                <w:szCs w:val="16"/>
                <w:color w:val="auto"/>
              </w:rPr>
            </w:pPr>
          </w:p>
        </w:tc>
      </w:tr>
      <w:tr>
        <w:trPr>
          <w:trHeight w:val="263"/>
        </w:trPr>
        <w:tc>
          <w:tcPr>
            <w:tcW w:w="79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r>
      <w:tr>
        <w:trPr>
          <w:trHeight w:val="23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23"/>
        </w:trPr>
        <w:tc>
          <w:tcPr>
            <w:tcW w:w="79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83"/>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164.7</w:t>
            </w:r>
          </w:p>
        </w:tc>
        <w:tc>
          <w:tcPr>
            <w:tcW w:w="100" w:type="dxa"/>
            <w:vAlign w:val="bottom"/>
          </w:tcPr>
          <w:p>
            <w:pPr>
              <w:spacing w:after="0"/>
              <w:rPr>
                <w:sz w:val="19"/>
                <w:szCs w:val="19"/>
                <w:color w:val="auto"/>
              </w:rPr>
            </w:pP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16.0</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r>
      <w:tr>
        <w:trPr>
          <w:trHeight w:val="224"/>
        </w:trPr>
        <w:tc>
          <w:tcPr>
            <w:tcW w:w="798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64.8</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194.1</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163.4</w:t>
            </w:r>
          </w:p>
        </w:tc>
      </w:tr>
      <w:tr>
        <w:trPr>
          <w:trHeight w:val="224"/>
        </w:trPr>
        <w:tc>
          <w:tcPr>
            <w:tcW w:w="798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35.8</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9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r>
      <w:tr>
        <w:trPr>
          <w:trHeight w:val="223"/>
        </w:trPr>
        <w:tc>
          <w:tcPr>
            <w:tcW w:w="7980" w:type="dxa"/>
            <w:vAlign w:val="bottom"/>
          </w:tcPr>
          <w:p>
            <w:pPr>
              <w:ind w:left="38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24"/>
        </w:trPr>
        <w:tc>
          <w:tcPr>
            <w:tcW w:w="798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162.7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125.8</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assets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w:t>
            </w:r>
          </w:p>
        </w:tc>
      </w:tr>
      <w:tr>
        <w:trPr>
          <w:trHeight w:val="223"/>
        </w:trPr>
        <w:tc>
          <w:tcPr>
            <w:tcW w:w="7980" w:type="dxa"/>
            <w:vAlign w:val="bottom"/>
          </w:tcPr>
          <w:p>
            <w:pPr>
              <w:ind w:left="380"/>
              <w:spacing w:after="0"/>
              <w:rPr>
                <w:sz w:val="20"/>
                <w:szCs w:val="20"/>
                <w:color w:val="auto"/>
              </w:rPr>
            </w:pPr>
            <w:r>
              <w:rPr>
                <w:rFonts w:ascii="Arial" w:cs="Arial" w:eastAsia="Arial" w:hAnsi="Arial"/>
                <w:sz w:val="16"/>
                <w:szCs w:val="16"/>
                <w:color w:val="auto"/>
              </w:rPr>
              <w:t>Accounts payable and other liabilities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(138.1)</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158.3</w:t>
            </w:r>
          </w:p>
        </w:tc>
      </w:tr>
      <w:tr>
        <w:trPr>
          <w:trHeight w:val="224"/>
        </w:trPr>
        <w:tc>
          <w:tcPr>
            <w:tcW w:w="798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33"/>
        </w:trPr>
        <w:tc>
          <w:tcPr>
            <w:tcW w:w="7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440.5</w:t>
            </w:r>
          </w:p>
        </w:tc>
      </w:tr>
      <w:tr>
        <w:trPr>
          <w:trHeight w:val="204"/>
        </w:trPr>
        <w:tc>
          <w:tcPr>
            <w:tcW w:w="798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r>
      <w:tr>
        <w:trPr>
          <w:trHeight w:val="46"/>
        </w:trPr>
        <w:tc>
          <w:tcPr>
            <w:tcW w:w="7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3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marketable securities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23"/>
        </w:trPr>
        <w:tc>
          <w:tcPr>
            <w:tcW w:w="7980" w:type="dxa"/>
            <w:vAlign w:val="bottom"/>
          </w:tcPr>
          <w:p>
            <w:pPr>
              <w:ind w:left="380"/>
              <w:spacing w:after="0"/>
              <w:rPr>
                <w:sz w:val="20"/>
                <w:szCs w:val="20"/>
                <w:color w:val="auto"/>
              </w:rPr>
            </w:pPr>
            <w:r>
              <w:rPr>
                <w:rFonts w:ascii="Arial" w:cs="Arial" w:eastAsia="Arial" w:hAnsi="Arial"/>
                <w:sz w:val="16"/>
                <w:szCs w:val="16"/>
                <w:color w:val="auto"/>
              </w:rPr>
              <w:t>Sales of marketable securities</w:t>
            </w:r>
          </w:p>
        </w:tc>
        <w:tc>
          <w:tcPr>
            <w:tcW w:w="96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22.4</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Maturities of marketable securities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r>
      <w:tr>
        <w:trPr>
          <w:trHeight w:val="223"/>
        </w:trPr>
        <w:tc>
          <w:tcPr>
            <w:tcW w:w="798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developed technologies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4"/>
        </w:trPr>
        <w:tc>
          <w:tcPr>
            <w:tcW w:w="7980" w:type="dxa"/>
            <w:vAlign w:val="bottom"/>
          </w:tcPr>
          <w:p>
            <w:pPr>
              <w:ind w:left="380"/>
              <w:spacing w:after="0"/>
              <w:rPr>
                <w:sz w:val="20"/>
                <w:szCs w:val="20"/>
                <w:color w:val="auto"/>
              </w:rPr>
            </w:pPr>
            <w:r>
              <w:rPr>
                <w:rFonts w:ascii="Arial" w:cs="Arial" w:eastAsia="Arial" w:hAnsi="Arial"/>
                <w:sz w:val="16"/>
                <w:szCs w:val="16"/>
                <w:color w:val="auto"/>
              </w:rPr>
              <w:t>Other investing activities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33"/>
        </w:trPr>
        <w:tc>
          <w:tcPr>
            <w:tcW w:w="7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03"/>
        </w:trPr>
        <w:tc>
          <w:tcPr>
            <w:tcW w:w="798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r>
      <w:tr>
        <w:trPr>
          <w:trHeight w:val="47"/>
        </w:trPr>
        <w:tc>
          <w:tcPr>
            <w:tcW w:w="7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36"/>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w:t>
            </w:r>
          </w:p>
        </w:tc>
      </w:tr>
      <w:tr>
        <w:trPr>
          <w:trHeight w:val="224"/>
        </w:trPr>
        <w:tc>
          <w:tcPr>
            <w:tcW w:w="7980" w:type="dxa"/>
            <w:vAlign w:val="bottom"/>
          </w:tcPr>
          <w:p>
            <w:pPr>
              <w:ind w:left="380"/>
              <w:spacing w:after="0"/>
              <w:rPr>
                <w:sz w:val="20"/>
                <w:szCs w:val="20"/>
                <w:color w:val="auto"/>
              </w:rPr>
            </w:pPr>
            <w:r>
              <w:rPr>
                <w:rFonts w:ascii="Arial" w:cs="Arial" w:eastAsia="Arial" w:hAnsi="Arial"/>
                <w:sz w:val="16"/>
                <w:szCs w:val="16"/>
                <w:color w:val="auto"/>
              </w:rPr>
              <w:t>Taxes paid related to net share settlement of equity awards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(31.2)</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Repurchases of common stock</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(134.6)</w:t>
            </w:r>
          </w:p>
        </w:tc>
      </w:tr>
      <w:tr>
        <w:trPr>
          <w:trHeight w:val="224"/>
        </w:trPr>
        <w:tc>
          <w:tcPr>
            <w:tcW w:w="7980" w:type="dxa"/>
            <w:vAlign w:val="bottom"/>
          </w:tcPr>
          <w:p>
            <w:pPr>
              <w:ind w:left="380"/>
              <w:spacing w:after="0"/>
              <w:rPr>
                <w:sz w:val="20"/>
                <w:szCs w:val="20"/>
                <w:color w:val="auto"/>
              </w:rPr>
            </w:pPr>
            <w:r>
              <w:rPr>
                <w:rFonts w:ascii="Arial" w:cs="Arial" w:eastAsia="Arial" w:hAnsi="Arial"/>
                <w:sz w:val="16"/>
                <w:szCs w:val="16"/>
                <w:color w:val="auto"/>
              </w:rPr>
              <w:t>Repayment of debt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(450.0)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(250.0)</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financing activities</w:t>
            </w: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7980" w:type="dxa"/>
            <w:vAlign w:val="bottom"/>
          </w:tcPr>
          <w:p>
            <w:pPr>
              <w:ind w:left="760"/>
              <w:spacing w:after="0"/>
              <w:rPr>
                <w:sz w:val="20"/>
                <w:szCs w:val="20"/>
                <w:color w:val="auto"/>
              </w:rPr>
            </w:pPr>
            <w:r>
              <w:rPr>
                <w:rFonts w:ascii="Arial" w:cs="Arial" w:eastAsia="Arial" w:hAnsi="Arial"/>
                <w:sz w:val="16"/>
                <w:szCs w:val="16"/>
                <w:color w:val="auto"/>
              </w:rPr>
              <w:t>Net cash used in financing activities</w:t>
            </w: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(642.6)</w:t>
            </w: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(366.1)</w:t>
            </w:r>
          </w:p>
        </w:tc>
      </w:tr>
      <w:tr>
        <w:trPr>
          <w:trHeight w:val="33"/>
        </w:trPr>
        <w:tc>
          <w:tcPr>
            <w:tcW w:w="7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(334.9)</w:t>
            </w: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37.9</w:t>
            </w:r>
          </w:p>
        </w:tc>
      </w:tr>
      <w:tr>
        <w:trPr>
          <w:trHeight w:val="33"/>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1,774.7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886.0</w:t>
            </w: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960" w:type="dxa"/>
            <w:vAlign w:val="bottom"/>
            <w:tcBorders>
              <w:top w:val="single" w:sz="8" w:color="auto"/>
            </w:tcBorders>
          </w:tcPr>
          <w:p>
            <w:pPr>
              <w:jc w:val="right"/>
              <w:ind w:right="783"/>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1,439.8</w:t>
            </w:r>
          </w:p>
        </w:tc>
        <w:tc>
          <w:tcPr>
            <w:tcW w:w="100" w:type="dxa"/>
            <w:vAlign w:val="bottom"/>
          </w:tcPr>
          <w:p>
            <w:pPr>
              <w:spacing w:after="0"/>
              <w:rPr>
                <w:sz w:val="18"/>
                <w:szCs w:val="18"/>
                <w:color w:val="auto"/>
              </w:rPr>
            </w:pPr>
          </w:p>
        </w:tc>
        <w:tc>
          <w:tcPr>
            <w:tcW w:w="980" w:type="dxa"/>
            <w:vAlign w:val="bottom"/>
            <w:tcBorders>
              <w:top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923.9</w:t>
            </w:r>
          </w:p>
        </w:tc>
      </w:tr>
      <w:tr>
        <w:trPr>
          <w:trHeight w:val="73"/>
        </w:trPr>
        <w:tc>
          <w:tcPr>
            <w:tcW w:w="798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r>
      <w:tr>
        <w:trPr>
          <w:trHeight w:val="278"/>
        </w:trPr>
        <w:tc>
          <w:tcPr>
            <w:tcW w:w="79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223"/>
        </w:trPr>
        <w:tc>
          <w:tcPr>
            <w:tcW w:w="7980" w:type="dxa"/>
            <w:vAlign w:val="bottom"/>
          </w:tcPr>
          <w:p>
            <w:pPr>
              <w:ind w:left="40"/>
              <w:spacing w:after="0"/>
              <w:rPr>
                <w:sz w:val="20"/>
                <w:szCs w:val="20"/>
                <w:color w:val="auto"/>
              </w:rPr>
            </w:pPr>
            <w:r>
              <w:rPr>
                <w:rFonts w:ascii="Arial" w:cs="Arial" w:eastAsia="Arial" w:hAnsi="Arial"/>
                <w:sz w:val="16"/>
                <w:szCs w:val="16"/>
                <w:color w:val="auto"/>
              </w:rPr>
              <w:t>Supplemental cash flow disclosure:</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7"/>
        </w:trPr>
        <w:tc>
          <w:tcPr>
            <w:tcW w:w="7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financing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380"/>
              <w:spacing w:after="0"/>
              <w:rPr>
                <w:sz w:val="20"/>
                <w:szCs w:val="20"/>
                <w:color w:val="auto"/>
              </w:rPr>
            </w:pPr>
            <w:r>
              <w:rPr>
                <w:rFonts w:ascii="Arial" w:cs="Arial" w:eastAsia="Arial" w:hAnsi="Arial"/>
                <w:sz w:val="16"/>
                <w:szCs w:val="16"/>
                <w:color w:val="auto"/>
              </w:rPr>
              <w:t>Fair value of common stock issued to settle liability-classified restricted stock units</w:t>
            </w:r>
          </w:p>
        </w:tc>
        <w:tc>
          <w:tcPr>
            <w:tcW w:w="960" w:type="dxa"/>
            <w:vAlign w:val="bottom"/>
          </w:tcPr>
          <w:p>
            <w:pPr>
              <w:jc w:val="right"/>
              <w:ind w:right="783"/>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553"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accompanying unaudited Condensed Consolidated Financial Statements of Autodesk, Inc. (“Autodesk,” “we,” “us,” “our,” or the “Company”) as of July 31, 2020, and for the three and six months ended July 31, 2020 and 2019,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six months ended July 31, 2020, are not necessarily indicative of the results for the entire fiscal year ending January 31, 2021, or for any other period. Further, the balance sheet as of January 31, 2020, has been derived from the audited Consolidated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2020.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2020, filed on March 19,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With the exception of those discussed below, there have been no recent changes in accounting pronouncements issued by the Financial Accounting Standards Board (“FASB”) or adopted by the Company during the six months ended July 31, 2020, that are applicable to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adopted</w:t>
      </w:r>
    </w:p>
    <w:p>
      <w:pPr>
        <w:spacing w:after="0" w:line="225"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In June 2016, FASB issued ASU No. 2016-13 regarding ASC Topic 326, "Financial Instruments - Credit Losses," which requires the measurement and recognition of expected credit losses for certain financial instruments using forward-looking information to calculate credit loss estimates. Autodesk adopted ASU 2016-13 as of the effective date which represents Autodesk’s fiscal year beginning February 1, 2020. The ASU did not have a material impact on Autodesk's consolidated financial statements at adoption.</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Adoption and policy elections</w:t>
      </w:r>
    </w:p>
    <w:p>
      <w:pPr>
        <w:spacing w:after="0" w:line="225"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Allowances for uncollectible trade receivables and contract assets are subject to impairment using the expected credit loss model. Allowances for expected credit losses are measured based upon the lifetime expected credit loss which is based on historical experience, the number of days that billings are past due, reasonable economic forecast, including revised forecast data for the current economic environment, customer payment behavior, credit reports and other customer specific information. Allowances for credit losses on trade receivables and contract assets were not material as of July 31, 2020.</w:t>
      </w:r>
    </w:p>
    <w:p>
      <w:pPr>
        <w:spacing w:after="0" w:line="15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Autodesk’s investments in available-for-sale debt securities are subject to a periodic impairment review. If Autodesk does not intend to sell and it is more likely than not that Autodesk will not be required to sell the available-for-sale debt security prior to recovery of its amortized cost basis, Autodesk will determine whether a decline in fair value below the amortized cost basis is due to credit-related factors. The credit loss is measured as the amount by which the debt security’s amortized cost basis exceeds the estimate of the present value of cash flows expected to be collected, up to the difference between the amortized cost basis and the fair value. Impairment will be assessed at the individual security level. Credit-related impairment is recognized as an allowance on the Condensed Consolidated Balance Sheets with a corresponding adjustment to "Interest and other expense, net" on the Company's Condensed Consolidated Statements of Operations. Any impairment that is not credit-related is recognized in “Accumulated other comprehensive loss” on the Condensed Consolidated Balance Sheets.</w:t>
      </w:r>
    </w:p>
    <w:p>
      <w:pPr>
        <w:spacing w:after="0" w:line="178"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Autodesk does not measure an allowance for credit losses on accrued interest receivables on available-for-sale debt securities separately. Autodesk writes off accrued interest receivables by reversing interest income in the period deemed uncollectible in “Interest and other expense, net” on the Company's unaudited Condensed Consolidated Statements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553" w:right="359" w:bottom="1440" w:gutter="0" w:footer="0" w:header="0"/>
        </w:sectPr>
      </w:pPr>
    </w:p>
    <w:bookmarkStart w:id="8" w:name="page9"/>
    <w:bookmarkEnd w:id="8"/>
    <w:p>
      <w:pPr>
        <w:ind w:right="220"/>
        <w:spacing w:after="0" w:line="308" w:lineRule="auto"/>
        <w:rPr>
          <w:sz w:val="20"/>
          <w:szCs w:val="20"/>
          <w:color w:val="auto"/>
        </w:rPr>
      </w:pPr>
      <w:r>
        <w:rPr>
          <w:rFonts w:ascii="Arial" w:cs="Arial" w:eastAsia="Arial" w:hAnsi="Arial"/>
          <w:sz w:val="17"/>
          <w:szCs w:val="17"/>
          <w:color w:val="auto"/>
        </w:rPr>
        <w:t>Operations. Any accrued interest receivable on available-for-sale debt securities is recorded in “Cash and cash equivalents”, “Prepaid expenses and other current assets,” or "Long-term other assets,” in the accompanying Condensed Consolidated Balance Sheets, as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 not yet adopted</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In March 2020, FASB issued ASU No. 2020-04, "Reference Rate Reform (Topic 848): Facilitation of the Effects of Reference Rate Reform on Financial Reporting" ("ASU No. 2020-04"), which provides optional expedients and exceptions for applying generally accepted accounting principles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The amendments are effective for all entities as of March 12, 2020 through December 31, 2022. The expedients and exceptions provided by the amendments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Autodesk will apply the expedients in ASU No. 2020-04 through December 31, 2022. Autodesk does not believe ASU No. 2020-04 will have a material impact on its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Disaggregation</w:t>
      </w:r>
    </w:p>
    <w:p>
      <w:pPr>
        <w:spacing w:after="0" w:line="225" w:lineRule="exact"/>
        <w:rPr>
          <w:sz w:val="20"/>
          <w:szCs w:val="20"/>
          <w:color w:val="auto"/>
        </w:rPr>
      </w:pPr>
    </w:p>
    <w:p>
      <w:pPr>
        <w:ind w:right="20" w:firstLine="432"/>
        <w:spacing w:after="0" w:line="263" w:lineRule="auto"/>
        <w:rPr>
          <w:sz w:val="20"/>
          <w:szCs w:val="20"/>
          <w:color w:val="auto"/>
        </w:rPr>
      </w:pPr>
      <w:r>
        <w:rPr>
          <w:rFonts w:ascii="Arial" w:cs="Arial" w:eastAsia="Arial" w:hAnsi="Arial"/>
          <w:sz w:val="18"/>
          <w:szCs w:val="18"/>
          <w:color w:val="auto"/>
        </w:rPr>
        <w:t>Autodesk recognizes revenue from the sale of (1) product subscriptions, cloud service offerings, and EBAs, (2) renewal fees for existing maintenance plan agreements that were initially purchased with a perpetual software license, and (3) consulting, training and other goods and services. The three categories are presented as line items on Autodesk's Condensed Consolidated Statements of Operations.</w:t>
      </w:r>
    </w:p>
    <w:p>
      <w:pPr>
        <w:spacing w:after="0" w:line="184"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Information regarding the components of Autodesk's net revenue from contracts with customers by product family, geographic location, and sales channel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July 31,</w:t>
            </w:r>
          </w:p>
        </w:tc>
        <w:tc>
          <w:tcPr>
            <w:tcW w:w="320" w:type="dxa"/>
            <w:vAlign w:val="bottom"/>
          </w:tcPr>
          <w:p>
            <w:pPr>
              <w:spacing w:after="0"/>
              <w:rPr>
                <w:sz w:val="16"/>
                <w:szCs w:val="16"/>
                <w:color w:val="auto"/>
              </w:rPr>
            </w:pPr>
          </w:p>
        </w:tc>
        <w:tc>
          <w:tcPr>
            <w:tcW w:w="24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 July 31,</w:t>
            </w:r>
          </w:p>
        </w:tc>
      </w:tr>
      <w:tr>
        <w:trPr>
          <w:trHeight w:val="264"/>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product family:</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397.0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334.2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779.7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638.5</w:t>
            </w: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AutoCAD and AutoCAD LT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444.5</w:t>
            </w: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3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185.5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174.6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368.4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342.1</w:t>
            </w: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96.3</w:t>
            </w: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10.9</w:t>
            </w:r>
          </w:p>
        </w:tc>
      </w:tr>
      <w:tr>
        <w:trPr>
          <w:trHeight w:val="33"/>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1,532.3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geographic area:</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3"/>
        </w:trPr>
        <w:tc>
          <w:tcPr>
            <w:tcW w:w="5520" w:type="dxa"/>
            <w:vAlign w:val="bottom"/>
          </w:tcPr>
          <w:p>
            <w:pPr>
              <w:ind w:left="38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7"/>
        </w:trPr>
        <w:tc>
          <w:tcPr>
            <w:tcW w:w="5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5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517.0</w:t>
            </w:r>
          </w:p>
        </w:tc>
      </w:tr>
      <w:tr>
        <w:trPr>
          <w:trHeight w:val="237"/>
        </w:trPr>
        <w:tc>
          <w:tcPr>
            <w:tcW w:w="552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3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104.7</w:t>
            </w:r>
          </w:p>
        </w:tc>
      </w:tr>
      <w:tr>
        <w:trPr>
          <w:trHeight w:val="33"/>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325.9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621.7</w:t>
            </w: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3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354.7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316.2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699.5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613.4</w:t>
            </w: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297.2</w:t>
            </w:r>
          </w:p>
        </w:tc>
      </w:tr>
      <w:tr>
        <w:trPr>
          <w:trHeight w:val="217"/>
        </w:trPr>
        <w:tc>
          <w:tcPr>
            <w:tcW w:w="5520" w:type="dxa"/>
            <w:vAlign w:val="bottom"/>
          </w:tcPr>
          <w:p>
            <w:pPr>
              <w:ind w:left="40"/>
              <w:spacing w:after="0"/>
              <w:rPr>
                <w:sz w:val="20"/>
                <w:szCs w:val="20"/>
                <w:color w:val="auto"/>
              </w:rPr>
            </w:pPr>
            <w:r>
              <w:rPr>
                <w:rFonts w:ascii="Arial" w:cs="Arial" w:eastAsia="Arial" w:hAnsi="Arial"/>
                <w:sz w:val="16"/>
                <w:szCs w:val="16"/>
                <w:color w:val="auto"/>
              </w:rPr>
              <w:t>Total net revenue</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913.1</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796.8</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1,798.8</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1,532.3</w:t>
            </w:r>
          </w:p>
        </w:tc>
      </w:tr>
      <w:tr>
        <w:trPr>
          <w:trHeight w:val="73"/>
        </w:trPr>
        <w:tc>
          <w:tcPr>
            <w:tcW w:w="55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278"/>
        </w:trPr>
        <w:tc>
          <w:tcPr>
            <w:tcW w:w="55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23"/>
        </w:trPr>
        <w:tc>
          <w:tcPr>
            <w:tcW w:w="5520" w:type="dxa"/>
            <w:vAlign w:val="bottom"/>
          </w:tcPr>
          <w:p>
            <w:pPr>
              <w:ind w:left="40"/>
              <w:spacing w:after="0"/>
              <w:rPr>
                <w:sz w:val="20"/>
                <w:szCs w:val="20"/>
                <w:color w:val="auto"/>
              </w:rPr>
            </w:pPr>
            <w:r>
              <w:rPr>
                <w:rFonts w:ascii="Arial" w:cs="Arial" w:eastAsia="Arial" w:hAnsi="Arial"/>
                <w:sz w:val="16"/>
                <w:szCs w:val="16"/>
                <w:color w:val="auto"/>
              </w:rPr>
              <w:t>Net revenue by sales channel:</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7"/>
        </w:trPr>
        <w:tc>
          <w:tcPr>
            <w:tcW w:w="5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Indirect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1,262.7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1,076.6</w:t>
            </w: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Direct</w:t>
            </w:r>
          </w:p>
        </w:tc>
        <w:tc>
          <w:tcPr>
            <w:tcW w:w="3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273.8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236.6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536.1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455.7</w:t>
            </w:r>
          </w:p>
        </w:tc>
      </w:tr>
      <w:tr>
        <w:trPr>
          <w:trHeight w:val="33"/>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1,798.8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1,532.3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57" w:right="339" w:bottom="1440" w:gutter="0" w:footer="0" w:header="0"/>
        </w:sectPr>
      </w:pPr>
    </w:p>
    <w:bookmarkStart w:id="9" w:name="page10"/>
    <w:bookmarkEnd w:id="9"/>
    <w:p>
      <w:pPr>
        <w:ind w:right="40" w:firstLine="405"/>
        <w:spacing w:after="0" w:line="296" w:lineRule="auto"/>
        <w:rPr>
          <w:sz w:val="20"/>
          <w:szCs w:val="20"/>
          <w:color w:val="auto"/>
        </w:rPr>
      </w:pPr>
      <w:r>
        <w:rPr>
          <w:rFonts w:ascii="Arial" w:cs="Arial" w:eastAsia="Arial" w:hAnsi="Arial"/>
          <w:sz w:val="16"/>
          <w:szCs w:val="16"/>
          <w:color w:val="auto"/>
        </w:rPr>
        <w:t>Payments for product subscriptions, industry collections, cloud subscriptions, and maintenance subscriptions are typically due up front with payment terms of 30 to 45 days. As a result of the COVID-19 pandemic, we extended contract payment terms for up to 60 days through August 7, 2020, for all customers and partners for new orders and renewals placed directly with Autodesk. Payments on EBAs are typically due in annual installments over the contract term, with payment terms of 30 to 60 days. Autodesk does not have any material variable consideration, such as obligations for returns, refunds, warranties or amounts due to customers for which significant estimation or judgment is required as of the reporting date.</w:t>
      </w:r>
    </w:p>
    <w:p>
      <w:pPr>
        <w:spacing w:after="0" w:line="161" w:lineRule="exact"/>
        <w:rPr>
          <w:sz w:val="20"/>
          <w:szCs w:val="20"/>
          <w:color w:val="auto"/>
        </w:rPr>
      </w:pPr>
    </w:p>
    <w:p>
      <w:pPr>
        <w:ind w:right="180" w:firstLine="405"/>
        <w:spacing w:after="0" w:line="301" w:lineRule="auto"/>
        <w:rPr>
          <w:sz w:val="20"/>
          <w:szCs w:val="20"/>
          <w:color w:val="auto"/>
        </w:rPr>
      </w:pPr>
      <w:r>
        <w:rPr>
          <w:rFonts w:ascii="Arial" w:cs="Arial" w:eastAsia="Arial" w:hAnsi="Arial"/>
          <w:sz w:val="16"/>
          <w:szCs w:val="16"/>
          <w:color w:val="auto"/>
        </w:rPr>
        <w:t>Remaining performance obligations consist of total short-term, long-term and unbilled deferred revenue. As of July 31, 2020, Autodesk had remaining performance obligations of $3.35 billion, which represents the total contract price allocated to remaining performance obligations, which are generally recognized over the next three years. We expect to recognize $2.31 billion or 69% of our remaining performance obligations as revenue during the next 12 months. We expect to recognize the remaining $1.04 billion or 31% of our remaining performance obligations as revenue thereafter.</w:t>
      </w:r>
    </w:p>
    <w:p>
      <w:pPr>
        <w:spacing w:after="0" w:line="157"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The amount of remaining performance obligations may be impacted by the specific timing, duration and size of customer subscription and support agreements, varying billing cycles of such agreements, the specific timing of customer renewals, and foreign currency fluctuations.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ind w:right="100" w:firstLine="405"/>
        <w:spacing w:after="0" w:line="311" w:lineRule="auto"/>
        <w:rPr>
          <w:sz w:val="20"/>
          <w:szCs w:val="20"/>
          <w:color w:val="auto"/>
        </w:rPr>
      </w:pPr>
      <w:r>
        <w:rPr>
          <w:rFonts w:ascii="Arial" w:cs="Arial" w:eastAsia="Arial" w:hAnsi="Arial"/>
          <w:sz w:val="16"/>
          <w:szCs w:val="16"/>
          <w:color w:val="auto"/>
        </w:rPr>
        <w:t>We receive payments from customers based on a billing schedule as established in our contracts. Contract assets relate to performance completed in advance of scheduled billings. Contract assets were not material as of July 31, 2020. Deferred revenue relates to billings in advance of performance under the contract. The primary changes in our contract assets and deferred revenues are due to our performance under the contracts and billings.</w:t>
      </w:r>
    </w:p>
    <w:p>
      <w:pPr>
        <w:spacing w:after="0" w:line="14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Revenue recognized during the six months ended July 31, 2020 and 2019, that was included in the deferred revenue balances at January 31, 2020 and 2019, was $1.43 billion and $1.19 billion, respectively. The satisfaction of performance obligations typically lags behind payments received under revenue contracts from customers.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$650.0 million line of credit facility. See Note 13, "Borrowing Arrangements," in the Notes to Condensed Consolidated Financial Statements for further discussion.</w:t>
      </w:r>
    </w:p>
    <w:p>
      <w:pPr>
        <w:spacing w:after="0" w:line="188"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Total sales to the Company's largest distributor Tech Data Corporation and its global affiliates (“Tech Data”) accounted for 37% and 38% of Autodesk’s total net revenue for the three and six months ended July 31, 2020, respectively. Total sales to the Tech Data accounted for 35% of Autodesk’s total net revenue for both the three and six months ended July 31, 2019. The majority of the net revenue from sales to Tech Data is for sales made outside of the United States. In addition, Tech Data accounted for 39% and 31% of trade accounts receivable at July 31, 2020, and January 31, 2020, respectively. Ingram Micro Inc. ("Ingram Micro") accounted for 10% of Autodesk's total net revenue during both the three and six months ended July 31, 2020 and 2019. No other customer accounted for more than 10% of Autodesk's total net revenue or trade accounts receivable for each of the respective periods.</w:t>
      </w: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320" w:top="746"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5</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July 31, 2020, and January 31, 2020:</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July 31, 2020</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60" w:type="dxa"/>
            <w:vAlign w:val="bottom"/>
          </w:tcPr>
          <w:p>
            <w:pPr>
              <w:jc w:val="center"/>
              <w:ind w:right="61"/>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8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00" w:type="dxa"/>
            <w:vAlign w:val="bottom"/>
          </w:tcPr>
          <w:p>
            <w:pPr>
              <w:ind w:left="34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860" w:type="dxa"/>
            <w:vAlign w:val="bottom"/>
          </w:tcPr>
          <w:p>
            <w:pPr>
              <w:jc w:val="center"/>
              <w:ind w:right="61"/>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140"/>
              <w:spacing w:after="0"/>
              <w:rPr>
                <w:sz w:val="20"/>
                <w:szCs w:val="20"/>
                <w:color w:val="auto"/>
              </w:rPr>
            </w:pPr>
            <w:r>
              <w:rPr>
                <w:rFonts w:ascii="Arial" w:cs="Arial" w:eastAsia="Arial" w:hAnsi="Arial"/>
                <w:sz w:val="16"/>
                <w:szCs w:val="16"/>
                <w:color w:val="auto"/>
              </w:rPr>
              <w:t>Commercial paper</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140"/>
              <w:spacing w:after="0"/>
              <w:rPr>
                <w:sz w:val="20"/>
                <w:szCs w:val="20"/>
                <w:color w:val="auto"/>
              </w:rPr>
            </w:pPr>
            <w:r>
              <w:rPr>
                <w:rFonts w:ascii="Arial" w:cs="Arial" w:eastAsia="Arial" w:hAnsi="Arial"/>
                <w:sz w:val="16"/>
                <w:szCs w:val="16"/>
                <w:color w:val="auto"/>
              </w:rPr>
              <w:t>Other (2)</w:t>
            </w:r>
          </w:p>
        </w:tc>
        <w:tc>
          <w:tcPr>
            <w:tcW w:w="14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140"/>
              <w:spacing w:after="0"/>
              <w:rPr>
                <w:sz w:val="20"/>
                <w:szCs w:val="20"/>
                <w:color w:val="auto"/>
              </w:rPr>
            </w:pPr>
            <w:r>
              <w:rPr>
                <w:rFonts w:ascii="Arial" w:cs="Arial" w:eastAsia="Arial" w:hAnsi="Arial"/>
                <w:sz w:val="16"/>
                <w:szCs w:val="16"/>
                <w:color w:val="auto"/>
              </w:rPr>
              <w:t>Short-term available for sale</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(3)</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140"/>
              <w:spacing w:after="0"/>
              <w:rPr>
                <w:sz w:val="20"/>
                <w:szCs w:val="20"/>
                <w:color w:val="auto"/>
              </w:rPr>
            </w:pPr>
            <w:r>
              <w:rPr>
                <w:rFonts w:ascii="Arial" w:cs="Arial" w:eastAsia="Arial" w:hAnsi="Arial"/>
                <w:sz w:val="16"/>
                <w:szCs w:val="16"/>
                <w:color w:val="auto"/>
              </w:rPr>
              <w:t>Short-term trading securities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Mutual funds (4)</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Non-marketable securities derivative assets (5)</w:t>
            </w:r>
          </w:p>
        </w:tc>
        <w:tc>
          <w:tcPr>
            <w:tcW w:w="14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assets (5)</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Derivative contract liabilities (6)</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822.3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816.0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788.0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40" w:hanging="412"/>
        <w:spacing w:after="0" w:line="249" w:lineRule="auto"/>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 These investments are classified as debt securities with stated contractual maturities due within one year.</w:t>
      </w: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Consists of custody cash deposits and certificates of deposit.</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Consists of commercial paper and municipal bonds.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See Note 11, "Deferred Compensation " for more information.</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“Long-term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January 31, 2020</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20" w:type="dxa"/>
            <w:vAlign w:val="bottom"/>
          </w:tcPr>
          <w:p>
            <w:pPr>
              <w:jc w:val="center"/>
              <w:ind w:right="21"/>
              <w:spacing w:after="0" w:line="153"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5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92"/>
        </w:trPr>
        <w:tc>
          <w:tcPr>
            <w:tcW w:w="3860" w:type="dxa"/>
            <w:vAlign w:val="bottom"/>
          </w:tcPr>
          <w:p>
            <w:pPr>
              <w:ind w:left="26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820" w:type="dxa"/>
            <w:vAlign w:val="bottom"/>
          </w:tcPr>
          <w:p>
            <w:pPr>
              <w:jc w:val="center"/>
              <w:ind w:right="21"/>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140"/>
              <w:spacing w:after="0"/>
              <w:rPr>
                <w:sz w:val="20"/>
                <w:szCs w:val="20"/>
                <w:color w:val="auto"/>
              </w:rPr>
            </w:pPr>
            <w:r>
              <w:rPr>
                <w:rFonts w:ascii="Arial" w:cs="Arial" w:eastAsia="Arial" w:hAnsi="Arial"/>
                <w:sz w:val="16"/>
                <w:szCs w:val="16"/>
                <w:color w:val="auto"/>
              </w:rPr>
              <w:t>Agency bonds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86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1,135.5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1,135.5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1,135.5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(2)</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trading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60" w:type="dxa"/>
            <w:vAlign w:val="bottom"/>
          </w:tcPr>
          <w:p>
            <w:pPr>
              <w:ind w:left="260"/>
              <w:spacing w:after="0"/>
              <w:rPr>
                <w:sz w:val="20"/>
                <w:szCs w:val="20"/>
                <w:color w:val="auto"/>
              </w:rPr>
            </w:pPr>
            <w:r>
              <w:rPr>
                <w:rFonts w:ascii="Arial" w:cs="Arial" w:eastAsia="Arial" w:hAnsi="Arial"/>
                <w:sz w:val="16"/>
                <w:szCs w:val="16"/>
                <w:color w:val="auto"/>
              </w:rPr>
              <w:t>Mutual funds (3)</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Non-marketable equity security derivative asset (4)</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6"/>
                <w:szCs w:val="16"/>
                <w:color w:val="auto"/>
              </w:rPr>
              <w:t>Derivative contract assets (4)</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liabilities (5)</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3860" w:type="dxa"/>
            <w:vAlign w:val="bottom"/>
          </w:tcPr>
          <w:p>
            <w:pPr>
              <w:ind w:left="26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1,241.6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1,254.4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1,205.8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40" w:hanging="412"/>
        <w:spacing w:after="0" w:line="249"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 These investments are classified as debt securities with stated contractual maturities due in one year.</w:t>
      </w: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custody cash deposits and certificates of deposit.</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See Note 11, "Deferred Compensation " for more information.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557" w:right="359" w:bottom="1440" w:gutter="0" w:footer="0" w:header="0"/>
        </w:sectPr>
      </w:pPr>
    </w:p>
    <w:bookmarkStart w:id="11" w:name="page12"/>
    <w:bookmarkEnd w:id="11"/>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"Long-term other assets," in the accompanying Condensed Consolidated Balance Sheets.</w:t>
      </w:r>
    </w:p>
    <w:p>
      <w:pPr>
        <w:spacing w:after="0" w:line="19" w:lineRule="exact"/>
        <w:rPr>
          <w:rFonts w:ascii="Arial" w:cs="Arial" w:eastAsia="Arial" w:hAnsi="Arial"/>
          <w:sz w:val="16"/>
          <w:szCs w:val="16"/>
          <w:color w:val="auto"/>
        </w:rPr>
      </w:pPr>
    </w:p>
    <w:p>
      <w:pPr>
        <w:ind w:left="420" w:hanging="412"/>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176"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w:t>
      </w:r>
    </w:p>
    <w:p>
      <w:pPr>
        <w:spacing w:after="0" w:line="184"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As of both July 31, 2020, and January 31, 2020, Autodesk had no material unrealized losses, individually and in the aggregate, for marketable debt securities that are in a continuous unrealized loss position for greater than twelve months. Total unrealized gains for securities with net gains in accumulated other comprehensive income was not material for the six months ended July 31, 2020.</w:t>
      </w:r>
    </w:p>
    <w:p>
      <w:pPr>
        <w:spacing w:after="0" w:line="184"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Autodesk monitors all marketable debt securities for potential credit losses by reviewing indicators such as, but not limited to, current credit rating, change in credit rating, credit outlook, and default risk. There were no allowances for credit losses for the six months ended July 31, 2020. There were no write offs of accrued interest receivables for the six months ended July 31, 2020.</w:t>
      </w:r>
    </w:p>
    <w:p>
      <w:pPr>
        <w:spacing w:after="0" w:line="184"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There was no realized gain or loss for the sales or redemptions of debt securities during the six months ended July 31, 2020 and 2019. Gains and losses resulting from the sale or redemption of debt securities are recorded in “Interest and other expense, net” on the Company's Condensed Consolidated Statements of Operations.</w:t>
      </w:r>
    </w:p>
    <w:p>
      <w:pPr>
        <w:spacing w:after="0" w:line="184"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There was $11.0 million in proceeds from the sale and maturity of marketable debt securities for the three and six months ended July 31, 2020. Proceeds from the sale and maturity of marketable debt securities for the three and six months ended July 31, 2019, was $22.8 million and $27.4 million, respectively.</w:t>
      </w:r>
    </w:p>
    <w:p>
      <w:pPr>
        <w:spacing w:after="0" w:line="184"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As of July 31, 2020, Autodesk had $5.3 million in non-marketable debt securities in privately held companies. As of July 31, 2020, both the amortized cost and fair value was $5.3 million and is classified as level 3 in the fair value hierarchy. There were no allowances for credit losses for the six months ended July 31, 2020.</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Non-marketable equity securities</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of July 31, 2020, and January 31, 2020, Autodesk had $136.2 million and $122.5 million in direct investments in privately held companies, respectively. These non-marketable equity security investments do not have readily determined fair values, and Autodesk uses the measurement alternative to account for the adjustment to these investments in a given quarter. If Autodesk determines that an impairment has occurred, Autodesk writes down the investment to its fair value.</w:t>
      </w:r>
    </w:p>
    <w:p>
      <w:pPr>
        <w:spacing w:after="0" w:line="18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Adjustments to the carrying value of our non-marketable equity securities with no readily determined fair values measured using the measurement alternative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Six Months Ended July 31,</w:t>
            </w:r>
          </w:p>
        </w:tc>
        <w:tc>
          <w:tcPr>
            <w:tcW w:w="160" w:type="dxa"/>
            <w:vAlign w:val="bottom"/>
          </w:tcPr>
          <w:p>
            <w:pPr>
              <w:spacing w:after="0"/>
              <w:rPr>
                <w:sz w:val="14"/>
                <w:szCs w:val="14"/>
                <w:color w:val="auto"/>
              </w:rPr>
            </w:pPr>
          </w:p>
        </w:tc>
        <w:tc>
          <w:tcPr>
            <w:tcW w:w="1100" w:type="dxa"/>
            <w:vAlign w:val="bottom"/>
          </w:tcPr>
          <w:p>
            <w:pPr>
              <w:jc w:val="center"/>
              <w:ind w:right="104"/>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92"/>
        </w:trPr>
        <w:tc>
          <w:tcPr>
            <w:tcW w:w="7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84"/>
              <w:spacing w:after="0"/>
              <w:rPr>
                <w:sz w:val="20"/>
                <w:szCs w:val="20"/>
                <w:color w:val="auto"/>
              </w:rPr>
            </w:pPr>
            <w:r>
              <w:rPr>
                <w:rFonts w:ascii="Arial" w:cs="Arial" w:eastAsia="Arial" w:hAnsi="Arial"/>
                <w:sz w:val="14"/>
                <w:szCs w:val="14"/>
                <w:b w:val="1"/>
                <w:bCs w:val="1"/>
                <w:color w:val="auto"/>
                <w:w w:val="91"/>
              </w:rPr>
              <w:t>Amount as of</w:t>
            </w:r>
          </w:p>
        </w:tc>
        <w:tc>
          <w:tcPr>
            <w:tcW w:w="0" w:type="dxa"/>
            <w:vAlign w:val="bottom"/>
          </w:tcPr>
          <w:p>
            <w:pPr>
              <w:spacing w:after="0"/>
              <w:rPr>
                <w:sz w:val="1"/>
                <w:szCs w:val="1"/>
                <w:color w:val="auto"/>
              </w:rPr>
            </w:pPr>
          </w:p>
        </w:tc>
      </w:tr>
      <w:tr>
        <w:trPr>
          <w:trHeight w:val="263"/>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2"/>
              </w:rPr>
              <w:t>July 31, 2020</w:t>
            </w:r>
          </w:p>
        </w:tc>
        <w:tc>
          <w:tcPr>
            <w:tcW w:w="0" w:type="dxa"/>
            <w:vAlign w:val="bottom"/>
          </w:tcPr>
          <w:p>
            <w:pPr>
              <w:spacing w:after="0"/>
              <w:rPr>
                <w:sz w:val="1"/>
                <w:szCs w:val="1"/>
                <w:color w:val="auto"/>
              </w:rPr>
            </w:pPr>
          </w:p>
        </w:tc>
      </w:tr>
      <w:tr>
        <w:trPr>
          <w:trHeight w:val="23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Upward adjustments (1)</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3.0</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Negative adjustments, including impairments (1)</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33"/>
        </w:trPr>
        <w:tc>
          <w:tcPr>
            <w:tcW w:w="7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shd w:val="clear" w:color="auto" w:fill="CCEEFF"/>
          </w:tcPr>
          <w:p>
            <w:pPr>
              <w:jc w:val="center"/>
              <w:ind w:right="5199"/>
              <w:spacing w:after="0"/>
              <w:rPr>
                <w:sz w:val="20"/>
                <w:szCs w:val="20"/>
                <w:color w:val="auto"/>
              </w:rPr>
            </w:pPr>
            <w:r>
              <w:rPr>
                <w:rFonts w:ascii="Arial" w:cs="Arial" w:eastAsia="Arial" w:hAnsi="Arial"/>
                <w:sz w:val="16"/>
                <w:szCs w:val="16"/>
                <w:color w:val="auto"/>
                <w:w w:val="91"/>
              </w:rPr>
              <w:t>Net adjustments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20"/>
        </w:trPr>
        <w:tc>
          <w:tcPr>
            <w:tcW w:w="7100" w:type="dxa"/>
            <w:vAlign w:val="bottom"/>
          </w:tcPr>
          <w:p>
            <w:pPr>
              <w:jc w:val="right"/>
              <w:ind w:right="5219"/>
              <w:spacing w:after="0"/>
              <w:rPr>
                <w:sz w:val="20"/>
                <w:szCs w:val="20"/>
                <w:color w:val="auto"/>
              </w:rPr>
            </w:pPr>
            <w:r>
              <w:rPr>
                <w:rFonts w:ascii="Arial" w:cs="Arial" w:eastAsia="Arial" w:hAnsi="Arial"/>
                <w:sz w:val="18"/>
                <w:szCs w:val="18"/>
                <w:color w:val="auto"/>
                <w:w w:val="88"/>
              </w:rPr>
              <w:t>____________________</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Included in "Interest and other expense, net" on the Company's Condensed Consolidated Statements of Operations.</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contracts designated as cash flow hedges</w:t>
      </w:r>
    </w:p>
    <w:p>
      <w:pPr>
        <w:spacing w:after="0" w:line="225"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notional amounts of these contracts are presented net settled and were $1.18 billion at July 31, 2020, and $981.3 million at January 31, 2020. Outstanding contracts are recognized as either assets or liabilities on the Company's Condensed Consolidated Balance Sheet at fair value. The majority of the net loss of $7.1 million remaining in “Accumulated other comprehensive loss” as of July 31, 2020, is expected to be recognized into earnings within the next twenty-four months.</w:t>
      </w: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320" w:top="562" w:right="419" w:bottom="1440" w:gutter="0" w:footer="0" w:header="0"/>
        </w:sectPr>
      </w:pPr>
    </w:p>
    <w:bookmarkStart w:id="12" w:name="page13"/>
    <w:bookmarkEnd w:id="12"/>
    <w:p>
      <w:pPr>
        <w:jc w:val="both"/>
        <w:ind w:right="60" w:firstLine="405"/>
        <w:spacing w:after="0" w:line="263" w:lineRule="auto"/>
        <w:rPr>
          <w:sz w:val="20"/>
          <w:szCs w:val="20"/>
          <w:color w:val="auto"/>
        </w:rPr>
      </w:pPr>
      <w:r>
        <w:rPr>
          <w:rFonts w:ascii="Arial" w:cs="Arial" w:eastAsia="Arial" w:hAnsi="Arial"/>
          <w:sz w:val="18"/>
          <w:szCs w:val="18"/>
          <w:color w:val="auto"/>
        </w:rPr>
        <w:t>The location and amount of gain or loss recognized in income on cash flow hedges together with the total amount of income or expense presented in the Company's Condensed Consolidated Statements of Operations where the effects of the hedge are recorded were as follows for the three and six months ended July 31, 2020 and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 July 31, 2020</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Net revenue</w:t>
            </w:r>
          </w:p>
        </w:tc>
        <w:tc>
          <w:tcPr>
            <w:tcW w:w="8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8"/>
              </w:rPr>
              <w:t>Cost of revenue</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7"/>
              </w:rPr>
              <w:t>Cost of</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Subscription</w:t>
            </w:r>
          </w:p>
        </w:tc>
        <w:tc>
          <w:tcPr>
            <w:tcW w:w="14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Maintenance</w:t>
            </w:r>
          </w:p>
        </w:tc>
        <w:tc>
          <w:tcPr>
            <w:tcW w:w="1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subscription and</w:t>
            </w:r>
          </w:p>
        </w:tc>
        <w:tc>
          <w:tcPr>
            <w:tcW w:w="12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Marketing and</w:t>
            </w:r>
          </w:p>
        </w:tc>
        <w:tc>
          <w:tcPr>
            <w:tcW w:w="120" w:type="dxa"/>
            <w:vAlign w:val="bottom"/>
          </w:tcPr>
          <w:p>
            <w:pPr>
              <w:spacing w:after="0"/>
              <w:rPr>
                <w:sz w:val="12"/>
                <w:szCs w:val="12"/>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Research and</w:t>
            </w:r>
          </w:p>
        </w:tc>
        <w:tc>
          <w:tcPr>
            <w:tcW w:w="160" w:type="dxa"/>
            <w:vAlign w:val="bottom"/>
          </w:tcPr>
          <w:p>
            <w:pPr>
              <w:spacing w:after="0"/>
              <w:rPr>
                <w:sz w:val="12"/>
                <w:szCs w:val="12"/>
                <w:color w:val="auto"/>
              </w:rPr>
            </w:pPr>
          </w:p>
        </w:tc>
        <w:tc>
          <w:tcPr>
            <w:tcW w:w="114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3"/>
              </w:rPr>
              <w:t>General and</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maintenance</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revenue</w:t>
            </w:r>
          </w:p>
        </w:tc>
        <w:tc>
          <w:tcPr>
            <w:tcW w:w="300" w:type="dxa"/>
            <w:vAlign w:val="bottom"/>
          </w:tcPr>
          <w:p>
            <w:pPr>
              <w:spacing w:after="0"/>
              <w:rPr>
                <w:sz w:val="16"/>
                <w:szCs w:val="16"/>
                <w:color w:val="auto"/>
              </w:rPr>
            </w:pPr>
          </w:p>
        </w:tc>
        <w:tc>
          <w:tcPr>
            <w:tcW w:w="11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revenue</w:t>
            </w:r>
          </w:p>
        </w:tc>
        <w:tc>
          <w:tcPr>
            <w:tcW w:w="1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9"/>
              </w:rPr>
              <w:t>sales</w:t>
            </w:r>
          </w:p>
        </w:tc>
        <w:tc>
          <w:tcPr>
            <w:tcW w:w="12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development</w:t>
            </w:r>
          </w:p>
        </w:tc>
        <w:tc>
          <w:tcPr>
            <w:tcW w:w="160" w:type="dxa"/>
            <w:vAlign w:val="bottom"/>
          </w:tcPr>
          <w:p>
            <w:pPr>
              <w:spacing w:after="0"/>
              <w:rPr>
                <w:sz w:val="16"/>
                <w:szCs w:val="16"/>
                <w:color w:val="auto"/>
              </w:rPr>
            </w:pPr>
          </w:p>
        </w:tc>
        <w:tc>
          <w:tcPr>
            <w:tcW w:w="1140" w:type="dxa"/>
            <w:vAlign w:val="bottom"/>
          </w:tcPr>
          <w:p>
            <w:pPr>
              <w:jc w:val="center"/>
              <w:ind w:right="84"/>
              <w:spacing w:after="0"/>
              <w:rPr>
                <w:sz w:val="20"/>
                <w:szCs w:val="20"/>
                <w:color w:val="auto"/>
              </w:rPr>
            </w:pPr>
            <w:r>
              <w:rPr>
                <w:rFonts w:ascii="Arial" w:cs="Arial" w:eastAsia="Arial" w:hAnsi="Arial"/>
                <w:sz w:val="14"/>
                <w:szCs w:val="14"/>
                <w:b w:val="1"/>
                <w:bCs w:val="1"/>
                <w:color w:val="auto"/>
                <w:w w:val="94"/>
              </w:rPr>
              <w:t>administrative</w:t>
            </w:r>
          </w:p>
        </w:tc>
        <w:tc>
          <w:tcPr>
            <w:tcW w:w="0" w:type="dxa"/>
            <w:vAlign w:val="bottom"/>
          </w:tcPr>
          <w:p>
            <w:pPr>
              <w:spacing w:after="0"/>
              <w:rPr>
                <w:sz w:val="1"/>
                <w:szCs w:val="1"/>
                <w:color w:val="auto"/>
              </w:rPr>
            </w:pPr>
          </w:p>
        </w:tc>
      </w:tr>
      <w:tr>
        <w:trPr>
          <w:trHeight w:val="206"/>
        </w:trPr>
        <w:tc>
          <w:tcPr>
            <w:tcW w:w="2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Total amounts of income and expense</w:t>
            </w: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line items presented in the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9"/>
              </w:rPr>
              <w:t>condensed consolidated statements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of operations in which the effects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of cash flow hedges are recorded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841.2</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6"/>
                <w:szCs w:val="16"/>
                <w:color w:val="auto"/>
              </w:rPr>
              <w:t>58.5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350.9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232.5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83"/>
        </w:trPr>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Gain (loss) on cash flow hedging</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relationships in Subtopic ASC 815-</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i w:val="1"/>
                <w:iCs w:val="1"/>
                <w:color w:val="auto"/>
              </w:rPr>
              <w:t>20</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60" w:type="dxa"/>
            <w:vAlign w:val="bottom"/>
          </w:tcPr>
          <w:p>
            <w:pPr>
              <w:ind w:left="200"/>
              <w:spacing w:after="0"/>
              <w:rPr>
                <w:sz w:val="20"/>
                <w:szCs w:val="20"/>
                <w:color w:val="auto"/>
              </w:rPr>
            </w:pPr>
            <w:r>
              <w:rPr>
                <w:rFonts w:ascii="Arial" w:cs="Arial" w:eastAsia="Arial" w:hAnsi="Arial"/>
                <w:sz w:val="16"/>
                <w:szCs w:val="16"/>
                <w:i w:val="1"/>
                <w:iCs w:val="1"/>
                <w:color w:val="auto"/>
              </w:rPr>
              <w:t>Foreign exchange contracts</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Amount of gain (loss)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reclassified from accumulated</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other comprehensive income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into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(0.5)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72"/>
        </w:trPr>
        <w:tc>
          <w:tcPr>
            <w:tcW w:w="2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3"/>
              </w:rPr>
              <w:t>Six Months Ended July 31, 2020</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Net revenue</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8"/>
              </w:rPr>
              <w:t>Cost of revenue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7"/>
              </w:rPr>
              <w:t>Cost of</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Subscription</w:t>
            </w:r>
          </w:p>
        </w:tc>
        <w:tc>
          <w:tcPr>
            <w:tcW w:w="14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Maintenance</w:t>
            </w:r>
          </w:p>
        </w:tc>
        <w:tc>
          <w:tcPr>
            <w:tcW w:w="1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subscription and</w:t>
            </w:r>
          </w:p>
        </w:tc>
        <w:tc>
          <w:tcPr>
            <w:tcW w:w="12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Marketing and</w:t>
            </w:r>
          </w:p>
        </w:tc>
        <w:tc>
          <w:tcPr>
            <w:tcW w:w="120" w:type="dxa"/>
            <w:vAlign w:val="bottom"/>
          </w:tcPr>
          <w:p>
            <w:pPr>
              <w:spacing w:after="0"/>
              <w:rPr>
                <w:sz w:val="12"/>
                <w:szCs w:val="12"/>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Research and</w:t>
            </w:r>
          </w:p>
        </w:tc>
        <w:tc>
          <w:tcPr>
            <w:tcW w:w="160" w:type="dxa"/>
            <w:vAlign w:val="bottom"/>
          </w:tcPr>
          <w:p>
            <w:pPr>
              <w:spacing w:after="0"/>
              <w:rPr>
                <w:sz w:val="12"/>
                <w:szCs w:val="12"/>
                <w:color w:val="auto"/>
              </w:rPr>
            </w:pPr>
          </w:p>
        </w:tc>
        <w:tc>
          <w:tcPr>
            <w:tcW w:w="114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3"/>
              </w:rPr>
              <w:t>General and</w:t>
            </w: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maintenance</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revenue</w:t>
            </w:r>
          </w:p>
        </w:tc>
        <w:tc>
          <w:tcPr>
            <w:tcW w:w="300" w:type="dxa"/>
            <w:vAlign w:val="bottom"/>
          </w:tcPr>
          <w:p>
            <w:pPr>
              <w:spacing w:after="0"/>
              <w:rPr>
                <w:sz w:val="16"/>
                <w:szCs w:val="16"/>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Revenue</w:t>
            </w:r>
          </w:p>
        </w:tc>
        <w:tc>
          <w:tcPr>
            <w:tcW w:w="1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revenue</w:t>
            </w:r>
          </w:p>
        </w:tc>
        <w:tc>
          <w:tcPr>
            <w:tcW w:w="1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9"/>
              </w:rPr>
              <w:t>sales</w:t>
            </w:r>
          </w:p>
        </w:tc>
        <w:tc>
          <w:tcPr>
            <w:tcW w:w="120" w:type="dxa"/>
            <w:vAlign w:val="bottom"/>
          </w:tcPr>
          <w:p>
            <w:pPr>
              <w:spacing w:after="0"/>
              <w:rPr>
                <w:sz w:val="16"/>
                <w:szCs w:val="16"/>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development</w:t>
            </w:r>
          </w:p>
        </w:tc>
        <w:tc>
          <w:tcPr>
            <w:tcW w:w="160" w:type="dxa"/>
            <w:vAlign w:val="bottom"/>
          </w:tcPr>
          <w:p>
            <w:pPr>
              <w:spacing w:after="0"/>
              <w:rPr>
                <w:sz w:val="16"/>
                <w:szCs w:val="16"/>
                <w:color w:val="auto"/>
              </w:rPr>
            </w:pPr>
          </w:p>
        </w:tc>
        <w:tc>
          <w:tcPr>
            <w:tcW w:w="1140" w:type="dxa"/>
            <w:vAlign w:val="bottom"/>
          </w:tcPr>
          <w:p>
            <w:pPr>
              <w:jc w:val="center"/>
              <w:ind w:right="84"/>
              <w:spacing w:after="0"/>
              <w:rPr>
                <w:sz w:val="20"/>
                <w:szCs w:val="20"/>
                <w:color w:val="auto"/>
              </w:rPr>
            </w:pPr>
            <w:r>
              <w:rPr>
                <w:rFonts w:ascii="Arial" w:cs="Arial" w:eastAsia="Arial" w:hAnsi="Arial"/>
                <w:sz w:val="14"/>
                <w:szCs w:val="14"/>
                <w:b w:val="1"/>
                <w:bCs w:val="1"/>
                <w:color w:val="auto"/>
                <w:w w:val="94"/>
              </w:rPr>
              <w:t>administrative</w:t>
            </w:r>
          </w:p>
        </w:tc>
        <w:tc>
          <w:tcPr>
            <w:tcW w:w="0" w:type="dxa"/>
            <w:vAlign w:val="bottom"/>
          </w:tcPr>
          <w:p>
            <w:pPr>
              <w:spacing w:after="0"/>
              <w:rPr>
                <w:sz w:val="1"/>
                <w:szCs w:val="1"/>
                <w:color w:val="auto"/>
              </w:rPr>
            </w:pPr>
          </w:p>
        </w:tc>
      </w:tr>
      <w:tr>
        <w:trPr>
          <w:trHeight w:val="206"/>
        </w:trPr>
        <w:tc>
          <w:tcPr>
            <w:tcW w:w="2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Total amounts of income and expense</w:t>
            </w: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line items presented in the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9"/>
              </w:rPr>
              <w:t>condensed consolidated statements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of operations in which the effects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of cash flow hedges are recorded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1,644.2</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113.3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6"/>
                <w:szCs w:val="16"/>
                <w:color w:val="auto"/>
              </w:rPr>
              <w:t>115.9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692.2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449.9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198.0</w:t>
            </w:r>
          </w:p>
        </w:tc>
        <w:tc>
          <w:tcPr>
            <w:tcW w:w="0" w:type="dxa"/>
            <w:vAlign w:val="bottom"/>
          </w:tcPr>
          <w:p>
            <w:pPr>
              <w:spacing w:after="0"/>
              <w:rPr>
                <w:sz w:val="1"/>
                <w:szCs w:val="1"/>
                <w:color w:val="auto"/>
              </w:rPr>
            </w:pPr>
          </w:p>
        </w:tc>
      </w:tr>
      <w:tr>
        <w:trPr>
          <w:trHeight w:val="256"/>
        </w:trPr>
        <w:tc>
          <w:tcPr>
            <w:tcW w:w="2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i w:val="1"/>
                <w:iCs w:val="1"/>
                <w:color w:val="auto"/>
              </w:rPr>
              <w:t>Gain (loss) on cash flow hedging</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200"/>
              <w:spacing w:after="0"/>
              <w:rPr>
                <w:sz w:val="20"/>
                <w:szCs w:val="20"/>
                <w:color w:val="auto"/>
              </w:rPr>
            </w:pPr>
            <w:r>
              <w:rPr>
                <w:rFonts w:ascii="Arial" w:cs="Arial" w:eastAsia="Arial" w:hAnsi="Arial"/>
                <w:sz w:val="16"/>
                <w:szCs w:val="16"/>
                <w:i w:val="1"/>
                <w:iCs w:val="1"/>
                <w:color w:val="auto"/>
              </w:rPr>
              <w:t>relationships in Subtopic ASC 815-</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i w:val="1"/>
                <w:iCs w:val="1"/>
                <w:color w:val="auto"/>
              </w:rPr>
              <w:t>20</w:t>
            </w: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60" w:type="dxa"/>
            <w:vAlign w:val="bottom"/>
          </w:tcPr>
          <w:p>
            <w:pPr>
              <w:ind w:left="200"/>
              <w:spacing w:after="0"/>
              <w:rPr>
                <w:sz w:val="20"/>
                <w:szCs w:val="20"/>
                <w:color w:val="auto"/>
              </w:rPr>
            </w:pPr>
            <w:r>
              <w:rPr>
                <w:rFonts w:ascii="Arial" w:cs="Arial" w:eastAsia="Arial" w:hAnsi="Arial"/>
                <w:sz w:val="16"/>
                <w:szCs w:val="16"/>
                <w:i w:val="1"/>
                <w:iCs w:val="1"/>
                <w:color w:val="auto"/>
              </w:rPr>
              <w:t>Foreign exchange contracts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Amount of gain (loss)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reclassified from accumulated</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other comprehensive income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into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3.7</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(0.3)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2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557" w:right="359" w:bottom="1440" w:gutter="0" w:footer="0" w:header="0"/>
        </w:sectPr>
      </w:pPr>
    </w:p>
    <w:bookmarkStart w:id="13" w:name="page14"/>
    <w:bookmarkEnd w:id="13"/>
    <w:tbl>
      <w:tblPr>
        <w:tblLayout w:type="fixed"/>
        <w:tblInd w:w="4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3"/>
              </w:rPr>
              <w:t>Three Months Ended July 31, 2019</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824"/>
              <w:spacing w:after="0"/>
              <w:rPr>
                <w:sz w:val="20"/>
                <w:szCs w:val="20"/>
                <w:color w:val="auto"/>
              </w:rPr>
            </w:pPr>
            <w:r>
              <w:rPr>
                <w:rFonts w:ascii="Arial" w:cs="Arial" w:eastAsia="Arial" w:hAnsi="Arial"/>
                <w:sz w:val="14"/>
                <w:szCs w:val="14"/>
                <w:b w:val="1"/>
                <w:bCs w:val="1"/>
                <w:color w:val="auto"/>
              </w:rPr>
              <w:t>Net Revenue</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0"/>
              </w:rPr>
              <w:t>Cost of revenue</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Operating expenses</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Subscription</w:t>
            </w:r>
          </w:p>
        </w:tc>
        <w:tc>
          <w:tcPr>
            <w:tcW w:w="160" w:type="dxa"/>
            <w:vAlign w:val="bottom"/>
          </w:tcPr>
          <w:p>
            <w:pPr>
              <w:spacing w:after="0"/>
              <w:rPr>
                <w:sz w:val="13"/>
                <w:szCs w:val="13"/>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Maintenance</w:t>
            </w:r>
          </w:p>
        </w:tc>
        <w:tc>
          <w:tcPr>
            <w:tcW w:w="14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Cost of subscription</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Marketing and</w:t>
            </w:r>
          </w:p>
        </w:tc>
        <w:tc>
          <w:tcPr>
            <w:tcW w:w="10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Research and</w:t>
            </w:r>
          </w:p>
        </w:tc>
        <w:tc>
          <w:tcPr>
            <w:tcW w:w="160" w:type="dxa"/>
            <w:vAlign w:val="bottom"/>
          </w:tcPr>
          <w:p>
            <w:pPr>
              <w:spacing w:after="0"/>
              <w:rPr>
                <w:sz w:val="13"/>
                <w:szCs w:val="13"/>
                <w:color w:val="auto"/>
              </w:rPr>
            </w:pPr>
          </w:p>
        </w:tc>
        <w:tc>
          <w:tcPr>
            <w:tcW w:w="120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6"/>
              </w:rPr>
              <w:t>General and</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and maintenance</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Revenue</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9"/>
              </w:rPr>
              <w:t>sales</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development</w:t>
            </w:r>
          </w:p>
        </w:tc>
        <w:tc>
          <w:tcPr>
            <w:tcW w:w="160" w:type="dxa"/>
            <w:vAlign w:val="bottom"/>
          </w:tcPr>
          <w:p>
            <w:pPr>
              <w:spacing w:after="0"/>
              <w:rPr>
                <w:sz w:val="16"/>
                <w:szCs w:val="16"/>
                <w:color w:val="auto"/>
              </w:rPr>
            </w:pPr>
          </w:p>
        </w:tc>
        <w:tc>
          <w:tcPr>
            <w:tcW w:w="120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administrative</w:t>
            </w:r>
          </w:p>
        </w:tc>
        <w:tc>
          <w:tcPr>
            <w:tcW w:w="0" w:type="dxa"/>
            <w:vAlign w:val="bottom"/>
          </w:tcPr>
          <w:p>
            <w:pPr>
              <w:spacing w:after="0"/>
              <w:rPr>
                <w:sz w:val="1"/>
                <w:szCs w:val="1"/>
                <w:color w:val="auto"/>
              </w:rPr>
            </w:pPr>
          </w:p>
        </w:tc>
      </w:tr>
      <w:tr>
        <w:trPr>
          <w:trHeight w:val="206"/>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amounts of income and expense</w:t>
            </w: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8"/>
              </w:rPr>
              <w:t>line items presented in the condensed</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8"/>
              </w:rPr>
              <w:t>consolidated statements of operations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 which the effects of cash flow</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hedges are recorded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663.7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103.5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6"/>
                <w:szCs w:val="16"/>
                <w:color w:val="auto"/>
              </w:rPr>
              <w:t>316.8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6"/>
                <w:szCs w:val="16"/>
                <w:color w:val="auto"/>
              </w:rPr>
              <w:t>215.4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Gain (loss) on cash flow hedging</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i w:val="1"/>
                <w:iCs w:val="1"/>
                <w:color w:val="auto"/>
              </w:rPr>
              <w:t>relationships in Subtopic ASC 815-20</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200"/>
              <w:spacing w:after="0"/>
              <w:rPr>
                <w:sz w:val="20"/>
                <w:szCs w:val="20"/>
                <w:color w:val="auto"/>
              </w:rPr>
            </w:pPr>
            <w:r>
              <w:rPr>
                <w:rFonts w:ascii="Arial" w:cs="Arial" w:eastAsia="Arial" w:hAnsi="Arial"/>
                <w:sz w:val="16"/>
                <w:szCs w:val="16"/>
                <w:i w:val="1"/>
                <w:iCs w:val="1"/>
                <w:color w:val="auto"/>
              </w:rPr>
              <w:t>Foreign exchange contracts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Amount of gain (loss) reclassified</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from accumulated other</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comprehensive income into</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85"/>
        </w:trPr>
        <w:tc>
          <w:tcPr>
            <w:tcW w:w="2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3"/>
              </w:rPr>
              <w:t>Six Months Ended July 31, 2019</w:t>
            </w: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844"/>
              <w:spacing w:after="0"/>
              <w:rPr>
                <w:sz w:val="20"/>
                <w:szCs w:val="20"/>
                <w:color w:val="auto"/>
              </w:rPr>
            </w:pPr>
            <w:r>
              <w:rPr>
                <w:rFonts w:ascii="Arial" w:cs="Arial" w:eastAsia="Arial" w:hAnsi="Arial"/>
                <w:sz w:val="14"/>
                <w:szCs w:val="14"/>
                <w:b w:val="1"/>
                <w:bCs w:val="1"/>
                <w:color w:val="auto"/>
              </w:rPr>
              <w:t>Net revenue</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0"/>
              </w:rPr>
              <w:t>Cost of revenue</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Operating expenses</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Subscription</w:t>
            </w:r>
          </w:p>
        </w:tc>
        <w:tc>
          <w:tcPr>
            <w:tcW w:w="160" w:type="dxa"/>
            <w:vAlign w:val="bottom"/>
          </w:tcPr>
          <w:p>
            <w:pPr>
              <w:spacing w:after="0"/>
              <w:rPr>
                <w:sz w:val="13"/>
                <w:szCs w:val="13"/>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Maintenance</w:t>
            </w:r>
          </w:p>
        </w:tc>
        <w:tc>
          <w:tcPr>
            <w:tcW w:w="14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Cost of subscription</w:t>
            </w:r>
          </w:p>
        </w:tc>
        <w:tc>
          <w:tcPr>
            <w:tcW w:w="12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Marketing and</w:t>
            </w:r>
          </w:p>
        </w:tc>
        <w:tc>
          <w:tcPr>
            <w:tcW w:w="10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Research and</w:t>
            </w:r>
          </w:p>
        </w:tc>
        <w:tc>
          <w:tcPr>
            <w:tcW w:w="160" w:type="dxa"/>
            <w:vAlign w:val="bottom"/>
          </w:tcPr>
          <w:p>
            <w:pPr>
              <w:spacing w:after="0"/>
              <w:rPr>
                <w:sz w:val="13"/>
                <w:szCs w:val="13"/>
                <w:color w:val="auto"/>
              </w:rPr>
            </w:pPr>
          </w:p>
        </w:tc>
        <w:tc>
          <w:tcPr>
            <w:tcW w:w="1200" w:type="dxa"/>
            <w:vAlign w:val="bottom"/>
            <w:vMerge w:val="restart"/>
          </w:tcPr>
          <w:p>
            <w:pPr>
              <w:jc w:val="center"/>
              <w:ind w:right="104"/>
              <w:spacing w:after="0"/>
              <w:rPr>
                <w:sz w:val="20"/>
                <w:szCs w:val="20"/>
                <w:color w:val="auto"/>
              </w:rPr>
            </w:pPr>
            <w:r>
              <w:rPr>
                <w:rFonts w:ascii="Arial" w:cs="Arial" w:eastAsia="Arial" w:hAnsi="Arial"/>
                <w:sz w:val="14"/>
                <w:szCs w:val="14"/>
                <w:b w:val="1"/>
                <w:bCs w:val="1"/>
                <w:color w:val="auto"/>
                <w:w w:val="96"/>
              </w:rPr>
              <w:t>General and</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and maintenance</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Revenue</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9"/>
              </w:rPr>
              <w:t>sales</w:t>
            </w:r>
          </w:p>
        </w:tc>
        <w:tc>
          <w:tcPr>
            <w:tcW w:w="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development</w:t>
            </w:r>
          </w:p>
        </w:tc>
        <w:tc>
          <w:tcPr>
            <w:tcW w:w="160" w:type="dxa"/>
            <w:vAlign w:val="bottom"/>
          </w:tcPr>
          <w:p>
            <w:pPr>
              <w:spacing w:after="0"/>
              <w:rPr>
                <w:sz w:val="16"/>
                <w:szCs w:val="16"/>
                <w:color w:val="auto"/>
              </w:rPr>
            </w:pPr>
          </w:p>
        </w:tc>
        <w:tc>
          <w:tcPr>
            <w:tcW w:w="1200" w:type="dxa"/>
            <w:vAlign w:val="bottom"/>
          </w:tcPr>
          <w:p>
            <w:pPr>
              <w:jc w:val="center"/>
              <w:ind w:right="104"/>
              <w:spacing w:after="0"/>
              <w:rPr>
                <w:sz w:val="20"/>
                <w:szCs w:val="20"/>
                <w:color w:val="auto"/>
              </w:rPr>
            </w:pPr>
            <w:r>
              <w:rPr>
                <w:rFonts w:ascii="Arial" w:cs="Arial" w:eastAsia="Arial" w:hAnsi="Arial"/>
                <w:sz w:val="14"/>
                <w:szCs w:val="14"/>
                <w:b w:val="1"/>
                <w:bCs w:val="1"/>
                <w:color w:val="auto"/>
                <w:w w:val="94"/>
              </w:rPr>
              <w:t>administrative</w:t>
            </w:r>
          </w:p>
        </w:tc>
        <w:tc>
          <w:tcPr>
            <w:tcW w:w="0" w:type="dxa"/>
            <w:vAlign w:val="bottom"/>
          </w:tcPr>
          <w:p>
            <w:pPr>
              <w:spacing w:after="0"/>
              <w:rPr>
                <w:sz w:val="1"/>
                <w:szCs w:val="1"/>
                <w:color w:val="auto"/>
              </w:rPr>
            </w:pPr>
          </w:p>
        </w:tc>
      </w:tr>
      <w:tr>
        <w:trPr>
          <w:trHeight w:val="206"/>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amounts of income and expense</w:t>
            </w: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8"/>
              </w:rPr>
              <w:t>line items presented in the condensed</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8"/>
              </w:rPr>
              <w:t>consolidated statements of operations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 which the effects of cash flow</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hedges are recorded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1,259.5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215.5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05"/>
              <w:spacing w:after="0"/>
              <w:rPr>
                <w:sz w:val="20"/>
                <w:szCs w:val="20"/>
                <w:color w:val="auto"/>
              </w:rPr>
            </w:pPr>
            <w:r>
              <w:rPr>
                <w:rFonts w:ascii="Arial" w:cs="Arial" w:eastAsia="Arial" w:hAnsi="Arial"/>
                <w:sz w:val="16"/>
                <w:szCs w:val="16"/>
                <w:color w:val="auto"/>
              </w:rPr>
              <w:t>112.7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6"/>
                <w:szCs w:val="16"/>
                <w:color w:val="auto"/>
              </w:rPr>
              <w:t>630.1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6"/>
                <w:szCs w:val="16"/>
                <w:color w:val="auto"/>
              </w:rPr>
              <w:t>421.0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6"/>
                <w:szCs w:val="16"/>
                <w:color w:val="auto"/>
              </w:rPr>
              <w:t>200.5</w:t>
            </w: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Gain (loss) on cash flow hedging</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i w:val="1"/>
                <w:iCs w:val="1"/>
                <w:color w:val="auto"/>
              </w:rPr>
              <w:t>relationships in Subtopic ASC 815-20</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200"/>
              <w:spacing w:after="0"/>
              <w:rPr>
                <w:sz w:val="20"/>
                <w:szCs w:val="20"/>
                <w:color w:val="auto"/>
              </w:rPr>
            </w:pPr>
            <w:r>
              <w:rPr>
                <w:rFonts w:ascii="Arial" w:cs="Arial" w:eastAsia="Arial" w:hAnsi="Arial"/>
                <w:sz w:val="16"/>
                <w:szCs w:val="16"/>
                <w:i w:val="1"/>
                <w:iCs w:val="1"/>
                <w:color w:val="auto"/>
              </w:rPr>
              <w:t>Foreign exchange contracts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Amount of gain (loss) reclassified</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from accumulated other</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comprehensive income into</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28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Derivatives not designated as hedging instruments</w:t>
      </w:r>
    </w:p>
    <w:p>
      <w:pPr>
        <w:spacing w:after="0" w:line="225"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Autodesk uses foreign currency contracts that are not designated as hedging instruments to reduce the exchange rate risk associated primarily with foreign currency denominated receivables, payables, and cash. The notional amounts of these foreign currency contracts are presented net settled and were $182.1 million at July 31, 2020, and $736.2 million at January 31, 2020.</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778" w:right="359" w:bottom="1440" w:gutter="0" w:footer="0" w:header="0"/>
        </w:sectPr>
      </w:pPr>
    </w:p>
    <w:bookmarkStart w:id="14" w:name="page15"/>
    <w:bookmarkEnd w:id="14"/>
    <w:p>
      <w:pPr>
        <w:ind w:left="260"/>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2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fair values of derivative instruments in Autodesk’s Condensed Consolidated Balance Sheets were as follows as of July 31, 2020, and January 31, 2020:</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Fair Value at</w:t>
            </w:r>
          </w:p>
        </w:tc>
      </w:tr>
      <w:tr>
        <w:trPr>
          <w:trHeight w:val="263"/>
        </w:trPr>
        <w:tc>
          <w:tcPr>
            <w:tcW w:w="552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2580" w:type="dxa"/>
            <w:vAlign w:val="bottom"/>
          </w:tcPr>
          <w:p>
            <w:pPr>
              <w:ind w:left="58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2020</w:t>
            </w:r>
          </w:p>
        </w:tc>
        <w:tc>
          <w:tcPr>
            <w:tcW w:w="160" w:type="dxa"/>
            <w:vAlign w:val="bottom"/>
          </w:tcPr>
          <w:p>
            <w:pPr>
              <w:spacing w:after="0"/>
              <w:rPr>
                <w:sz w:val="22"/>
                <w:szCs w:val="22"/>
                <w:color w:val="auto"/>
              </w:rPr>
            </w:pPr>
          </w:p>
        </w:tc>
        <w:tc>
          <w:tcPr>
            <w:tcW w:w="1280" w:type="dxa"/>
            <w:vAlign w:val="bottom"/>
          </w:tcPr>
          <w:p>
            <w:pPr>
              <w:jc w:val="right"/>
              <w:ind w:right="120"/>
              <w:spacing w:after="0"/>
              <w:rPr>
                <w:sz w:val="20"/>
                <w:szCs w:val="20"/>
                <w:color w:val="auto"/>
              </w:rPr>
            </w:pPr>
            <w:r>
              <w:rPr>
                <w:rFonts w:ascii="Arial" w:cs="Arial" w:eastAsia="Arial" w:hAnsi="Arial"/>
                <w:sz w:val="14"/>
                <w:szCs w:val="14"/>
                <w:b w:val="1"/>
                <w:bCs w:val="1"/>
                <w:color w:val="auto"/>
                <w:w w:val="94"/>
              </w:rPr>
              <w:t>January 31, 2020</w:t>
            </w:r>
          </w:p>
        </w:tc>
      </w:tr>
      <w:tr>
        <w:trPr>
          <w:trHeight w:val="250"/>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0"/>
        </w:trPr>
        <w:tc>
          <w:tcPr>
            <w:tcW w:w="552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580" w:type="dxa"/>
            <w:vAlign w:val="bottom"/>
          </w:tcPr>
          <w:p>
            <w:pPr>
              <w:ind w:left="20"/>
              <w:spacing w:after="0"/>
              <w:rPr>
                <w:sz w:val="20"/>
                <w:szCs w:val="20"/>
                <w:color w:val="auto"/>
              </w:rPr>
            </w:pPr>
            <w:r>
              <w:rPr>
                <w:rFonts w:ascii="Arial" w:cs="Arial" w:eastAsia="Arial" w:hAnsi="Arial"/>
                <w:sz w:val="16"/>
                <w:szCs w:val="16"/>
                <w:color w:val="auto"/>
                <w:w w:val="99"/>
              </w:rPr>
              <w:t>Prepaid expenses and other current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6"/>
        </w:trPr>
        <w:tc>
          <w:tcPr>
            <w:tcW w:w="5520" w:type="dxa"/>
            <w:vAlign w:val="bottom"/>
          </w:tcPr>
          <w:p>
            <w:pPr>
              <w:spacing w:after="0"/>
              <w:rPr>
                <w:sz w:val="17"/>
                <w:szCs w:val="17"/>
                <w:color w:val="auto"/>
              </w:rPr>
            </w:pPr>
          </w:p>
        </w:tc>
        <w:tc>
          <w:tcPr>
            <w:tcW w:w="2580" w:type="dxa"/>
            <w:vAlign w:val="bottom"/>
          </w:tcPr>
          <w:p>
            <w:pPr>
              <w:ind w:left="20"/>
              <w:spacing w:after="0"/>
              <w:rPr>
                <w:sz w:val="20"/>
                <w:szCs w:val="20"/>
                <w:color w:val="auto"/>
              </w:rPr>
            </w:pPr>
            <w:r>
              <w:rPr>
                <w:rFonts w:ascii="Arial" w:cs="Arial" w:eastAsia="Arial" w:hAnsi="Arial"/>
                <w:sz w:val="16"/>
                <w:szCs w:val="16"/>
                <w:color w:val="auto"/>
              </w:rPr>
              <w:t>assets</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33"/>
        </w:trPr>
        <w:tc>
          <w:tcPr>
            <w:tcW w:w="55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0"/>
        </w:trPr>
        <w:tc>
          <w:tcPr>
            <w:tcW w:w="5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Prepaid expenses and other current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9"/>
        </w:trPr>
        <w:tc>
          <w:tcPr>
            <w:tcW w:w="552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and long-term other assets</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r>
      <w:tr>
        <w:trPr>
          <w:trHeight w:val="283"/>
        </w:trPr>
        <w:tc>
          <w:tcPr>
            <w:tcW w:w="55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9.4</w:t>
            </w:r>
          </w:p>
        </w:tc>
      </w:tr>
      <w:tr>
        <w:trPr>
          <w:trHeight w:val="23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58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2.8</w:t>
            </w:r>
          </w:p>
        </w:tc>
      </w:tr>
      <w:tr>
        <w:trPr>
          <w:trHeight w:val="33"/>
        </w:trPr>
        <w:tc>
          <w:tcPr>
            <w:tcW w:w="55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r>
      <w:tr>
        <w:trPr>
          <w:trHeight w:val="243"/>
        </w:trPr>
        <w:tc>
          <w:tcPr>
            <w:tcW w:w="5520" w:type="dxa"/>
            <w:vAlign w:val="bottom"/>
          </w:tcPr>
          <w:p>
            <w:pPr>
              <w:ind w:left="720"/>
              <w:spacing w:after="0"/>
              <w:rPr>
                <w:sz w:val="20"/>
                <w:szCs w:val="20"/>
                <w:color w:val="auto"/>
              </w:rPr>
            </w:pPr>
            <w:r>
              <w:rPr>
                <w:rFonts w:ascii="Arial" w:cs="Arial" w:eastAsia="Arial" w:hAnsi="Arial"/>
                <w:sz w:val="16"/>
                <w:szCs w:val="16"/>
                <w:color w:val="auto"/>
              </w:rPr>
              <w:t>Total derivative liabilities</w:t>
            </w:r>
          </w:p>
        </w:tc>
        <w:tc>
          <w:tcPr>
            <w:tcW w:w="2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4.7</w:t>
            </w:r>
          </w:p>
        </w:tc>
      </w:tr>
      <w:tr>
        <w:trPr>
          <w:trHeight w:val="20"/>
        </w:trPr>
        <w:tc>
          <w:tcPr>
            <w:tcW w:w="55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and six months ended July 31, 2020 and 2019, (amounts presented include any income tax effects):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Foreign Currency Contracts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July 31,</w:t>
            </w:r>
          </w:p>
        </w:tc>
        <w:tc>
          <w:tcPr>
            <w:tcW w:w="320" w:type="dxa"/>
            <w:vAlign w:val="bottom"/>
          </w:tcPr>
          <w:p>
            <w:pPr>
              <w:spacing w:after="0"/>
              <w:rPr>
                <w:sz w:val="22"/>
                <w:szCs w:val="22"/>
                <w:color w:val="auto"/>
              </w:rPr>
            </w:pPr>
          </w:p>
        </w:tc>
        <w:tc>
          <w:tcPr>
            <w:tcW w:w="2460" w:type="dxa"/>
            <w:vAlign w:val="bottom"/>
            <w:gridSpan w:val="4"/>
          </w:tcPr>
          <w:p>
            <w:pPr>
              <w:jc w:val="right"/>
              <w:ind w:right="461"/>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40" w:type="dxa"/>
            <w:vAlign w:val="bottom"/>
            <w:shd w:val="clear" w:color="auto" w:fill="CCEEFF"/>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8"/>
                <w:shd w:val="clear" w:color="auto" w:fill="CCEEFF"/>
              </w:rPr>
              <w:t xml:space="preserve">Amount </w:t>
            </w:r>
            <w:r>
              <w:rPr>
                <w:rFonts w:ascii="Arial" w:cs="Arial" w:eastAsia="Arial" w:hAnsi="Arial"/>
                <w:sz w:val="16"/>
                <w:szCs w:val="16"/>
                <w:i w:val="1"/>
                <w:iCs w:val="1"/>
                <w:color w:val="auto"/>
                <w:w w:val="98"/>
              </w:rPr>
              <w:t>of (loss) gain recognized in accumulated other comprehensive loss on</w:t>
            </w: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shd w:val="clear" w:color="auto" w:fill="CCEEFF"/>
          </w:tcPr>
          <w:p>
            <w:pPr>
              <w:spacing w:after="0"/>
              <w:rPr>
                <w:sz w:val="19"/>
                <w:szCs w:val="19"/>
                <w:color w:val="auto"/>
              </w:rPr>
            </w:pPr>
          </w:p>
        </w:tc>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shd w:val="clear" w:color="auto" w:fill="CCEEFF"/>
              </w:rPr>
              <w:t>derivatives (effective portion)</w:t>
            </w:r>
          </w:p>
        </w:tc>
        <w:tc>
          <w:tcPr>
            <w:tcW w:w="300" w:type="dxa"/>
            <w:vAlign w:val="bottom"/>
            <w:tcBorders>
              <w:bottom w:val="single" w:sz="8" w:color="CCEEFF"/>
            </w:tcBorders>
            <w:vMerge w:val="continue"/>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i w:val="1"/>
                <w:iCs w:val="1"/>
                <w:color w:val="auto"/>
              </w:rPr>
              <w:t>Amount and location of gain (loss) reclassified from accumulated other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tcPr>
          <w:p>
            <w:pPr>
              <w:spacing w:after="0"/>
              <w:rPr>
                <w:sz w:val="15"/>
                <w:szCs w:val="15"/>
                <w:color w:val="auto"/>
              </w:rPr>
            </w:pPr>
          </w:p>
        </w:tc>
        <w:tc>
          <w:tcPr>
            <w:tcW w:w="54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480" w:type="dxa"/>
            <w:vAlign w:val="bottom"/>
          </w:tcPr>
          <w:p>
            <w:pPr>
              <w:ind w:left="160"/>
              <w:spacing w:after="0"/>
              <w:rPr>
                <w:sz w:val="20"/>
                <w:szCs w:val="20"/>
                <w:color w:val="auto"/>
              </w:rPr>
            </w:pPr>
            <w:r>
              <w:rPr>
                <w:rFonts w:ascii="Arial" w:cs="Arial" w:eastAsia="Arial" w:hAnsi="Arial"/>
                <w:sz w:val="16"/>
                <w:szCs w:val="16"/>
                <w:i w:val="1"/>
                <w:iCs w:val="1"/>
                <w:color w:val="auto"/>
              </w:rPr>
              <w:t>comprehensive loss into income (effective portion)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revenue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80" w:type="dxa"/>
            <w:vAlign w:val="bottom"/>
          </w:tcPr>
          <w:p>
            <w:pPr>
              <w:ind w:left="340"/>
              <w:spacing w:after="0"/>
              <w:rPr>
                <w:sz w:val="20"/>
                <w:szCs w:val="20"/>
                <w:color w:val="auto"/>
              </w:rPr>
            </w:pPr>
            <w:r>
              <w:rPr>
                <w:rFonts w:ascii="Arial" w:cs="Arial" w:eastAsia="Arial" w:hAnsi="Arial"/>
                <w:sz w:val="16"/>
                <w:szCs w:val="16"/>
                <w:color w:val="auto"/>
              </w:rPr>
              <w:t>Cost of revenue</w:t>
            </w:r>
          </w:p>
        </w:tc>
        <w:tc>
          <w:tcPr>
            <w:tcW w:w="300" w:type="dxa"/>
            <w:vAlign w:val="bottom"/>
          </w:tcPr>
          <w:p>
            <w:pPr>
              <w:spacing w:after="0"/>
              <w:rPr>
                <w:sz w:val="20"/>
                <w:szCs w:val="20"/>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Operating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5480" w:type="dxa"/>
            <w:vAlign w:val="bottom"/>
          </w:tcPr>
          <w:p>
            <w:pPr>
              <w:ind w:left="68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and six months ended July 31, 2020 and 2019, (amounts presented include any income tax effects):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July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84"/>
              <w:spacing w:after="0"/>
              <w:rPr>
                <w:sz w:val="20"/>
                <w:szCs w:val="20"/>
                <w:color w:val="auto"/>
              </w:rPr>
            </w:pPr>
            <w:r>
              <w:rPr>
                <w:rFonts w:ascii="Arial" w:cs="Arial" w:eastAsia="Arial" w:hAnsi="Arial"/>
                <w:sz w:val="14"/>
                <w:szCs w:val="14"/>
                <w:b w:val="1"/>
                <w:bCs w:val="1"/>
                <w:color w:val="auto"/>
              </w:rPr>
              <w:t>Six Months Ended July 31,</w:t>
            </w:r>
          </w:p>
        </w:tc>
      </w:tr>
      <w:tr>
        <w:trPr>
          <w:trHeight w:val="263"/>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2019</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Amount and location of (loss) gain recognized on derivatives in net income</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Interest and other expense, net</w:t>
            </w:r>
          </w:p>
        </w:tc>
        <w:tc>
          <w:tcPr>
            <w:tcW w:w="920" w:type="dxa"/>
            <w:vAlign w:val="bottom"/>
          </w:tcPr>
          <w:p>
            <w:pPr>
              <w:jc w:val="right"/>
              <w:ind w:right="745"/>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900" w:type="dxa"/>
            <w:vAlign w:val="bottom"/>
          </w:tcPr>
          <w:p>
            <w:pPr>
              <w:jc w:val="right"/>
              <w:ind w:right="724"/>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(5.4)</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557" w:right="339" w:bottom="1440" w:gutter="0" w:footer="0" w:header="0"/>
        </w:sectPr>
      </w:pPr>
    </w:p>
    <w:bookmarkStart w:id="15" w:name="page16"/>
    <w:bookmarkEnd w:id="15"/>
    <w:p>
      <w:pPr>
        <w:ind w:left="220" w:right="4640" w:hanging="212"/>
        <w:spacing w:after="0" w:line="500" w:lineRule="auto"/>
        <w:tabs>
          <w:tab w:leader="none" w:pos="184"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i w:val="1"/>
          <w:iCs w:val="1"/>
          <w:color w:val="auto"/>
        </w:rPr>
        <w:t>Restricted Stock Units:</w:t>
      </w:r>
    </w:p>
    <w:p>
      <w:pPr>
        <w:spacing w:after="0" w:line="1" w:lineRule="exact"/>
        <w:rPr>
          <w:rFonts w:ascii="Arial" w:cs="Arial" w:eastAsia="Arial" w:hAnsi="Arial"/>
          <w:sz w:val="18"/>
          <w:szCs w:val="18"/>
          <w:b w:val="1"/>
          <w:bCs w:val="1"/>
          <w:i w:val="1"/>
          <w:iCs w:val="1"/>
          <w:color w:val="auto"/>
        </w:rPr>
      </w:pPr>
    </w:p>
    <w:p>
      <w:pPr>
        <w:ind w:left="4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A summary of restricted stock activity for the six months ended July 31, 2020,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697865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January 31, 2020</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Canceled/Forfeited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Performance Adjustment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July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49"/>
        </w:trPr>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92"/>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 units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244"/>
        </w:trPr>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460" w:type="dxa"/>
            <w:vAlign w:val="bottom"/>
          </w:tcPr>
          <w:p>
            <w:pPr>
              <w:jc w:val="right"/>
              <w:ind w:right="43"/>
              <w:spacing w:after="0"/>
              <w:rPr>
                <w:sz w:val="20"/>
                <w:szCs w:val="20"/>
                <w:color w:val="auto"/>
              </w:rPr>
            </w:pPr>
            <w:r>
              <w:rPr>
                <w:rFonts w:ascii="Arial" w:cs="Arial" w:eastAsia="Arial" w:hAnsi="Arial"/>
                <w:sz w:val="16"/>
                <w:szCs w:val="16"/>
                <w:color w:val="auto"/>
              </w:rPr>
              <w:t>4,732.3</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147.24</w:t>
            </w:r>
          </w:p>
        </w:tc>
        <w:tc>
          <w:tcPr>
            <w:tcW w:w="0" w:type="dxa"/>
            <w:vAlign w:val="bottom"/>
          </w:tcPr>
          <w:p>
            <w:pPr>
              <w:spacing w:after="0"/>
              <w:rPr>
                <w:sz w:val="1"/>
                <w:szCs w:val="1"/>
                <w:color w:val="auto"/>
              </w:rPr>
            </w:pPr>
          </w:p>
        </w:tc>
      </w:tr>
      <w:tr>
        <w:trPr>
          <w:trHeight w:val="270"/>
        </w:trPr>
        <w:tc>
          <w:tcPr>
            <w:tcW w:w="1460" w:type="dxa"/>
            <w:vAlign w:val="bottom"/>
          </w:tcPr>
          <w:p>
            <w:pPr>
              <w:jc w:val="right"/>
              <w:ind w:right="43"/>
              <w:spacing w:after="0"/>
              <w:rPr>
                <w:sz w:val="20"/>
                <w:szCs w:val="20"/>
                <w:color w:val="auto"/>
              </w:rPr>
            </w:pPr>
            <w:r>
              <w:rPr>
                <w:rFonts w:ascii="Arial" w:cs="Arial" w:eastAsia="Arial" w:hAnsi="Arial"/>
                <w:sz w:val="16"/>
                <w:szCs w:val="16"/>
                <w:color w:val="auto"/>
              </w:rPr>
              <w:t>867.8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176.50</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6"/>
                <w:szCs w:val="16"/>
                <w:color w:val="auto"/>
              </w:rPr>
              <w:t>(818.5)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147.68</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6"/>
                <w:szCs w:val="16"/>
                <w:color w:val="auto"/>
              </w:rPr>
              <w:t>(123.1)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148.02</w:t>
            </w:r>
          </w:p>
        </w:tc>
        <w:tc>
          <w:tcPr>
            <w:tcW w:w="0" w:type="dxa"/>
            <w:vAlign w:val="bottom"/>
          </w:tcPr>
          <w:p>
            <w:pPr>
              <w:spacing w:after="0"/>
              <w:rPr>
                <w:sz w:val="1"/>
                <w:szCs w:val="1"/>
                <w:color w:val="auto"/>
              </w:rPr>
            </w:pPr>
          </w:p>
        </w:tc>
      </w:tr>
      <w:tr>
        <w:trPr>
          <w:trHeight w:val="270"/>
        </w:trPr>
        <w:tc>
          <w:tcPr>
            <w:tcW w:w="1460" w:type="dxa"/>
            <w:vAlign w:val="bottom"/>
          </w:tcPr>
          <w:p>
            <w:pPr>
              <w:jc w:val="right"/>
              <w:ind w:right="43"/>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166.97</w:t>
            </w:r>
          </w:p>
        </w:tc>
        <w:tc>
          <w:tcPr>
            <w:tcW w:w="0" w:type="dxa"/>
            <w:vAlign w:val="bottom"/>
          </w:tcPr>
          <w:p>
            <w:pPr>
              <w:spacing w:after="0"/>
              <w:rPr>
                <w:sz w:val="1"/>
                <w:szCs w:val="1"/>
                <w:color w:val="auto"/>
              </w:rPr>
            </w:pPr>
          </w:p>
        </w:tc>
      </w:tr>
      <w:tr>
        <w:trPr>
          <w:trHeight w:val="33"/>
        </w:trPr>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4,673.9</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152.44</w:t>
            </w: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720"/>
            <w:col w:w="3020"/>
          </w:cols>
          <w:pgMar w:left="320" w:top="557" w:right="339" w:bottom="1440" w:gutter="0" w:footer="0" w:header="0"/>
        </w:sectPr>
      </w:pP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right="180" w:hanging="412"/>
        <w:spacing w:after="0" w:line="262"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Autodesk's financial results and relative total stockholder return for the fiscal 2020 performance period. The performance stock units were attained at rates ranging from 96.6% to 101.1% of the target award.</w:t>
      </w:r>
    </w:p>
    <w:p>
      <w:pPr>
        <w:spacing w:after="0" w:line="177"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7"/>
          <w:szCs w:val="17"/>
          <w:color w:val="auto"/>
        </w:rPr>
        <w:t>The fair value of the shares vested during the six months ended July 31, 2020 and 2019, was $132.3 million and $84.3 million, respectively.</w:t>
      </w:r>
    </w:p>
    <w:p>
      <w:pPr>
        <w:spacing w:after="0" w:line="23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During the six months ended July 31, 2020, Autodesk granted 0.6 million restricted stock units. Autodesk recorded stock-based compensation expense related to restricted stock units of $71.3 million and $64.2 million during the three months ended July 31, 2020 and 2019, respectively. Autodesk recorded stock-based compensation expense related to restricted stock units of $148.2 million and $118.6 million during the six months ended July 31, 2020 and 2019, respectively.</w:t>
      </w:r>
    </w:p>
    <w:p>
      <w:pPr>
        <w:spacing w:after="0" w:line="18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six months ended July 31, 2020, Autodesk settled liability-classified awards in the amount of $28.7 million. The ultimate number of shares earned was based on the Autodesk closing stock price on the vesting date. As these awards were settled in a fixed dollar amount of shares, the awards were accounted for as a liability-classified award and were expensed using the straight-line method over the vesting period.</w:t>
      </w:r>
    </w:p>
    <w:p>
      <w:pPr>
        <w:spacing w:after="0" w:line="165"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During the six months ended July 31, 2020, Autodesk granted 0.3 million performance stock units for which the ultimate number of shares earned is determined based on the achievement of performance criteria at the end of the stated service and performance period. The performance criteria for the performance stock units are based on revenue goals adopted by the Compensation and Human Resource Committee and, as applicable, total stockholder return compared against companies in the S&amp;P North American Technology Software Index with a market capitalization over $2.0 billion (“Relative TSR”). The fair value of the performance stock units is expensed using the accelerated attribution method over the three-year vesting period and have the following vesting schedule:</w:t>
      </w:r>
    </w:p>
    <w:p>
      <w:pPr>
        <w:spacing w:after="0" w:line="192" w:lineRule="exact"/>
        <w:rPr>
          <w:sz w:val="20"/>
          <w:szCs w:val="20"/>
          <w:color w:val="auto"/>
        </w:rPr>
      </w:pPr>
    </w:p>
    <w:p>
      <w:pPr>
        <w:ind w:left="660" w:right="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one, depending upon the achievement of the performance criteria for fiscal 2021 as well as 1-year Relative TSR (covering year one).</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two, depending upon the achievement of the performance criteria for year two as well as 2-year Relative TSR (covering years one and two).</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three, depending upon the achievement of the performance criteria for year three as well as 3-year Relative TSR (covering years one, two and three).</w:t>
      </w:r>
    </w:p>
    <w:p>
      <w:pPr>
        <w:spacing w:after="0" w:line="184"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Performance stock units are not considered outstanding stock at the time of grant, as the holders of these units are not entitled to any of the rights of a stockholder, including voting rights.</w:t>
      </w:r>
    </w:p>
    <w:p>
      <w:pPr>
        <w:spacing w:after="0" w:line="170"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Autodesk recorded stock-based compensation expense related to performance stock units of $10.1 million and $5.7 million for the three months ended July 31, 2020 and 2019, respectively. Autodesk recorded stock-based compensation expense related to performance stock units of $17.5 million and $12.2 million for the six months ended July 31, 2020 and 2019, respectively.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557" w:right="339" w:bottom="1440" w:gutter="0" w:footer="0" w:header="0"/>
          <w:type w:val="continuous"/>
        </w:sectPr>
      </w:pPr>
    </w:p>
    <w:bookmarkStart w:id="16" w:name="page17"/>
    <w:bookmarkEnd w:id="16"/>
    <w:p>
      <w:pPr>
        <w:ind w:left="220"/>
        <w:spacing w:after="0"/>
        <w:rPr>
          <w:sz w:val="20"/>
          <w:szCs w:val="20"/>
          <w:color w:val="auto"/>
        </w:rPr>
      </w:pPr>
      <w:r>
        <w:rPr>
          <w:rFonts w:ascii="Arial" w:cs="Arial" w:eastAsia="Arial" w:hAnsi="Arial"/>
          <w:sz w:val="18"/>
          <w:szCs w:val="18"/>
          <w:i w:val="1"/>
          <w:iCs w:val="1"/>
          <w:color w:val="auto"/>
        </w:rPr>
        <w:t>1998 Employee Qualified Stock Purchase Plan (“ESPP”)</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ESPP activity for the six months ended July 31, 2020 and 2019,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4"/>
                <w:szCs w:val="14"/>
                <w:b w:val="1"/>
                <w:bCs w:val="1"/>
                <w:color w:val="auto"/>
              </w:rPr>
              <w:t>Six Months Ended July 31,</w:t>
            </w:r>
          </w:p>
        </w:tc>
        <w:tc>
          <w:tcPr>
            <w:tcW w:w="520" w:type="dxa"/>
            <w:vAlign w:val="bottom"/>
            <w:tcBorders>
              <w:bottom w:val="single" w:sz="8" w:color="auto"/>
            </w:tcBorders>
          </w:tcPr>
          <w:p>
            <w:pPr>
              <w:spacing w:after="0"/>
              <w:rPr>
                <w:sz w:val="16"/>
                <w:szCs w:val="16"/>
                <w:color w:val="auto"/>
              </w:rPr>
            </w:pPr>
          </w:p>
        </w:tc>
      </w:tr>
      <w:tr>
        <w:trPr>
          <w:trHeight w:val="263"/>
        </w:trPr>
        <w:tc>
          <w:tcPr>
            <w:tcW w:w="82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r>
      <w:tr>
        <w:trPr>
          <w:trHeight w:val="23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Issued shares (in millions)</w:t>
            </w:r>
          </w:p>
        </w:tc>
        <w:tc>
          <w:tcPr>
            <w:tcW w:w="9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Average price of issued shares</w:t>
            </w:r>
          </w:p>
        </w:tc>
        <w:tc>
          <w:tcPr>
            <w:tcW w:w="900" w:type="dxa"/>
            <w:vAlign w:val="bottom"/>
          </w:tcPr>
          <w:p>
            <w:pPr>
              <w:jc w:val="right"/>
              <w:ind w:right="72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122.54</w:t>
            </w:r>
          </w:p>
        </w:tc>
        <w:tc>
          <w:tcPr>
            <w:tcW w:w="120" w:type="dxa"/>
            <w:vAlign w:val="bottom"/>
          </w:tcPr>
          <w:p>
            <w:pPr>
              <w:spacing w:after="0"/>
              <w:rPr>
                <w:sz w:val="20"/>
                <w:szCs w:val="20"/>
                <w:color w:val="auto"/>
              </w:rPr>
            </w:pP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99.46</w:t>
            </w:r>
          </w:p>
        </w:tc>
      </w:tr>
      <w:tr>
        <w:trPr>
          <w:trHeight w:val="3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 of awards granted under the ESPP (1)</w:t>
            </w:r>
          </w:p>
        </w:tc>
        <w:tc>
          <w:tcPr>
            <w:tcW w:w="900" w:type="dxa"/>
            <w:vAlign w:val="bottom"/>
            <w:tcBorders>
              <w:bottom w:val="single" w:sz="8" w:color="CCEEFF"/>
            </w:tcBorders>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52.41</w:t>
            </w:r>
          </w:p>
        </w:tc>
      </w:tr>
      <w:tr>
        <w:trPr>
          <w:trHeight w:val="206"/>
        </w:trPr>
        <w:tc>
          <w:tcPr>
            <w:tcW w:w="822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6"/>
        </w:trPr>
        <w:tc>
          <w:tcPr>
            <w:tcW w:w="8220" w:type="dxa"/>
            <w:vAlign w:val="bottom"/>
          </w:tcPr>
          <w:p>
            <w:pPr>
              <w:spacing w:after="0"/>
              <w:rPr>
                <w:sz w:val="20"/>
                <w:szCs w:val="20"/>
                <w:color w:val="auto"/>
              </w:rPr>
            </w:pPr>
            <w:r>
              <w:rPr>
                <w:rFonts w:ascii="Arial" w:cs="Arial" w:eastAsia="Arial" w:hAnsi="Arial"/>
                <w:sz w:val="16"/>
                <w:szCs w:val="16"/>
                <w:color w:val="auto"/>
              </w:rPr>
              <w:t>(1)   Calculated as of the award grant date using the Black-Scholes Merton (“BSM") option pricing model.</w:t>
            </w: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r>
    </w:tbl>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following table summarizes stock-based compensation expense for the three and six months ended July 31, 2020 and 2019, respectively,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6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3"/>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subscription and maintenance revenue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Cost of other revenue</w:t>
            </w:r>
          </w:p>
        </w:tc>
        <w:tc>
          <w:tcPr>
            <w:tcW w:w="34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33"/>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00"/>
        </w:trPr>
        <w:tc>
          <w:tcPr>
            <w:tcW w:w="5080" w:type="dxa"/>
            <w:vAlign w:val="bottom"/>
          </w:tcPr>
          <w:p>
            <w:pPr>
              <w:ind w:left="40"/>
              <w:spacing w:after="0"/>
              <w:rPr>
                <w:sz w:val="20"/>
                <w:szCs w:val="20"/>
                <w:color w:val="auto"/>
              </w:rPr>
            </w:pPr>
            <w:r>
              <w:rPr>
                <w:rFonts w:ascii="Arial" w:cs="Arial" w:eastAsia="Arial" w:hAnsi="Arial"/>
                <w:sz w:val="16"/>
                <w:szCs w:val="16"/>
                <w:color w:val="auto"/>
                <w:w w:val="99"/>
              </w:rPr>
              <w:t>Stock-based compensation expense related to stock awards and ESPP</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80" w:type="dxa"/>
            <w:vAlign w:val="bottom"/>
          </w:tcPr>
          <w:p>
            <w:pPr>
              <w:ind w:left="200"/>
              <w:spacing w:after="0"/>
              <w:rPr>
                <w:sz w:val="20"/>
                <w:szCs w:val="20"/>
                <w:color w:val="auto"/>
              </w:rPr>
            </w:pPr>
            <w:r>
              <w:rPr>
                <w:rFonts w:ascii="Arial" w:cs="Arial" w:eastAsia="Arial" w:hAnsi="Arial"/>
                <w:sz w:val="16"/>
                <w:szCs w:val="16"/>
                <w:color w:val="auto"/>
              </w:rPr>
              <w:t>purchases</w:t>
            </w:r>
          </w:p>
        </w:tc>
        <w:tc>
          <w:tcPr>
            <w:tcW w:w="34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95.9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194.1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163.4</w:t>
            </w:r>
          </w:p>
        </w:tc>
        <w:tc>
          <w:tcPr>
            <w:tcW w:w="0" w:type="dxa"/>
            <w:vAlign w:val="bottom"/>
          </w:tcPr>
          <w:p>
            <w:pPr>
              <w:spacing w:after="0"/>
              <w:rPr>
                <w:sz w:val="1"/>
                <w:szCs w:val="1"/>
                <w:color w:val="auto"/>
              </w:rPr>
            </w:pPr>
          </w:p>
        </w:tc>
      </w:tr>
      <w:tr>
        <w:trPr>
          <w:trHeight w:val="33"/>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0"/>
        </w:trPr>
        <w:tc>
          <w:tcPr>
            <w:tcW w:w="5080" w:type="dxa"/>
            <w:vAlign w:val="bottom"/>
          </w:tcPr>
          <w:p>
            <w:pPr>
              <w:ind w:left="40"/>
              <w:spacing w:after="0"/>
              <w:rPr>
                <w:sz w:val="20"/>
                <w:szCs w:val="20"/>
                <w:color w:val="auto"/>
              </w:rPr>
            </w:pPr>
            <w:r>
              <w:rPr>
                <w:rFonts w:ascii="Arial" w:cs="Arial" w:eastAsia="Arial" w:hAnsi="Arial"/>
                <w:sz w:val="16"/>
                <w:szCs w:val="16"/>
                <w:color w:val="auto"/>
                <w:w w:val="99"/>
              </w:rPr>
              <w:t>Stock-based compensation expense related to stock awards and ESPP</w:t>
            </w: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95.7</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rPr>
              <w:t>88.1</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6"/>
                <w:szCs w:val="16"/>
                <w:color w:val="auto"/>
              </w:rPr>
              <w:t>193.8</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163.1</w:t>
            </w:r>
          </w:p>
        </w:tc>
        <w:tc>
          <w:tcPr>
            <w:tcW w:w="0" w:type="dxa"/>
            <w:vAlign w:val="bottom"/>
          </w:tcPr>
          <w:p>
            <w:pPr>
              <w:spacing w:after="0"/>
              <w:rPr>
                <w:sz w:val="1"/>
                <w:szCs w:val="1"/>
                <w:color w:val="auto"/>
              </w:rPr>
            </w:pPr>
          </w:p>
        </w:tc>
      </w:tr>
      <w:tr>
        <w:trPr>
          <w:trHeight w:val="224"/>
        </w:trPr>
        <w:tc>
          <w:tcPr>
            <w:tcW w:w="5080" w:type="dxa"/>
            <w:vAlign w:val="bottom"/>
          </w:tcPr>
          <w:p>
            <w:pPr>
              <w:ind w:left="200"/>
              <w:spacing w:after="0"/>
              <w:rPr>
                <w:sz w:val="20"/>
                <w:szCs w:val="20"/>
                <w:color w:val="auto"/>
              </w:rPr>
            </w:pPr>
            <w:r>
              <w:rPr>
                <w:rFonts w:ascii="Arial" w:cs="Arial" w:eastAsia="Arial" w:hAnsi="Arial"/>
                <w:sz w:val="16"/>
                <w:szCs w:val="16"/>
                <w:color w:val="auto"/>
              </w:rPr>
              <w:t>purchases, net of tax</w:t>
            </w:r>
          </w:p>
        </w:tc>
        <w:tc>
          <w:tcPr>
            <w:tcW w:w="34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Autodesk determines the grant 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uses multiple input variables to estimate the probability that market conditions will be achieved. Autodesk uses the following assumptions to estimate the fair value of stock-based awards:</w:t>
      </w:r>
    </w:p>
    <w:p>
      <w:pPr>
        <w:sectPr>
          <w:pgSz w:w="11900" w:h="16838" w:orient="portrait"/>
          <w:cols w:equalWidth="0" w:num="1">
            <w:col w:w="11240"/>
          </w:cols>
          <w:pgMar w:left="320" w:top="5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Range of expected volatilities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Range of expected lives (in years)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dividends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color w:val="auto"/>
        </w:rPr>
        <w:t>Range of risk-free interest rates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Six Months Ended July 31, 2020</w:t>
            </w:r>
          </w:p>
        </w:tc>
        <w:tc>
          <w:tcPr>
            <w:tcW w:w="100" w:type="dxa"/>
            <w:vAlign w:val="bottom"/>
          </w:tcPr>
          <w:p>
            <w:pPr>
              <w:spacing w:after="0"/>
              <w:rPr>
                <w:sz w:val="16"/>
                <w:szCs w:val="16"/>
                <w:color w:val="auto"/>
              </w:rPr>
            </w:pPr>
          </w:p>
        </w:tc>
        <w:tc>
          <w:tcPr>
            <w:tcW w:w="32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Six Months Ended July 31, 2019</w:t>
            </w:r>
          </w:p>
        </w:tc>
        <w:tc>
          <w:tcPr>
            <w:tcW w:w="0" w:type="dxa"/>
            <w:vAlign w:val="bottom"/>
          </w:tcPr>
          <w:p>
            <w:pPr>
              <w:spacing w:after="0"/>
              <w:rPr>
                <w:sz w:val="1"/>
                <w:szCs w:val="1"/>
                <w:color w:val="auto"/>
              </w:rPr>
            </w:pPr>
          </w:p>
        </w:tc>
      </w:tr>
      <w:tr>
        <w:trPr>
          <w:trHeight w:val="152"/>
        </w:trPr>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6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ESPP (1)</w:t>
            </w:r>
          </w:p>
        </w:tc>
        <w:tc>
          <w:tcPr>
            <w:tcW w:w="16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5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ESPP (1)</w:t>
            </w:r>
          </w:p>
        </w:tc>
        <w:tc>
          <w:tcPr>
            <w:tcW w:w="0" w:type="dxa"/>
            <w:vAlign w:val="bottom"/>
          </w:tcPr>
          <w:p>
            <w:pPr>
              <w:spacing w:after="0"/>
              <w:rPr>
                <w:sz w:val="1"/>
                <w:szCs w:val="1"/>
                <w:color w:val="auto"/>
              </w:rPr>
            </w:pPr>
          </w:p>
        </w:tc>
      </w:tr>
      <w:tr>
        <w:trPr>
          <w:trHeight w:val="192"/>
        </w:trPr>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Units (1)</w:t>
            </w:r>
          </w:p>
        </w:tc>
        <w:tc>
          <w:tcPr>
            <w:tcW w:w="1680" w:type="dxa"/>
            <w:vAlign w:val="bottom"/>
            <w:gridSpan w:val="2"/>
            <w:vMerge w:val="continue"/>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Units (1)</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50.7%</w:t>
            </w:r>
          </w:p>
        </w:tc>
        <w:tc>
          <w:tcPr>
            <w:tcW w:w="12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39.4 - 45.8%</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36.3%</w:t>
            </w:r>
          </w:p>
        </w:tc>
        <w:tc>
          <w:tcPr>
            <w:tcW w:w="12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36.6 - 39.7%</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40"/>
              <w:spacing w:after="0"/>
              <w:rPr>
                <w:sz w:val="20"/>
                <w:szCs w:val="20"/>
                <w:color w:val="auto"/>
              </w:rPr>
            </w:pPr>
            <w:r>
              <w:rPr>
                <w:rFonts w:ascii="Arial" w:cs="Arial" w:eastAsia="Arial" w:hAnsi="Arial"/>
                <w:sz w:val="16"/>
                <w:szCs w:val="16"/>
                <w:color w:val="auto"/>
              </w:rPr>
              <w:t>N/A</w:t>
            </w:r>
          </w:p>
        </w:tc>
        <w:tc>
          <w:tcPr>
            <w:tcW w:w="158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00" w:type="dxa"/>
            <w:vAlign w:val="bottom"/>
          </w:tcPr>
          <w:p>
            <w:pPr>
              <w:spacing w:after="0"/>
              <w:rPr>
                <w:sz w:val="23"/>
                <w:szCs w:val="23"/>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56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270"/>
        </w:trPr>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1460" w:type="dxa"/>
            <w:vAlign w:val="bottom"/>
          </w:tcPr>
          <w:p>
            <w:pPr>
              <w:jc w:val="center"/>
              <w:spacing w:after="0"/>
              <w:rPr>
                <w:sz w:val="20"/>
                <w:szCs w:val="20"/>
                <w:color w:val="auto"/>
              </w:rPr>
            </w:pPr>
            <w:r>
              <w:rPr>
                <w:rFonts w:ascii="Arial" w:cs="Arial" w:eastAsia="Arial" w:hAnsi="Arial"/>
                <w:sz w:val="16"/>
                <w:szCs w:val="16"/>
                <w:color w:val="auto"/>
                <w:w w:val="93"/>
              </w:rPr>
              <w:t>0.3%</w:t>
            </w:r>
          </w:p>
        </w:tc>
        <w:tc>
          <w:tcPr>
            <w:tcW w:w="12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0"/>
              </w:rPr>
              <w:t>0.3 - 0.5%</w:t>
            </w:r>
          </w:p>
        </w:tc>
        <w:tc>
          <w:tcPr>
            <w:tcW w:w="10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3"/>
              </w:rPr>
              <w:t>2.5%</w:t>
            </w:r>
          </w:p>
        </w:tc>
        <w:tc>
          <w:tcPr>
            <w:tcW w:w="12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3"/>
              </w:rPr>
              <w:t>2.4 - 2.5%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-664210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-321310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720"/>
            <w:col w:w="6500"/>
          </w:cols>
          <w:pgMar w:left="320" w:top="557"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ind w:left="420" w:right="20" w:hanging="412"/>
        <w:spacing w:after="0" w:line="262"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There were no performance stock units or ESPP awards granted during the three months ended July 31, 2020 and 2019, where the fair value was estimated by a Monte Carlo simulation model or a BSM option pricing model, respectively.</w:t>
      </w:r>
    </w:p>
    <w:p>
      <w:pPr>
        <w:spacing w:after="0" w:line="15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(1) a measure of historical volatility in the trading market for the Company’s common stock, and (2) the implied volatility of traded forward call options to purchase shares of the Company’s common stock. The expected volatility for performance stock units</w:t>
      </w:r>
    </w:p>
    <w:p>
      <w:pPr>
        <w:sectPr>
          <w:pgSz w:w="11900" w:h="16838" w:orient="portrait"/>
          <w:cols w:equalWidth="0" w:num="1">
            <w:col w:w="11240"/>
          </w:cols>
          <w:pgMar w:left="320" w:top="557" w:right="339" w:bottom="1440" w:gutter="0" w:footer="0" w:header="0"/>
          <w:type w:val="continuous"/>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557" w:right="339" w:bottom="1440" w:gutter="0" w:footer="0" w:header="0"/>
          <w:type w:val="continuous"/>
        </w:sectPr>
      </w:pPr>
    </w:p>
    <w:bookmarkStart w:id="17" w:name="page18"/>
    <w:bookmarkEnd w:id="17"/>
    <w:p>
      <w:pPr>
        <w:ind w:right="20"/>
        <w:spacing w:after="0" w:line="277" w:lineRule="auto"/>
        <w:rPr>
          <w:sz w:val="20"/>
          <w:szCs w:val="20"/>
          <w:color w:val="auto"/>
        </w:rPr>
      </w:pPr>
      <w:r>
        <w:rPr>
          <w:rFonts w:ascii="Arial" w:cs="Arial" w:eastAsia="Arial" w:hAnsi="Arial"/>
          <w:sz w:val="18"/>
          <w:szCs w:val="18"/>
          <w:color w:val="auto"/>
        </w:rPr>
        <w:t>subject to market conditions includes the expected volatility of Autodesk's peer companies within the S&amp;P North American Technology Software Index with a market capitalization over $2.0 billion, depending on the award type.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range of expected lives of ESPP awards are based upon the four, six-month exercise periods within a 24-month offering period.</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Autodesk recognizes expense only for the stock-based awards that ultimately vest. Autodesk accounts for forfeitures of our stock-based awards as those forfeitures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w:t>
      </w:r>
    </w:p>
    <w:p>
      <w:pPr>
        <w:spacing w:after="0" w:line="225" w:lineRule="exact"/>
        <w:rPr>
          <w:sz w:val="20"/>
          <w:szCs w:val="20"/>
          <w:color w:val="auto"/>
        </w:rPr>
      </w:pPr>
    </w:p>
    <w:p>
      <w:pPr>
        <w:ind w:right="200" w:firstLine="467"/>
        <w:spacing w:after="0" w:line="296" w:lineRule="auto"/>
        <w:rPr>
          <w:sz w:val="20"/>
          <w:szCs w:val="20"/>
          <w:color w:val="auto"/>
        </w:rPr>
      </w:pPr>
      <w:r>
        <w:rPr>
          <w:rFonts w:ascii="Arial" w:cs="Arial" w:eastAsia="Arial" w:hAnsi="Arial"/>
          <w:sz w:val="16"/>
          <w:szCs w:val="16"/>
          <w:color w:val="auto"/>
        </w:rPr>
        <w:t>Autodesk had income tax expense of $30.8 million, relative to pre-tax income of $129.0 million for the three months ended July 31, 2020, and income tax expense of $26.3 million, relative to pre-tax income of $66.5 million for the three months ended July 31, 2019. Autodesk had income tax expense of $54.8 million, relative to pre-tax income of $219.5 million for the six months ended July 31, 2020, and income tax expense of $59.1 million, relative to pre-tax income of $75.1 million for the six months ended July 31, 2019. Income tax expense for the three and six months ended July 31, 2020, increased and decreased, respectively, as a result of the jurisdictional mix of year-to-date earnings relative to the worldwide annual effective tax rate.</w:t>
      </w:r>
    </w:p>
    <w:p>
      <w:pPr>
        <w:spacing w:after="0" w:line="175" w:lineRule="exact"/>
        <w:rPr>
          <w:sz w:val="20"/>
          <w:szCs w:val="20"/>
          <w:color w:val="auto"/>
        </w:rPr>
      </w:pPr>
    </w:p>
    <w:p>
      <w:pPr>
        <w:jc w:val="both"/>
        <w:ind w:right="260" w:firstLine="432"/>
        <w:spacing w:after="0" w:line="263" w:lineRule="auto"/>
        <w:rPr>
          <w:sz w:val="20"/>
          <w:szCs w:val="20"/>
          <w:color w:val="auto"/>
        </w:rPr>
      </w:pPr>
      <w:r>
        <w:rPr>
          <w:rFonts w:ascii="Arial" w:cs="Arial" w:eastAsia="Arial" w:hAnsi="Arial"/>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w:t>
      </w:r>
    </w:p>
    <w:p>
      <w:pPr>
        <w:spacing w:after="0" w:line="184"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The Company anticipates a significant increase in U.S. taxable income in fiscal 2021 due to current year increase in global earnings. We currently forecast the utilization of U.S. deferred tax assets to offset U.S. taxable income resulting from the inclusion of foreign earnings. While increased U.S. taxable income is considered positive evidence, we believe that the cumulative losses should be given more weight and have maintained the valuation allowance on our U.S. deferred tax assets.</w:t>
      </w:r>
    </w:p>
    <w:p>
      <w:pPr>
        <w:spacing w:after="0" w:line="187" w:lineRule="exact"/>
        <w:rPr>
          <w:sz w:val="20"/>
          <w:szCs w:val="20"/>
          <w:color w:val="auto"/>
        </w:rPr>
      </w:pPr>
    </w:p>
    <w:p>
      <w:pPr>
        <w:ind w:right="380" w:firstLine="486"/>
        <w:spacing w:after="0" w:line="311" w:lineRule="auto"/>
        <w:rPr>
          <w:sz w:val="20"/>
          <w:szCs w:val="20"/>
          <w:color w:val="auto"/>
        </w:rPr>
      </w:pPr>
      <w:r>
        <w:rPr>
          <w:rFonts w:ascii="Arial" w:cs="Arial" w:eastAsia="Arial" w:hAnsi="Arial"/>
          <w:sz w:val="16"/>
          <w:szCs w:val="16"/>
          <w:color w:val="auto"/>
        </w:rPr>
        <w:t>As Autodesk continually strives to optimize the overall business model, tax planning strategies may become feasible and prudent allowing the Company to realize many of the deferred tax assets that are offset by a valuation allowance; therefore, Autodesk will continue to evaluate the ability to utilize the deferred tax assets each quarter, both in the U.S. and in foreign jurisdictions, based on all available evidence, both positive and negative.</w:t>
      </w:r>
    </w:p>
    <w:p>
      <w:pPr>
        <w:spacing w:after="0" w:line="149"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As of July 31, 2020, the Company had $222.4 million of gross unrecognized tax benefits, of which $204.7 million would reduce our valuation allowance, if recognized. The remaining $17.7 million would impact the effective tax rate, if recognized. It is possible that the amount of unrecognized tax benefits will change in the next twelve months; however, an estimate of the range of the possible change cannot be made at this time.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Other intangible assets, including developed technologies, customer relationships, trade names, patents, user lists and the related accumulated amortization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2020</w:t>
            </w:r>
          </w:p>
        </w:tc>
        <w:tc>
          <w:tcPr>
            <w:tcW w:w="140" w:type="dxa"/>
            <w:vAlign w:val="bottom"/>
          </w:tcPr>
          <w:p>
            <w:pPr>
              <w:spacing w:after="0"/>
              <w:rPr>
                <w:sz w:val="16"/>
                <w:szCs w:val="16"/>
                <w:color w:val="auto"/>
              </w:rPr>
            </w:pPr>
          </w:p>
        </w:tc>
        <w:tc>
          <w:tcPr>
            <w:tcW w:w="1300" w:type="dxa"/>
            <w:vAlign w:val="bottom"/>
          </w:tcPr>
          <w:p>
            <w:pPr>
              <w:jc w:val="right"/>
              <w:ind w:right="121"/>
              <w:spacing w:after="0"/>
              <w:rPr>
                <w:sz w:val="20"/>
                <w:szCs w:val="20"/>
                <w:color w:val="auto"/>
              </w:rPr>
            </w:pPr>
            <w:r>
              <w:rPr>
                <w:rFonts w:ascii="Arial" w:cs="Arial" w:eastAsia="Arial" w:hAnsi="Arial"/>
                <w:sz w:val="14"/>
                <w:szCs w:val="14"/>
                <w:b w:val="1"/>
                <w:bCs w:val="1"/>
                <w:color w:val="auto"/>
                <w:w w:val="96"/>
              </w:rPr>
              <w:t>January 31, 2020</w:t>
            </w:r>
          </w:p>
        </w:tc>
        <w:tc>
          <w:tcPr>
            <w:tcW w:w="0" w:type="dxa"/>
            <w:vAlign w:val="bottom"/>
          </w:tcPr>
          <w:p>
            <w:pPr>
              <w:spacing w:after="0"/>
              <w:rPr>
                <w:sz w:val="1"/>
                <w:szCs w:val="1"/>
                <w:color w:val="auto"/>
              </w:rPr>
            </w:pPr>
          </w:p>
        </w:tc>
      </w:tr>
      <w:tr>
        <w:trPr>
          <w:trHeight w:val="236"/>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 at cost</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647.1</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Customer relationships, trade names, patents, and user lists, at cost (1)</w:t>
            </w: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534.2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532.2</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at cost (2)</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1,187.5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1,179.3</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Less: Accumulated amortization</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(972.2)</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Included in “Long-term other assets”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the effects of foreign currency translation.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Cloud Computing Arrangements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Autodesk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Autodesk amortizes the capitalized development costs straight-line over the fixed, non-cancellable term of the associated hosting arrangement plus any reasonably certain renewal periods. The capitalized costs are included in "Prepaid expenses and other current assets" and "Long-term other assets" on our Condensed Consolidated Balance Sheets. Capitalized costs were $44.3 million and $22.3 million at July 31, 2020, and January 31, 2020, respectively. Accumulated amortization was $2.9 million and $1.2 million at July 31, 2020, and January 31, 2020, respectively. Amortization expense for the three months ended July 31, 2020 and 2019, was $0.8 million and none, respectively. Amortization expense for the six months ended July 31, 2020 and 2019, was $1.7 million and none,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Goodwill consists of the excess of the consideration transferred over the fair value of net assets acquired in business combinations. The following table summarizes the changes in the carrying amount of goodwill for the six months ended July 31, 2020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January 31, 2020</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2,594.2</w:t>
            </w:r>
          </w:p>
        </w:tc>
      </w:tr>
      <w:tr>
        <w:trPr>
          <w:trHeight w:val="223"/>
        </w:trPr>
        <w:tc>
          <w:tcPr>
            <w:tcW w:w="9780" w:type="dxa"/>
            <w:vAlign w:val="bottom"/>
          </w:tcPr>
          <w:p>
            <w:pPr>
              <w:ind w:left="40"/>
              <w:spacing w:after="0"/>
              <w:rPr>
                <w:sz w:val="20"/>
                <w:szCs w:val="20"/>
                <w:color w:val="auto"/>
              </w:rPr>
            </w:pPr>
            <w:r>
              <w:rPr>
                <w:rFonts w:ascii="Arial" w:cs="Arial" w:eastAsia="Arial" w:hAnsi="Arial"/>
                <w:sz w:val="16"/>
                <w:szCs w:val="16"/>
                <w:color w:val="auto"/>
              </w:rPr>
              <w:t>Less: accumulated impairment losses as of January 31, 2020</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33"/>
        </w:trPr>
        <w:tc>
          <w:tcPr>
            <w:tcW w:w="97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9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balance as of January 31, 2020</w:t>
            </w: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2,445.0</w:t>
            </w:r>
          </w:p>
        </w:tc>
      </w:tr>
      <w:tr>
        <w:trPr>
          <w:trHeight w:val="223"/>
        </w:trPr>
        <w:tc>
          <w:tcPr>
            <w:tcW w:w="9780" w:type="dxa"/>
            <w:vAlign w:val="bottom"/>
          </w:tcPr>
          <w:p>
            <w:pPr>
              <w:ind w:left="40"/>
              <w:spacing w:after="0"/>
              <w:rPr>
                <w:sz w:val="20"/>
                <w:szCs w:val="20"/>
                <w:color w:val="auto"/>
              </w:rPr>
            </w:pPr>
            <w:r>
              <w:rPr>
                <w:rFonts w:ascii="Arial" w:cs="Arial" w:eastAsia="Arial" w:hAnsi="Arial"/>
                <w:sz w:val="16"/>
                <w:szCs w:val="16"/>
                <w:color w:val="auto"/>
              </w:rPr>
              <w:t>Effect of foreign currency translation</w:t>
            </w:r>
          </w:p>
        </w:tc>
        <w:tc>
          <w:tcPr>
            <w:tcW w:w="4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14.1</w:t>
            </w:r>
          </w:p>
        </w:tc>
      </w:tr>
      <w:tr>
        <w:trPr>
          <w:trHeight w:val="33"/>
        </w:trPr>
        <w:tc>
          <w:tcPr>
            <w:tcW w:w="97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July 31, 2020</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2,459.1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Autodesk operates as a single operating segment and single reporting unit. As such, when Autodesk tests goodwill for impairment annually in its fourth fiscal quarter, it is performed on the Company's single reporting unit. Autodesk performs impairment testing more often if circumstances indicate a potential impairment may exist, or if events have affected the composition of reporting units.</w:t>
      </w:r>
    </w:p>
    <w:p>
      <w:pPr>
        <w:spacing w:after="0" w:line="18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When goodwill is assessed for impairment, Autodesk has the option to perform an assessment of qualitative factors of impairment (“optional assessment”) prior to necessitating a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quantitative impairment test is unnecessary.</w:t>
      </w:r>
    </w:p>
    <w:p>
      <w:pPr>
        <w:spacing w:after="0" w:line="192" w:lineRule="exact"/>
        <w:rPr>
          <w:sz w:val="20"/>
          <w:szCs w:val="20"/>
          <w:color w:val="auto"/>
        </w:rPr>
      </w:pPr>
    </w:p>
    <w:p>
      <w:pPr>
        <w:ind w:right="140" w:firstLine="405"/>
        <w:spacing w:after="0" w:line="311" w:lineRule="auto"/>
        <w:rPr>
          <w:sz w:val="20"/>
          <w:szCs w:val="20"/>
          <w:color w:val="auto"/>
        </w:rPr>
      </w:pPr>
      <w:r>
        <w:rPr>
          <w:rFonts w:ascii="Arial" w:cs="Arial" w:eastAsia="Arial" w:hAnsi="Arial"/>
          <w:sz w:val="16"/>
          <w:szCs w:val="16"/>
          <w:color w:val="auto"/>
        </w:rPr>
        <w:t>The quantitative impairment test is necessary when either Autodesk does not use the optional assessment or, as a result of the optional assessment, it is not more likely than not that the fair value of the reporting unit is greater than its carrying value. In situations in which an entity's reporting unit is publicly traded, the fair value of the Company may be approximated by its market capitalization, in performing the quantitative impairment test.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557" w:right="339" w:bottom="1440" w:gutter="0" w:footer="0" w:header="0"/>
        </w:sectPr>
      </w:pPr>
    </w:p>
    <w:bookmarkStart w:id="19" w:name="page20"/>
    <w:bookmarkEnd w:id="19"/>
    <w:p>
      <w:pPr>
        <w:ind w:right="20" w:firstLine="405"/>
        <w:spacing w:after="0" w:line="255" w:lineRule="auto"/>
        <w:rPr>
          <w:sz w:val="20"/>
          <w:szCs w:val="20"/>
          <w:color w:val="auto"/>
        </w:rPr>
      </w:pPr>
      <w:r>
        <w:rPr>
          <w:rFonts w:ascii="Arial" w:cs="Arial" w:eastAsia="Arial" w:hAnsi="Arial"/>
          <w:sz w:val="18"/>
          <w:szCs w:val="18"/>
          <w:color w:val="auto"/>
        </w:rPr>
        <w:t>Goodwill impairment exists when the estimated fair value of goodwill is less than its carrying value. If impairment exists, the carrying value of the goodwill is reduced to fair value through an impairment charge recorded in our Condensed Consolidated Statements of Operations.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a significant slowdown in the worldwide economy or the industries Autodesk serves, or (iv) changes in Autodesk’s business strategy.</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goodwill impairment during the three and six months ended July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Deferred Compensation</w:t>
      </w:r>
    </w:p>
    <w:p>
      <w:pPr>
        <w:spacing w:after="0" w:line="225"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At July 31, 2020, Autodesk had marketable securities totaling $79.7 million, of which $73.7 million is related to investments in debt and equity securities that are held in a rabbi trust under non-qualified deferred compensation plans. Of the $73.7 million related to the deferred compensation liability at July 31, 2020, $5.5 million was classified as current and $68.2 million was classified as non-current liabilities. Of the $69.0 million related to the deferred compensation liability at January 31, 2020, $5.3 million was classified as current and $63.7 million was classified as non-current liabilities. The securities are recorded in the Condensed Consolidated Balance Sheets under the current portion of "Marketable securities." The current and non-current portions of the liability are recorded in the Condensed Consolidated Balance Sheets under “Accrued compensation” and “Long-term other liabilities,” respectively.</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25"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Sales commissions earned by our internal sales personnel and our reseller partners are considered incremental and recoverable costs of obtaining a contract with a customer. The ending balance of assets recognized from costs to obtain a contract with a customer was $88.3 million as of July 31, 2020 and $98.8 million as of January 31, 2020. Amortization expense related to assets recognized from costs to obtain a contract with a customer was $23.6 million and $46.4 million during the three and six months ended July 31, 2020, respectively. Amortization expense related to assets recognized from costs to obtain a contract with a customer was $25.5 million and $50.2 million during the three and six months ended July 31, 2019, respectively. Autodesk did not recognize any contract cost impairment losses during the six months ended July 31, 2020 and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2020</w:t>
            </w:r>
          </w:p>
        </w:tc>
        <w:tc>
          <w:tcPr>
            <w:tcW w:w="14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2020</w:t>
            </w:r>
          </w:p>
        </w:tc>
      </w:tr>
      <w:tr>
        <w:trPr>
          <w:trHeight w:val="236"/>
        </w:trPr>
        <w:tc>
          <w:tcPr>
            <w:tcW w:w="8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hardware, at cost</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159.7</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Computer software, at cost</w:t>
            </w: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64.0</w:t>
            </w:r>
          </w:p>
        </w:tc>
      </w:tr>
      <w:tr>
        <w:trPr>
          <w:trHeight w:val="33"/>
        </w:trPr>
        <w:tc>
          <w:tcPr>
            <w:tcW w:w="8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 land and buildings, at cost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284.0</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Furniture and equipment, at cost</w:t>
            </w:r>
          </w:p>
        </w:tc>
        <w:tc>
          <w:tcPr>
            <w:tcW w:w="22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69.0</w:t>
            </w:r>
          </w:p>
        </w:tc>
      </w:tr>
      <w:tr>
        <w:trPr>
          <w:trHeight w:val="33"/>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576.7</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(415.0)</w:t>
            </w:r>
          </w:p>
        </w:tc>
      </w:tr>
      <w:tr>
        <w:trPr>
          <w:trHeight w:val="33"/>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161.7</w:t>
            </w: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Borrowing Arrangements</w:t>
      </w:r>
    </w:p>
    <w:p>
      <w:pPr>
        <w:spacing w:after="0" w:line="225"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In January 2020, Autodesk issued $500.0 million aggregate principal amount of 2.85% notes due January 15, 2030 (“2020 Notes”). Net of a discount of $1.1 million and issuance costs of $4.8 million, Autodesk received net proceeds of $494.1 million from issuance of the 2020 Notes. Both the discount and issuance costs are being amortized to interest expense over the term of the 2020 Notes using the effective interest method. The proceeds of the 2020 Notes have been used for the repayment of the $450.0 million 2015 Notes, as defined below, and the remainder is available for general corporate purposes.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557" w:right="339" w:bottom="1440" w:gutter="0" w:footer="0" w:header="0"/>
        </w:sectPr>
      </w:pPr>
    </w:p>
    <w:bookmarkStart w:id="20" w:name="page21"/>
    <w:bookmarkEnd w:id="20"/>
    <w:p>
      <w:pPr>
        <w:ind w:firstLine="405"/>
        <w:spacing w:after="0" w:line="268" w:lineRule="auto"/>
        <w:rPr>
          <w:sz w:val="20"/>
          <w:szCs w:val="20"/>
          <w:color w:val="auto"/>
        </w:rPr>
      </w:pPr>
      <w:r>
        <w:rPr>
          <w:rFonts w:ascii="Arial" w:cs="Arial" w:eastAsia="Arial" w:hAnsi="Arial"/>
          <w:sz w:val="17"/>
          <w:szCs w:val="17"/>
          <w:color w:val="auto"/>
        </w:rPr>
        <w:t>In December 2018, Autodesk entered into a credit agreement by and among Autodesk, the lenders from time to time party thereto and Citibank, N.A., as agent, which provides for an unsecured revolving loan facility in the aggregate principal amount of $650.0 million with an option, subject to customary conditions, to request an increase in the amount of the credit facility by up to an additional $350.0 million, and is available for working capital or other business needs. The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credit agreement financial covenants consist of (1) a minimum interest coverage ratio of 2.50:1.0 starting with the fiscal quarter ending January 31, 2019, and increasing to 3.00:1.0 starting with the fiscal quarter ending April 30, 2019, and (2) a maximum leverage ratio of 3.50:1.0 starting with the fiscal quarter ending July 31, 2019, and dropping to 3.00:1.0 in the fiscal quarter ending January 31, 2020. At July 31, 2020, Autodesk was in compliance with the credit agreement covenants. Revolving loans under the credit agreement bear interest, at Autodesk's option, at either (i) a floating rate per annum equal to the base rate plus a margin of between 0.000% and 0.500%, depending on Autodesk’s Public Debt Rating (as defined in the credit agreement) or (ii) a per annum rate equal to the rate at which dollar deposits are offered in the London interbank market, plus a margin of between 0.900% and 1.500%, depending on Autodesk’s Public Debt Rating. The maturity date on the credit agreement is December 2023. At July 31, 2020, Autodesk had no outstanding borrowings under the credit agreement.</w:t>
      </w:r>
    </w:p>
    <w:p>
      <w:pPr>
        <w:spacing w:after="0" w:line="186" w:lineRule="exact"/>
        <w:rPr>
          <w:sz w:val="20"/>
          <w:szCs w:val="20"/>
          <w:color w:val="auto"/>
        </w:rPr>
      </w:pPr>
    </w:p>
    <w:p>
      <w:pPr>
        <w:jc w:val="both"/>
        <w:ind w:right="80" w:firstLine="405"/>
        <w:spacing w:after="0" w:line="301" w:lineRule="auto"/>
        <w:rPr>
          <w:sz w:val="20"/>
          <w:szCs w:val="20"/>
          <w:color w:val="auto"/>
        </w:rPr>
      </w:pPr>
      <w:r>
        <w:rPr>
          <w:rFonts w:ascii="Arial" w:cs="Arial" w:eastAsia="Arial" w:hAnsi="Arial"/>
          <w:sz w:val="16"/>
          <w:szCs w:val="16"/>
          <w:color w:val="auto"/>
        </w:rPr>
        <w:t>In June 2017, Autodesk issued $500.0 million aggregate principal amount of 3.5% notes due June 15, 2027 (the “2017 Notes”). Net of a discount of $3.1 million and issuance costs of $4.9 million, Autodesk received net proceeds of $492.0 million from issuance of the 2017 Notes. Both the discount and issuance costs are being amortized to interest expense over the term of the 2017 Notes using the effective interest method. The proceeds of the 2017 Notes have been used for the repayment of $400.0 million of debt due December 15, 2017, and the remainder is available for general corporate purposes.</w:t>
      </w:r>
    </w:p>
    <w:p>
      <w:pPr>
        <w:spacing w:after="0" w:line="15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June 2015, Autodesk issued $450.0 million aggregate principal amount of 3.125% notes due June 15, 2020 ("$450.0 million 2015 Notes") and $300.0 million aggregate principal amount of 4.375% notes due June 15, 2025 (“$300.0 million 2015 Notes”) (collectively, the "2015 Notes"). Net of a discount of $0.6 million and $1.1 million, and issuance costs of $3.8 million and $2.5 million, Autodesk received net proceeds of $445.6 million and $296.4 million from issuance of the $450.0 million 2015 Notes and $300.0 million 2015 Notes, respectively. Both the discount and issuance costs are being amortized to interest expense over the respective term of the $300.0 million 2015 Notes using the effective interest method. The proceeds of the $300.0 million 2015 Notes is available for general corporate purposes. On March 4, 2020, the proceeds of the 2020 Notes were used for the repayment of the $450.0 million 2015 Notes. Autodesk paid a redemption price of $452.1 million, plus accrued and unpaid interest to, but not including, the date of redemption.</w:t>
      </w:r>
    </w:p>
    <w:p>
      <w:pPr>
        <w:spacing w:after="0" w:line="192" w:lineRule="exact"/>
        <w:rPr>
          <w:sz w:val="20"/>
          <w:szCs w:val="20"/>
          <w:color w:val="auto"/>
        </w:rPr>
      </w:pPr>
    </w:p>
    <w:p>
      <w:pPr>
        <w:jc w:val="both"/>
        <w:ind w:right="280" w:firstLine="405"/>
        <w:spacing w:after="0" w:line="259" w:lineRule="auto"/>
        <w:rPr>
          <w:sz w:val="20"/>
          <w:szCs w:val="20"/>
          <w:color w:val="auto"/>
        </w:rPr>
      </w:pPr>
      <w:r>
        <w:rPr>
          <w:rFonts w:ascii="Arial" w:cs="Arial" w:eastAsia="Arial" w:hAnsi="Arial"/>
          <w:sz w:val="18"/>
          <w:szCs w:val="18"/>
          <w:color w:val="auto"/>
        </w:rPr>
        <w:t>In December 2012, Autodesk issued $350.0 million aggregate principal amount of 3.6% notes due December 15, 2022 (“2012 Notes”). Autodesk received net proceeds of $346.7 million from issuance of the 2012 Notes, net of a discount of $0.5 million and issuance costs of $2.8 million. Both the discount and issuance costs are being amortized to interest expense over the respective terms of the 2012 Notes using the effective interest method. The proceeds of the 2012 Notes are available for general corporate purposes.</w:t>
      </w:r>
    </w:p>
    <w:p>
      <w:pPr>
        <w:spacing w:after="0" w:line="187" w:lineRule="exact"/>
        <w:rPr>
          <w:sz w:val="20"/>
          <w:szCs w:val="20"/>
          <w:color w:val="auto"/>
        </w:rPr>
      </w:pPr>
    </w:p>
    <w:p>
      <w:pPr>
        <w:ind w:right="100" w:firstLine="432"/>
        <w:spacing w:after="0" w:line="275" w:lineRule="auto"/>
        <w:rPr>
          <w:sz w:val="20"/>
          <w:szCs w:val="20"/>
          <w:color w:val="auto"/>
        </w:rPr>
      </w:pPr>
      <w:r>
        <w:rPr>
          <w:rFonts w:ascii="Arial" w:cs="Arial" w:eastAsia="Arial" w:hAnsi="Arial"/>
          <w:sz w:val="17"/>
          <w:szCs w:val="17"/>
          <w:color w:val="auto"/>
        </w:rPr>
        <w:t>The 2020 Notes, 2017 Notes, $300 million 2015 Notes and the 2012 Notes may all be redeemed at any time, subject to a make whole premium. In addition, upon the occurrence of certain change of control triggering events, Autodesk may be required to repurchase all the aforementioned notes, at a price equal to 101% of their principal amount, plus accrued and unpaid interest to the date of repurchase. All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on the quoted market prices, the approximate fair value of the notes as of July 31, 2020,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540" w:type="dxa"/>
            <w:vAlign w:val="bottom"/>
          </w:tcPr>
          <w:p>
            <w:pPr>
              <w:jc w:val="right"/>
              <w:ind w:right="162"/>
              <w:spacing w:after="0"/>
              <w:rPr>
                <w:sz w:val="20"/>
                <w:szCs w:val="20"/>
                <w:color w:val="auto"/>
              </w:rPr>
            </w:pPr>
            <w:r>
              <w:rPr>
                <w:rFonts w:ascii="Arial" w:cs="Arial" w:eastAsia="Arial" w:hAnsi="Arial"/>
                <w:sz w:val="14"/>
                <w:szCs w:val="14"/>
                <w:b w:val="1"/>
                <w:bCs w:val="1"/>
                <w:color w:val="auto"/>
                <w:w w:val="96"/>
              </w:rPr>
              <w:t>Aggregate Principal</w:t>
            </w:r>
          </w:p>
        </w:tc>
        <w:tc>
          <w:tcPr>
            <w:tcW w:w="400" w:type="dxa"/>
            <w:vAlign w:val="bottom"/>
          </w:tcPr>
          <w:p>
            <w:pPr>
              <w:spacing w:after="0"/>
              <w:rPr>
                <w:sz w:val="14"/>
                <w:szCs w:val="14"/>
                <w:color w:val="auto"/>
              </w:rPr>
            </w:pPr>
          </w:p>
        </w:tc>
        <w:tc>
          <w:tcPr>
            <w:tcW w:w="13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6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3160" w:type="dxa"/>
            <w:vAlign w:val="bottom"/>
          </w:tcPr>
          <w:p>
            <w:pPr>
              <w:spacing w:after="0"/>
              <w:rPr>
                <w:sz w:val="16"/>
                <w:szCs w:val="16"/>
                <w:color w:val="auto"/>
              </w:rPr>
            </w:pPr>
          </w:p>
        </w:tc>
        <w:tc>
          <w:tcPr>
            <w:tcW w:w="1540" w:type="dxa"/>
            <w:vAlign w:val="bottom"/>
          </w:tcPr>
          <w:p>
            <w:pPr>
              <w:jc w:val="right"/>
              <w:ind w:right="522"/>
              <w:spacing w:after="0"/>
              <w:rPr>
                <w:sz w:val="20"/>
                <w:szCs w:val="20"/>
                <w:color w:val="auto"/>
              </w:rPr>
            </w:pPr>
            <w:r>
              <w:rPr>
                <w:rFonts w:ascii="Arial" w:cs="Arial" w:eastAsia="Arial" w:hAnsi="Arial"/>
                <w:sz w:val="14"/>
                <w:szCs w:val="14"/>
                <w:b w:val="1"/>
                <w:bCs w:val="1"/>
                <w:color w:val="auto"/>
              </w:rPr>
              <w:t>Amount</w:t>
            </w:r>
          </w:p>
        </w:tc>
        <w:tc>
          <w:tcPr>
            <w:tcW w:w="4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2012 Notes</w:t>
            </w:r>
          </w:p>
        </w:tc>
        <w:tc>
          <w:tcPr>
            <w:tcW w:w="3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350.0</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369.6</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6"/>
                <w:szCs w:val="16"/>
                <w:color w:val="auto"/>
              </w:rPr>
              <w:t>$300 million 2015 Notes</w:t>
            </w:r>
          </w:p>
        </w:tc>
        <w:tc>
          <w:tcPr>
            <w:tcW w:w="3160" w:type="dxa"/>
            <w:vAlign w:val="bottom"/>
          </w:tcPr>
          <w:p>
            <w:pPr>
              <w:spacing w:after="0"/>
              <w:rPr>
                <w:sz w:val="20"/>
                <w:szCs w:val="20"/>
                <w:color w:val="auto"/>
              </w:rPr>
            </w:pPr>
          </w:p>
        </w:tc>
        <w:tc>
          <w:tcPr>
            <w:tcW w:w="1540" w:type="dxa"/>
            <w:vAlign w:val="bottom"/>
          </w:tcPr>
          <w:p>
            <w:pPr>
              <w:jc w:val="right"/>
              <w:ind w:right="62"/>
              <w:spacing w:after="0"/>
              <w:rPr>
                <w:sz w:val="20"/>
                <w:szCs w:val="20"/>
                <w:color w:val="auto"/>
              </w:rPr>
            </w:pPr>
            <w:r>
              <w:rPr>
                <w:rFonts w:ascii="Arial" w:cs="Arial" w:eastAsia="Arial" w:hAnsi="Arial"/>
                <w:sz w:val="16"/>
                <w:szCs w:val="16"/>
                <w:color w:val="auto"/>
              </w:rPr>
              <w:t>300.0</w:t>
            </w:r>
          </w:p>
        </w:tc>
        <w:tc>
          <w:tcPr>
            <w:tcW w:w="40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342.1</w:t>
            </w:r>
          </w:p>
        </w:tc>
        <w:tc>
          <w:tcPr>
            <w:tcW w:w="0" w:type="dxa"/>
            <w:vAlign w:val="bottom"/>
          </w:tcPr>
          <w:p>
            <w:pPr>
              <w:spacing w:after="0"/>
              <w:rPr>
                <w:sz w:val="1"/>
                <w:szCs w:val="1"/>
                <w:color w:val="auto"/>
              </w:rPr>
            </w:pPr>
          </w:p>
        </w:tc>
      </w:tr>
      <w:tr>
        <w:trPr>
          <w:trHeight w:val="33"/>
        </w:trPr>
        <w:tc>
          <w:tcPr>
            <w:tcW w:w="46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 Notes</w:t>
            </w:r>
          </w:p>
        </w:tc>
        <w:tc>
          <w:tcPr>
            <w:tcW w:w="3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500.0</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577.2</w:t>
            </w:r>
          </w:p>
        </w:tc>
        <w:tc>
          <w:tcPr>
            <w:tcW w:w="0" w:type="dxa"/>
            <w:vAlign w:val="bottom"/>
          </w:tcPr>
          <w:p>
            <w:pPr>
              <w:spacing w:after="0"/>
              <w:rPr>
                <w:sz w:val="1"/>
                <w:szCs w:val="1"/>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6"/>
                <w:szCs w:val="16"/>
                <w:color w:val="auto"/>
              </w:rPr>
              <w:t>2020 Notes</w:t>
            </w:r>
          </w:p>
        </w:tc>
        <w:tc>
          <w:tcPr>
            <w:tcW w:w="3160" w:type="dxa"/>
            <w:vAlign w:val="bottom"/>
          </w:tcPr>
          <w:p>
            <w:pPr>
              <w:spacing w:after="0"/>
              <w:rPr>
                <w:sz w:val="20"/>
                <w:szCs w:val="20"/>
                <w:color w:val="auto"/>
              </w:rPr>
            </w:pPr>
          </w:p>
        </w:tc>
        <w:tc>
          <w:tcPr>
            <w:tcW w:w="1540" w:type="dxa"/>
            <w:vAlign w:val="bottom"/>
          </w:tcPr>
          <w:p>
            <w:pPr>
              <w:jc w:val="right"/>
              <w:ind w:right="62"/>
              <w:spacing w:after="0"/>
              <w:rPr>
                <w:sz w:val="20"/>
                <w:szCs w:val="20"/>
                <w:color w:val="auto"/>
              </w:rPr>
            </w:pPr>
            <w:r>
              <w:rPr>
                <w:rFonts w:ascii="Arial" w:cs="Arial" w:eastAsia="Arial" w:hAnsi="Arial"/>
                <w:sz w:val="16"/>
                <w:szCs w:val="16"/>
                <w:color w:val="auto"/>
              </w:rPr>
              <w:t>500.0</w:t>
            </w:r>
          </w:p>
        </w:tc>
        <w:tc>
          <w:tcPr>
            <w:tcW w:w="400" w:type="dxa"/>
            <w:vAlign w:val="bottom"/>
          </w:tcPr>
          <w:p>
            <w:pPr>
              <w:spacing w:after="0"/>
              <w:rPr>
                <w:sz w:val="20"/>
                <w:szCs w:val="20"/>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562.0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773" w:right="379" w:bottom="1440" w:gutter="0" w:footer="0" w:header="0"/>
        </w:sectPr>
      </w:pPr>
    </w:p>
    <w:bookmarkStart w:id="21" w:name="page22"/>
    <w:bookmarkEnd w:id="21"/>
    <w:p>
      <w:pPr>
        <w:ind w:left="420"/>
        <w:spacing w:after="0"/>
        <w:rPr>
          <w:sz w:val="20"/>
          <w:szCs w:val="20"/>
          <w:color w:val="auto"/>
        </w:rPr>
      </w:pPr>
      <w:r>
        <w:rPr>
          <w:rFonts w:ascii="Arial" w:cs="Arial" w:eastAsia="Arial" w:hAnsi="Arial"/>
          <w:sz w:val="18"/>
          <w:szCs w:val="18"/>
          <w:color w:val="auto"/>
        </w:rPr>
        <w:t>The expected future principal payments for all borrowings as of July 31, 2020, is as follows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340" w:type="dxa"/>
            <w:vAlign w:val="bottom"/>
          </w:tcPr>
          <w:p>
            <w:pPr>
              <w:ind w:left="40"/>
              <w:spacing w:after="0"/>
              <w:rPr>
                <w:sz w:val="20"/>
                <w:szCs w:val="20"/>
                <w:color w:val="auto"/>
              </w:rPr>
            </w:pPr>
            <w:r>
              <w:rPr>
                <w:rFonts w:ascii="Arial" w:cs="Arial" w:eastAsia="Arial" w:hAnsi="Arial"/>
                <w:sz w:val="16"/>
                <w:szCs w:val="16"/>
                <w:color w:val="auto"/>
              </w:rPr>
              <w:t>Fiscal year ending</w:t>
            </w: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33"/>
        </w:trPr>
        <w:tc>
          <w:tcPr>
            <w:tcW w:w="9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 (remainder)</w:t>
            </w:r>
          </w:p>
        </w:tc>
        <w:tc>
          <w:tcPr>
            <w:tcW w:w="7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9340" w:type="dxa"/>
            <w:vAlign w:val="bottom"/>
          </w:tcPr>
          <w:p>
            <w:pPr>
              <w:ind w:left="40"/>
              <w:spacing w:after="0"/>
              <w:rPr>
                <w:sz w:val="20"/>
                <w:szCs w:val="20"/>
                <w:color w:val="auto"/>
              </w:rPr>
            </w:pPr>
            <w:r>
              <w:rPr>
                <w:rFonts w:ascii="Arial" w:cs="Arial" w:eastAsia="Arial" w:hAnsi="Arial"/>
                <w:sz w:val="16"/>
                <w:szCs w:val="16"/>
                <w:color w:val="auto"/>
              </w:rPr>
              <w:t>2022</w:t>
            </w:r>
          </w:p>
        </w:tc>
        <w:tc>
          <w:tcPr>
            <w:tcW w:w="7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7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r>
      <w:tr>
        <w:trPr>
          <w:trHeight w:val="223"/>
        </w:trPr>
        <w:tc>
          <w:tcPr>
            <w:tcW w:w="9340" w:type="dxa"/>
            <w:vAlign w:val="bottom"/>
          </w:tcPr>
          <w:p>
            <w:pPr>
              <w:ind w:left="40"/>
              <w:spacing w:after="0"/>
              <w:rPr>
                <w:sz w:val="20"/>
                <w:szCs w:val="20"/>
                <w:color w:val="auto"/>
              </w:rPr>
            </w:pPr>
            <w:r>
              <w:rPr>
                <w:rFonts w:ascii="Arial" w:cs="Arial" w:eastAsia="Arial" w:hAnsi="Arial"/>
                <w:sz w:val="16"/>
                <w:szCs w:val="16"/>
                <w:color w:val="auto"/>
              </w:rPr>
              <w:t>2024</w:t>
            </w:r>
          </w:p>
        </w:tc>
        <w:tc>
          <w:tcPr>
            <w:tcW w:w="7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9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2025</w:t>
            </w:r>
          </w:p>
        </w:tc>
        <w:tc>
          <w:tcPr>
            <w:tcW w:w="7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93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7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1,300.0</w:t>
            </w:r>
          </w:p>
        </w:tc>
      </w:tr>
      <w:tr>
        <w:trPr>
          <w:trHeight w:val="33"/>
        </w:trPr>
        <w:tc>
          <w:tcPr>
            <w:tcW w:w="93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principal outstanding</w:t>
            </w: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1,650.0</w:t>
            </w:r>
          </w:p>
        </w:tc>
      </w:tr>
      <w:tr>
        <w:trPr>
          <w:trHeight w:val="20"/>
        </w:trPr>
        <w:tc>
          <w:tcPr>
            <w:tcW w:w="9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Leases</w:t>
      </w:r>
    </w:p>
    <w:p>
      <w:pPr>
        <w:spacing w:after="0" w:line="22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Autodesk has operating leases for real estate, vehicles and certain equipment. Leases have remaining lease terms of less than 1 year to 70 years, some of which include options to extend the lease with renewal terms from 1 year to 10 years and some of which include options to terminate the leases from less than 1 year to 10 years. Options to extend the lease are included in the lease liability if they are reasonably certain of being exercised. Payments under our lease arrangements are primarily fixed, however, certain lease agreements contain variable payments, which are expensed as incurred and not included in the operating lease assets and liabilities. These amounts include payments affected by the Consumer Price Index, payments for common area maintenance that are subject to annual reconciliation, and payments for maintenance and utilities. The Company’s leases do not contain residual value guarantees or material restrictive covenants. Short-term leases are recognized in the Condensed Consolidated Statements of Operations on a straight-line basis over the lease term. Short-term lease expense was not material for the periods presented. Changes in operating lease right-of-use assets and operating lease liabilities are presented net in the "accounts payable and other liabilities" line in the Condensed Consolidated Statements of Cash Flows.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557" w:right="339" w:bottom="1440" w:gutter="0" w:footer="0" w:header="0"/>
        </w:sectPr>
      </w:pPr>
    </w:p>
    <w:bookmarkStart w:id="22" w:name="page23"/>
    <w:bookmarkEnd w:id="22"/>
    <w:p>
      <w:pPr>
        <w:ind w:left="420"/>
        <w:spacing w:after="0"/>
        <w:rPr>
          <w:sz w:val="20"/>
          <w:szCs w:val="20"/>
          <w:color w:val="auto"/>
        </w:rPr>
      </w:pPr>
      <w:r>
        <w:rPr>
          <w:rFonts w:ascii="Arial" w:cs="Arial" w:eastAsia="Arial" w:hAnsi="Arial"/>
          <w:sz w:val="18"/>
          <w:szCs w:val="18"/>
          <w:color w:val="auto"/>
        </w:rPr>
        <w:t>The components of lease cost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Three Months Ended July 31, 2020</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Cost of</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subscription and</w:t>
            </w:r>
          </w:p>
        </w:tc>
        <w:tc>
          <w:tcPr>
            <w:tcW w:w="160" w:type="dxa"/>
            <w:vAlign w:val="bottom"/>
          </w:tcPr>
          <w:p>
            <w:pPr>
              <w:spacing w:after="0"/>
              <w:rPr>
                <w:sz w:val="12"/>
                <w:szCs w:val="12"/>
                <w:color w:val="auto"/>
              </w:rPr>
            </w:pPr>
          </w:p>
        </w:tc>
        <w:tc>
          <w:tcPr>
            <w:tcW w:w="12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Cost of other</w:t>
            </w:r>
          </w:p>
        </w:tc>
        <w:tc>
          <w:tcPr>
            <w:tcW w:w="14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Marketing and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Research and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General and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maintenance</w:t>
            </w: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sales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development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administrative</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0.4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10.6</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7.8</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4.2</w:t>
            </w: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24.7</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Variable lease cost</w:t>
            </w:r>
          </w:p>
        </w:tc>
        <w:tc>
          <w:tcPr>
            <w:tcW w:w="100" w:type="dxa"/>
            <w:vAlign w:val="bottom"/>
          </w:tcPr>
          <w:p>
            <w:pPr>
              <w:spacing w:after="0"/>
              <w:rPr>
                <w:sz w:val="20"/>
                <w:szCs w:val="20"/>
                <w:color w:val="auto"/>
              </w:rPr>
            </w:pPr>
          </w:p>
        </w:tc>
        <w:tc>
          <w:tcPr>
            <w:tcW w:w="1160" w:type="dxa"/>
            <w:vAlign w:val="bottom"/>
          </w:tcPr>
          <w:p>
            <w:pPr>
              <w:jc w:val="right"/>
              <w:ind w:right="65"/>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0.7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0.5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Six Months Ended July 31, 2020</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Cost of</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subscription and</w:t>
            </w:r>
          </w:p>
        </w:tc>
        <w:tc>
          <w:tcPr>
            <w:tcW w:w="160" w:type="dxa"/>
            <w:vAlign w:val="bottom"/>
          </w:tcPr>
          <w:p>
            <w:pPr>
              <w:spacing w:after="0"/>
              <w:rPr>
                <w:sz w:val="12"/>
                <w:szCs w:val="12"/>
                <w:color w:val="auto"/>
              </w:rPr>
            </w:pPr>
          </w:p>
        </w:tc>
        <w:tc>
          <w:tcPr>
            <w:tcW w:w="12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Cost of other</w:t>
            </w:r>
          </w:p>
        </w:tc>
        <w:tc>
          <w:tcPr>
            <w:tcW w:w="140" w:type="dxa"/>
            <w:vAlign w:val="bottom"/>
          </w:tcPr>
          <w:p>
            <w:pPr>
              <w:spacing w:after="0"/>
              <w:rPr>
                <w:sz w:val="12"/>
                <w:szCs w:val="12"/>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Marketing and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Research and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General and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maintenance</w:t>
            </w: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sales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development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administrative</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22.1</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15.7</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7.6</w:t>
            </w: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50.2</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Variable lease cost</w:t>
            </w:r>
          </w:p>
        </w:tc>
        <w:tc>
          <w:tcPr>
            <w:tcW w:w="100" w:type="dxa"/>
            <w:vAlign w:val="bottom"/>
          </w:tcPr>
          <w:p>
            <w:pPr>
              <w:spacing w:after="0"/>
              <w:rPr>
                <w:sz w:val="20"/>
                <w:szCs w:val="20"/>
                <w:color w:val="auto"/>
              </w:rPr>
            </w:pPr>
          </w:p>
        </w:tc>
        <w:tc>
          <w:tcPr>
            <w:tcW w:w="1160" w:type="dxa"/>
            <w:vAlign w:val="bottom"/>
          </w:tcPr>
          <w:p>
            <w:pPr>
              <w:jc w:val="right"/>
              <w:ind w:right="65"/>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44"/>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2.5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0.9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Three Months Ended July 31, 2019</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7"/>
              </w:rPr>
              <w:t>Cost of</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subscription and</w:t>
            </w:r>
          </w:p>
        </w:tc>
        <w:tc>
          <w:tcPr>
            <w:tcW w:w="160" w:type="dxa"/>
            <w:vAlign w:val="bottom"/>
          </w:tcPr>
          <w:p>
            <w:pPr>
              <w:spacing w:after="0"/>
              <w:rPr>
                <w:sz w:val="12"/>
                <w:szCs w:val="12"/>
                <w:color w:val="auto"/>
              </w:rPr>
            </w:pPr>
          </w:p>
        </w:tc>
        <w:tc>
          <w:tcPr>
            <w:tcW w:w="12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Cost of other</w:t>
            </w:r>
          </w:p>
        </w:tc>
        <w:tc>
          <w:tcPr>
            <w:tcW w:w="140" w:type="dxa"/>
            <w:vAlign w:val="bottom"/>
          </w:tcPr>
          <w:p>
            <w:pPr>
              <w:spacing w:after="0"/>
              <w:rPr>
                <w:sz w:val="12"/>
                <w:szCs w:val="12"/>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Marketing and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Research and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General and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maintenance</w:t>
            </w: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3"/>
              </w:rPr>
              <w:t>revenue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5"/>
              </w:rPr>
              <w:t>sales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development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4"/>
              </w:rPr>
              <w:t>administrative</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0.7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9.6</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6.8</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3.0</w:t>
            </w: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100" w:type="dxa"/>
            <w:vAlign w:val="bottom"/>
          </w:tcPr>
          <w:p>
            <w:pPr>
              <w:spacing w:after="0"/>
              <w:rPr>
                <w:sz w:val="20"/>
                <w:szCs w:val="20"/>
                <w:color w:val="auto"/>
              </w:rPr>
            </w:pPr>
          </w:p>
        </w:tc>
        <w:tc>
          <w:tcPr>
            <w:tcW w:w="1160" w:type="dxa"/>
            <w:vAlign w:val="bottom"/>
          </w:tcPr>
          <w:p>
            <w:pPr>
              <w:jc w:val="right"/>
              <w:ind w:right="45"/>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44"/>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1.1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0.5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Six Months Ended July 31, 2019</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7"/>
              </w:rPr>
              <w:t>Cost of</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subscription and</w:t>
            </w:r>
          </w:p>
        </w:tc>
        <w:tc>
          <w:tcPr>
            <w:tcW w:w="160" w:type="dxa"/>
            <w:vAlign w:val="bottom"/>
          </w:tcPr>
          <w:p>
            <w:pPr>
              <w:spacing w:after="0"/>
              <w:rPr>
                <w:sz w:val="12"/>
                <w:szCs w:val="12"/>
                <w:color w:val="auto"/>
              </w:rPr>
            </w:pPr>
          </w:p>
        </w:tc>
        <w:tc>
          <w:tcPr>
            <w:tcW w:w="12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1"/>
              </w:rPr>
              <w:t>Cost of other</w:t>
            </w:r>
          </w:p>
        </w:tc>
        <w:tc>
          <w:tcPr>
            <w:tcW w:w="140" w:type="dxa"/>
            <w:vAlign w:val="bottom"/>
          </w:tcPr>
          <w:p>
            <w:pPr>
              <w:spacing w:after="0"/>
              <w:rPr>
                <w:sz w:val="12"/>
                <w:szCs w:val="12"/>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Marketing and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Research and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General and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maintenance</w:t>
            </w:r>
          </w:p>
        </w:tc>
        <w:tc>
          <w:tcPr>
            <w:tcW w:w="1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3"/>
              </w:rPr>
              <w:t>revenue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5"/>
              </w:rPr>
              <w:t>sales</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development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4"/>
              </w:rPr>
              <w:t>administrative</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18.4</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13.5</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5.8</w:t>
            </w: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100" w:type="dxa"/>
            <w:vAlign w:val="bottom"/>
          </w:tcPr>
          <w:p>
            <w:pPr>
              <w:spacing w:after="0"/>
              <w:rPr>
                <w:sz w:val="20"/>
                <w:szCs w:val="20"/>
                <w:color w:val="auto"/>
              </w:rPr>
            </w:pPr>
          </w:p>
        </w:tc>
        <w:tc>
          <w:tcPr>
            <w:tcW w:w="1160" w:type="dxa"/>
            <w:vAlign w:val="bottom"/>
          </w:tcPr>
          <w:p>
            <w:pPr>
              <w:jc w:val="right"/>
              <w:ind w:right="45"/>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44"/>
              <w:spacing w:after="0"/>
              <w:rPr>
                <w:sz w:val="20"/>
                <w:szCs w:val="20"/>
                <w:color w:val="auto"/>
              </w:rPr>
            </w:pPr>
            <w:r>
              <w:rPr>
                <w:rFonts w:ascii="Arial" w:cs="Arial" w:eastAsia="Arial" w:hAnsi="Arial"/>
                <w:sz w:val="16"/>
                <w:szCs w:val="16"/>
                <w:color w:val="auto"/>
              </w:rPr>
              <w:t>2.8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2.1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0.9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operating cash flow information related to leases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4"/>
                <w:szCs w:val="14"/>
                <w:b w:val="1"/>
                <w:bCs w:val="1"/>
                <w:color w:val="auto"/>
              </w:rPr>
              <w:t>Six Months Ended July 31,</w:t>
            </w:r>
          </w:p>
        </w:tc>
        <w:tc>
          <w:tcPr>
            <w:tcW w:w="480" w:type="dxa"/>
            <w:vAlign w:val="bottom"/>
            <w:tcBorders>
              <w:bottom w:val="single" w:sz="8" w:color="auto"/>
            </w:tcBorders>
          </w:tcPr>
          <w:p>
            <w:pPr>
              <w:spacing w:after="0"/>
              <w:rPr>
                <w:sz w:val="16"/>
                <w:szCs w:val="16"/>
                <w:color w:val="auto"/>
              </w:rPr>
            </w:pPr>
          </w:p>
        </w:tc>
      </w:tr>
      <w:tr>
        <w:trPr>
          <w:trHeight w:val="26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r>
      <w:tr>
        <w:trPr>
          <w:trHeight w:val="23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operating leases included in operating cash flows (1)</w:t>
            </w:r>
          </w:p>
        </w:tc>
        <w:tc>
          <w:tcPr>
            <w:tcW w:w="980" w:type="dxa"/>
            <w:vAlign w:val="bottom"/>
            <w:tcBorders>
              <w:bottom w:val="single" w:sz="8" w:color="CCEEFF"/>
            </w:tcBorders>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Non-cash operating lease liabilities arising from obtaining operating lease right-of-use assets</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0"/>
                <w:szCs w:val="20"/>
                <w:color w:val="auto"/>
              </w:rPr>
            </w:pP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53.0</w:t>
            </w:r>
          </w:p>
        </w:tc>
      </w:tr>
      <w:tr>
        <w:trPr>
          <w:trHeight w:val="249"/>
        </w:trPr>
        <w:tc>
          <w:tcPr>
            <w:tcW w:w="8220" w:type="dxa"/>
            <w:vAlign w:val="bottom"/>
          </w:tcPr>
          <w:p>
            <w:pPr>
              <w:jc w:val="right"/>
              <w:ind w:right="6699"/>
              <w:spacing w:after="0"/>
              <w:rPr>
                <w:sz w:val="20"/>
                <w:szCs w:val="20"/>
                <w:color w:val="auto"/>
              </w:rPr>
            </w:pPr>
            <w:r>
              <w:rPr>
                <w:rFonts w:ascii="Arial" w:cs="Arial" w:eastAsia="Arial" w:hAnsi="Arial"/>
                <w:sz w:val="18"/>
                <w:szCs w:val="18"/>
                <w:color w:val="auto"/>
                <w:w w:val="94"/>
              </w:rPr>
              <w:t>_______________</w:t>
            </w: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r>
    </w:tbl>
    <w:p>
      <w:pPr>
        <w:ind w:right="340" w:firstLine="8"/>
        <w:spacing w:after="0" w:line="254" w:lineRule="auto"/>
        <w:tabs>
          <w:tab w:leader="none" w:pos="229"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$5.7 million in variable lease payments for the six months ended July 31, 2020, not included in "Operating lease liabilities" and "Long-term operating lease liabilities" on the Condensed Consolidated Balance Sheets. Includes $6.4 million in variable lease payments for the six months ended July 31, 2019, not included in "Operating lease liabilities" and "Long-term operating lease liabilities" on the Condensed Consolidated Balance Sheets.</w:t>
      </w:r>
    </w:p>
    <w:p>
      <w:pPr>
        <w:spacing w:after="0" w:line="15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weighted average remaining lease term for operating leases is 7.2 years and 7.5 years at July 31, 2020, and January 31, 2020, respectively. The weighted average discount rate was 3.32% and 3.41% at July 31, 2020, and January 31, 2020,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557" w:right="339" w:bottom="1440" w:gutter="0" w:footer="0" w:header="0"/>
        </w:sectPr>
      </w:pPr>
    </w:p>
    <w:bookmarkStart w:id="23" w:name="page24"/>
    <w:bookmarkEnd w:id="23"/>
    <w:p>
      <w:pPr>
        <w:ind w:left="420"/>
        <w:spacing w:after="0"/>
        <w:rPr>
          <w:sz w:val="20"/>
          <w:szCs w:val="20"/>
          <w:color w:val="auto"/>
        </w:rPr>
      </w:pPr>
      <w:r>
        <w:rPr>
          <w:rFonts w:ascii="Arial" w:cs="Arial" w:eastAsia="Arial" w:hAnsi="Arial"/>
          <w:sz w:val="18"/>
          <w:szCs w:val="18"/>
          <w:color w:val="auto"/>
        </w:rPr>
        <w:t>Maturities of operating lease liabilities were as follows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440" w:type="dxa"/>
            <w:vAlign w:val="bottom"/>
          </w:tcPr>
          <w:p>
            <w:pPr>
              <w:ind w:left="40"/>
              <w:spacing w:after="0"/>
              <w:rPr>
                <w:sz w:val="20"/>
                <w:szCs w:val="20"/>
                <w:color w:val="auto"/>
              </w:rPr>
            </w:pPr>
            <w:r>
              <w:rPr>
                <w:rFonts w:ascii="Arial" w:cs="Arial" w:eastAsia="Arial" w:hAnsi="Arial"/>
                <w:sz w:val="16"/>
                <w:szCs w:val="16"/>
                <w:color w:val="auto"/>
              </w:rPr>
              <w:t>Fiscal year ending</w:t>
            </w: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3"/>
        </w:trPr>
        <w:tc>
          <w:tcPr>
            <w:tcW w:w="9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 (remainder)</w:t>
            </w:r>
          </w:p>
        </w:tc>
        <w:tc>
          <w:tcPr>
            <w:tcW w:w="7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w:t>
            </w:r>
          </w:p>
        </w:tc>
      </w:tr>
      <w:tr>
        <w:trPr>
          <w:trHeight w:val="224"/>
        </w:trPr>
        <w:tc>
          <w:tcPr>
            <w:tcW w:w="9440" w:type="dxa"/>
            <w:vAlign w:val="bottom"/>
          </w:tcPr>
          <w:p>
            <w:pPr>
              <w:ind w:left="40"/>
              <w:spacing w:after="0"/>
              <w:rPr>
                <w:sz w:val="20"/>
                <w:szCs w:val="20"/>
                <w:color w:val="auto"/>
              </w:rPr>
            </w:pPr>
            <w:r>
              <w:rPr>
                <w:rFonts w:ascii="Arial" w:cs="Arial" w:eastAsia="Arial" w:hAnsi="Arial"/>
                <w:sz w:val="16"/>
                <w:szCs w:val="16"/>
                <w:color w:val="auto"/>
              </w:rPr>
              <w:t>2022</w:t>
            </w:r>
          </w:p>
        </w:tc>
        <w:tc>
          <w:tcPr>
            <w:tcW w:w="72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89.3</w:t>
            </w:r>
          </w:p>
        </w:tc>
      </w:tr>
      <w:tr>
        <w:trPr>
          <w:trHeight w:val="33"/>
        </w:trPr>
        <w:tc>
          <w:tcPr>
            <w:tcW w:w="9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7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w:t>
            </w:r>
          </w:p>
        </w:tc>
      </w:tr>
      <w:tr>
        <w:trPr>
          <w:trHeight w:val="223"/>
        </w:trPr>
        <w:tc>
          <w:tcPr>
            <w:tcW w:w="9440" w:type="dxa"/>
            <w:vAlign w:val="bottom"/>
          </w:tcPr>
          <w:p>
            <w:pPr>
              <w:ind w:left="40"/>
              <w:spacing w:after="0"/>
              <w:rPr>
                <w:sz w:val="20"/>
                <w:szCs w:val="20"/>
                <w:color w:val="auto"/>
              </w:rPr>
            </w:pPr>
            <w:r>
              <w:rPr>
                <w:rFonts w:ascii="Arial" w:cs="Arial" w:eastAsia="Arial" w:hAnsi="Arial"/>
                <w:sz w:val="16"/>
                <w:szCs w:val="16"/>
                <w:color w:val="auto"/>
              </w:rPr>
              <w:t>2024</w:t>
            </w:r>
          </w:p>
        </w:tc>
        <w:tc>
          <w:tcPr>
            <w:tcW w:w="72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73.8</w:t>
            </w:r>
          </w:p>
        </w:tc>
      </w:tr>
      <w:tr>
        <w:trPr>
          <w:trHeight w:val="33"/>
        </w:trPr>
        <w:tc>
          <w:tcPr>
            <w:tcW w:w="9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2025</w:t>
            </w:r>
          </w:p>
        </w:tc>
        <w:tc>
          <w:tcPr>
            <w:tcW w:w="7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w:t>
            </w:r>
          </w:p>
        </w:tc>
      </w:tr>
      <w:tr>
        <w:trPr>
          <w:trHeight w:val="224"/>
        </w:trPr>
        <w:tc>
          <w:tcPr>
            <w:tcW w:w="94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72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171.4</w:t>
            </w:r>
          </w:p>
        </w:tc>
      </w:tr>
      <w:tr>
        <w:trPr>
          <w:trHeight w:val="33"/>
        </w:trPr>
        <w:tc>
          <w:tcPr>
            <w:tcW w:w="94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94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507.1</w:t>
            </w:r>
          </w:p>
        </w:tc>
      </w:tr>
      <w:tr>
        <w:trPr>
          <w:trHeight w:val="224"/>
        </w:trPr>
        <w:tc>
          <w:tcPr>
            <w:tcW w:w="9440" w:type="dxa"/>
            <w:vAlign w:val="bottom"/>
          </w:tcPr>
          <w:p>
            <w:pPr>
              <w:ind w:left="40"/>
              <w:spacing w:after="0"/>
              <w:rPr>
                <w:sz w:val="20"/>
                <w:szCs w:val="20"/>
                <w:color w:val="auto"/>
              </w:rPr>
            </w:pPr>
            <w:r>
              <w:rPr>
                <w:rFonts w:ascii="Arial" w:cs="Arial" w:eastAsia="Arial" w:hAnsi="Arial"/>
                <w:sz w:val="16"/>
                <w:szCs w:val="16"/>
                <w:color w:val="auto"/>
              </w:rPr>
              <w:t>Less imputed interest</w:t>
            </w: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33"/>
        </w:trPr>
        <w:tc>
          <w:tcPr>
            <w:tcW w:w="94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Present value of operating lease liabilities</w:t>
            </w:r>
          </w:p>
        </w:tc>
        <w:tc>
          <w:tcPr>
            <w:tcW w:w="72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447.1</w:t>
            </w:r>
          </w:p>
        </w:tc>
      </w:tr>
      <w:tr>
        <w:trPr>
          <w:trHeight w:val="20"/>
        </w:trPr>
        <w:tc>
          <w:tcPr>
            <w:tcW w:w="9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As of July 31, 2020, Autodesk has additional operating lease minimum lease payments of $29.6 million for executed leases that have not yet commenced, primarily for office locations.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right="120" w:firstLine="432"/>
        <w:spacing w:after="0" w:line="275"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Autodesk is involved in a variety of claims, suits, investigations, inquiries, and proceedings in the normal course of business including claims of alleged infringement of intellectual property rights, commercial, employment, tax, prosecution of unauthorized use,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16. Stockholders' Equity (Deficit)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stockholders' equity (deficit) by component, net of tax, as of July 31, 2020,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4"/>
                <w:szCs w:val="14"/>
                <w:b w:val="1"/>
                <w:bCs w:val="1"/>
                <w:color w:val="auto"/>
                <w:w w:val="97"/>
              </w:rPr>
              <w:t>Common stock and additional paid-</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capital</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 other</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stockholders'</w:t>
            </w:r>
          </w:p>
        </w:tc>
        <w:tc>
          <w:tcPr>
            <w:tcW w:w="0" w:type="dxa"/>
            <w:vAlign w:val="bottom"/>
          </w:tcPr>
          <w:p>
            <w:pPr>
              <w:spacing w:after="0"/>
              <w:rPr>
                <w:sz w:val="1"/>
                <w:szCs w:val="1"/>
                <w:color w:val="auto"/>
              </w:rPr>
            </w:pPr>
          </w:p>
        </w:tc>
      </w:tr>
      <w:tr>
        <w:trPr>
          <w:trHeight w:val="71"/>
        </w:trPr>
        <w:tc>
          <w:tcPr>
            <w:tcW w:w="4620" w:type="dxa"/>
            <w:vAlign w:val="bottom"/>
          </w:tcPr>
          <w:p>
            <w:pPr>
              <w:spacing w:after="0"/>
              <w:rPr>
                <w:sz w:val="6"/>
                <w:szCs w:val="6"/>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6"/>
                <w:szCs w:val="6"/>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3"/>
            <w:vMerge w:val="continue"/>
          </w:tcPr>
          <w:p>
            <w:pPr>
              <w:spacing w:after="0"/>
              <w:rPr>
                <w:sz w:val="6"/>
                <w:szCs w:val="6"/>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deficit</w:t>
            </w:r>
          </w:p>
        </w:tc>
        <w:tc>
          <w:tcPr>
            <w:tcW w:w="13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62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w w:val="99"/>
              </w:rPr>
              <w:t>comprehensive loss</w:t>
            </w:r>
          </w:p>
        </w:tc>
        <w:tc>
          <w:tcPr>
            <w:tcW w:w="14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40"/>
              <w:spacing w:after="0"/>
              <w:rPr>
                <w:sz w:val="20"/>
                <w:szCs w:val="20"/>
                <w:color w:val="auto"/>
              </w:rPr>
            </w:pPr>
            <w:r>
              <w:rPr>
                <w:rFonts w:ascii="Arial" w:cs="Arial" w:eastAsia="Arial" w:hAnsi="Arial"/>
                <w:sz w:val="14"/>
                <w:szCs w:val="14"/>
                <w:b w:val="1"/>
                <w:bCs w:val="1"/>
                <w:color w:val="auto"/>
                <w:w w:val="98"/>
              </w:rPr>
              <w:t>equity (deficit)</w:t>
            </w: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2020</w:t>
            </w:r>
          </w:p>
        </w:tc>
        <w:tc>
          <w:tcPr>
            <w:tcW w:w="104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2,317.0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jc w:val="right"/>
              <w:ind w:right="284"/>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22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Settlement of liability-classified restricted stock units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Post-combination expense related to equity awards assumed</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Repurchase and retirement of common shares</w:t>
            </w: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(189.0)</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April 30, 2020</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219.2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2,401.3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95.9</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Post-combination expense related to equity awards assumed</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and retirement of common shares (1)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7"/>
        </w:trPr>
        <w:tc>
          <w:tcPr>
            <w:tcW w:w="4620" w:type="dxa"/>
            <w:vAlign w:val="bottom"/>
          </w:tcPr>
          <w:p>
            <w:pPr>
              <w:ind w:left="40"/>
              <w:spacing w:after="0"/>
              <w:rPr>
                <w:sz w:val="20"/>
                <w:szCs w:val="20"/>
                <w:color w:val="auto"/>
              </w:rPr>
            </w:pPr>
            <w:r>
              <w:rPr>
                <w:rFonts w:ascii="Arial" w:cs="Arial" w:eastAsia="Arial" w:hAnsi="Arial"/>
                <w:sz w:val="16"/>
                <w:szCs w:val="16"/>
                <w:color w:val="auto"/>
              </w:rPr>
              <w:t>Balances, July 31, 2020</w:t>
            </w: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219.3</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2,492.7</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84"/>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(2,270.9)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33"/>
        </w:trPr>
        <w:tc>
          <w:tcPr>
            <w:tcW w:w="462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80" w:hanging="412"/>
        <w:spacing w:after="0" w:line="334" w:lineRule="auto"/>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During the three and six months ended July 31, 2020, Autodesk repurchased 0.1 million shares and 1.3 million shares at an average repurchase price of $216.84 and $155.20 per share. At July 31, 2020, 13.5 million shares remained available for repurchase under the repurchase program approved by the Board of Directors.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stockholders' deficit by component, net of tax, as of July 31, 2019, are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4"/>
                <w:szCs w:val="14"/>
                <w:b w:val="1"/>
                <w:bCs w:val="1"/>
                <w:color w:val="auto"/>
                <w:w w:val="97"/>
              </w:rPr>
              <w:t>Common stock and additional paid-</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capital</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 other</w:t>
            </w: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Total stockholders'</w:t>
            </w:r>
          </w:p>
        </w:tc>
        <w:tc>
          <w:tcPr>
            <w:tcW w:w="0" w:type="dxa"/>
            <w:vAlign w:val="bottom"/>
          </w:tcPr>
          <w:p>
            <w:pPr>
              <w:spacing w:after="0"/>
              <w:rPr>
                <w:sz w:val="1"/>
                <w:szCs w:val="1"/>
                <w:color w:val="auto"/>
              </w:rPr>
            </w:pPr>
          </w:p>
        </w:tc>
      </w:tr>
      <w:tr>
        <w:trPr>
          <w:trHeight w:val="71"/>
        </w:trPr>
        <w:tc>
          <w:tcPr>
            <w:tcW w:w="4580" w:type="dxa"/>
            <w:vAlign w:val="bottom"/>
          </w:tcPr>
          <w:p>
            <w:pPr>
              <w:spacing w:after="0"/>
              <w:rPr>
                <w:sz w:val="6"/>
                <w:szCs w:val="6"/>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6"/>
                <w:szCs w:val="6"/>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3"/>
            <w:vMerge w:val="continue"/>
          </w:tcPr>
          <w:p>
            <w:pPr>
              <w:spacing w:after="0"/>
              <w:rPr>
                <w:sz w:val="6"/>
                <w:szCs w:val="6"/>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deficit</w:t>
            </w:r>
          </w:p>
        </w:tc>
        <w:tc>
          <w:tcPr>
            <w:tcW w:w="13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w w:val="99"/>
              </w:rPr>
              <w:t>comprehensive loss</w:t>
            </w:r>
          </w:p>
        </w:tc>
        <w:tc>
          <w:tcPr>
            <w:tcW w:w="142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36"/>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2019</w:t>
            </w:r>
          </w:p>
        </w:tc>
        <w:tc>
          <w:tcPr>
            <w:tcW w:w="104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jc w:val="right"/>
              <w:ind w:right="264"/>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(210.9)</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6"/>
                <w:szCs w:val="16"/>
                <w:color w:val="auto"/>
              </w:rPr>
              <w:t>Post combination expense related to assumed equity</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Cumulative effect of accounting changes</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104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April 30, 2019</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219.6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2,123.1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(245.3)</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6"/>
                <w:szCs w:val="16"/>
                <w:color w:val="auto"/>
              </w:rPr>
              <w:t>Post combination expense related to assumed equity</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37"/>
        </w:trPr>
        <w:tc>
          <w:tcPr>
            <w:tcW w:w="45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shares (1)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7"/>
        </w:trPr>
        <w:tc>
          <w:tcPr>
            <w:tcW w:w="4580" w:type="dxa"/>
            <w:vAlign w:val="bottom"/>
          </w:tcPr>
          <w:p>
            <w:pPr>
              <w:ind w:left="20"/>
              <w:spacing w:after="0"/>
              <w:rPr>
                <w:sz w:val="20"/>
                <w:szCs w:val="20"/>
                <w:color w:val="auto"/>
              </w:rPr>
            </w:pPr>
            <w:r>
              <w:rPr>
                <w:rFonts w:ascii="Arial" w:cs="Arial" w:eastAsia="Arial" w:hAnsi="Arial"/>
                <w:sz w:val="16"/>
                <w:szCs w:val="16"/>
                <w:color w:val="auto"/>
              </w:rPr>
              <w:t>Balances, July 31, 2019</w:t>
            </w: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219.5</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2,200.7</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64"/>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(170.7)</w:t>
            </w:r>
          </w:p>
        </w:tc>
        <w:tc>
          <w:tcPr>
            <w:tcW w:w="100" w:type="dxa"/>
            <w:vAlign w:val="bottom"/>
          </w:tcPr>
          <w:p>
            <w:pPr>
              <w:spacing w:after="0"/>
              <w:rPr>
                <w:sz w:val="18"/>
                <w:szCs w:val="18"/>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(2,224.3)</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(194.3)</w:t>
            </w:r>
          </w:p>
        </w:tc>
        <w:tc>
          <w:tcPr>
            <w:tcW w:w="0" w:type="dxa"/>
            <w:vAlign w:val="bottom"/>
          </w:tcPr>
          <w:p>
            <w:pPr>
              <w:spacing w:after="0"/>
              <w:rPr>
                <w:sz w:val="1"/>
                <w:szCs w:val="1"/>
                <w:color w:val="auto"/>
              </w:rPr>
            </w:pPr>
          </w:p>
        </w:tc>
      </w:tr>
      <w:tr>
        <w:trPr>
          <w:trHeight w:val="33"/>
        </w:trPr>
        <w:tc>
          <w:tcPr>
            <w:tcW w:w="4580" w:type="dxa"/>
            <w:vAlign w:val="bottom"/>
            <w:vMerge w:val="restart"/>
          </w:tcPr>
          <w:p>
            <w:pPr>
              <w:ind w:left="20"/>
              <w:spacing w:after="0"/>
              <w:rPr>
                <w:sz w:val="20"/>
                <w:szCs w:val="20"/>
                <w:color w:val="auto"/>
              </w:rPr>
            </w:pPr>
            <w:r>
              <w:rPr>
                <w:rFonts w:ascii="Arial" w:cs="Arial" w:eastAsia="Arial" w:hAnsi="Arial"/>
                <w:sz w:val="18"/>
                <w:szCs w:val="18"/>
                <w:color w:val="auto"/>
              </w:rPr>
              <w:t>________________</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180" w:hanging="412"/>
        <w:spacing w:after="0" w:line="334" w:lineRule="auto"/>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During the three and six months ended July 31, 2019, Autodesk repurchased 0.3 million shares and 0.9 million shares at an average repurchase price of $159.54 and $168.11 per share. At July 31, 2019, 16.6 million shares remained available for repurchase under the repurchase program approved by the Board of Directors.</w:t>
      </w:r>
    </w:p>
    <w:p>
      <w:pPr>
        <w:sectPr>
          <w:pgSz w:w="11900" w:h="16838" w:orient="portrait"/>
          <w:cols w:equalWidth="0" w:num="1">
            <w:col w:w="11240"/>
          </w:cols>
          <w:pgMar w:left="320" w:top="557" w:right="339" w:bottom="144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557"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17.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loss, net of taxes, consisted of the following at July 31,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Net Unrealized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Available-for-</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Currency</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Sale Debt</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Components</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Adjustments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2020</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Other comprehensive (loss) income before reclassifications</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5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1"/>
              </w:rPr>
              <w:t>Pre-tax (gains) losses reclassified from accumulated other comprehensive loss</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5180" w:type="dxa"/>
            <w:vAlign w:val="bottom"/>
          </w:tcPr>
          <w:p>
            <w:pPr>
              <w:ind w:left="40"/>
              <w:spacing w:after="0"/>
              <w:rPr>
                <w:sz w:val="20"/>
                <w:szCs w:val="20"/>
                <w:color w:val="auto"/>
              </w:rPr>
            </w:pPr>
            <w:r>
              <w:rPr>
                <w:rFonts w:ascii="Arial" w:cs="Arial" w:eastAsia="Arial" w:hAnsi="Arial"/>
                <w:sz w:val="16"/>
                <w:szCs w:val="16"/>
                <w:color w:val="auto"/>
              </w:rPr>
              <w:t>Tax effects</w:t>
            </w:r>
          </w:p>
        </w:tc>
        <w:tc>
          <w:tcPr>
            <w:tcW w:w="10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44"/>
        </w:trPr>
        <w:tc>
          <w:tcPr>
            <w:tcW w:w="5180" w:type="dxa"/>
            <w:vAlign w:val="bottom"/>
          </w:tcPr>
          <w:p>
            <w:pPr>
              <w:ind w:left="40"/>
              <w:spacing w:after="0"/>
              <w:rPr>
                <w:sz w:val="20"/>
                <w:szCs w:val="20"/>
                <w:color w:val="auto"/>
              </w:rPr>
            </w:pPr>
            <w:r>
              <w:rPr>
                <w:rFonts w:ascii="Arial" w:cs="Arial" w:eastAsia="Arial" w:hAnsi="Arial"/>
                <w:sz w:val="16"/>
                <w:szCs w:val="16"/>
                <w:color w:val="auto"/>
              </w:rPr>
              <w:t>Balances, July 31,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(154.5)</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Reclassifications related to gains and losses on available-for-sale debt securities are included in "Interest and other expense, net." Refer to Note 5, "Financial Instruments," for the amount and location of reclassifications related to derivative instruments. Reclassifications of the defined benefit pension components of net periodic benefit cost are included in "Interest and other expense, net."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Income Per Share</w:t>
      </w:r>
    </w:p>
    <w:p>
      <w:pPr>
        <w:spacing w:after="0" w:line="225" w:lineRule="exact"/>
        <w:rPr>
          <w:sz w:val="20"/>
          <w:szCs w:val="20"/>
          <w:color w:val="auto"/>
        </w:rPr>
      </w:pPr>
    </w:p>
    <w:p>
      <w:pPr>
        <w:ind w:right="120" w:firstLine="432"/>
        <w:spacing w:after="0" w:line="301"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for the period, excluding stock options and restricted stock units. Diluted net income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July 31,</w:t>
            </w:r>
          </w:p>
        </w:tc>
        <w:tc>
          <w:tcPr>
            <w:tcW w:w="320" w:type="dxa"/>
            <w:vAlign w:val="bottom"/>
          </w:tcPr>
          <w:p>
            <w:pPr>
              <w:spacing w:after="0"/>
              <w:rPr>
                <w:sz w:val="16"/>
                <w:szCs w:val="16"/>
                <w:color w:val="auto"/>
              </w:rPr>
            </w:pPr>
          </w:p>
        </w:tc>
        <w:tc>
          <w:tcPr>
            <w:tcW w:w="24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5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164.7</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73"/>
        </w:trPr>
        <w:tc>
          <w:tcPr>
            <w:tcW w:w="55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5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5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Denominator for basic net income per share—weighted average shares</w:t>
            </w:r>
          </w:p>
        </w:tc>
        <w:tc>
          <w:tcPr>
            <w:tcW w:w="30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219.2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219.6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219.2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219.6</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7"/>
        </w:trPr>
        <w:tc>
          <w:tcPr>
            <w:tcW w:w="5520" w:type="dxa"/>
            <w:vAlign w:val="bottom"/>
          </w:tcPr>
          <w:p>
            <w:pPr>
              <w:ind w:left="380"/>
              <w:spacing w:after="0"/>
              <w:rPr>
                <w:sz w:val="20"/>
                <w:szCs w:val="20"/>
                <w:color w:val="auto"/>
              </w:rPr>
            </w:pPr>
            <w:r>
              <w:rPr>
                <w:rFonts w:ascii="Arial" w:cs="Arial" w:eastAsia="Arial" w:hAnsi="Arial"/>
                <w:sz w:val="16"/>
                <w:szCs w:val="16"/>
                <w:color w:val="auto"/>
              </w:rPr>
              <w:t>Denominator for dilutive net income per share</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222.2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222.4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222.0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222.3</w:t>
            </w:r>
          </w:p>
        </w:tc>
        <w:tc>
          <w:tcPr>
            <w:tcW w:w="0" w:type="dxa"/>
            <w:vAlign w:val="bottom"/>
          </w:tcPr>
          <w:p>
            <w:pPr>
              <w:spacing w:after="0"/>
              <w:rPr>
                <w:sz w:val="1"/>
                <w:szCs w:val="1"/>
                <w:color w:val="auto"/>
              </w:rPr>
            </w:pPr>
          </w:p>
        </w:tc>
      </w:tr>
      <w:tr>
        <w:trPr>
          <w:trHeight w:val="73"/>
        </w:trPr>
        <w:tc>
          <w:tcPr>
            <w:tcW w:w="55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5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income per share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0.45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0.75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income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20" w:type="dxa"/>
            <w:vAlign w:val="bottom"/>
            <w:vMerge w:val="continue"/>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100" w:firstLine="432"/>
        <w:spacing w:after="0" w:line="301" w:lineRule="auto"/>
        <w:rPr>
          <w:sz w:val="20"/>
          <w:szCs w:val="20"/>
          <w:color w:val="auto"/>
        </w:rPr>
      </w:pPr>
      <w:r>
        <w:rPr>
          <w:rFonts w:ascii="Arial" w:cs="Arial" w:eastAsia="Arial" w:hAnsi="Arial"/>
          <w:sz w:val="16"/>
          <w:szCs w:val="16"/>
          <w:color w:val="auto"/>
        </w:rPr>
        <w:t>The computation of diluted net income per share does not include shares that are anti-dilutive under the treasury stock method because their exercise prices are higher than the average market value of Autodesk’s stock during the periods. For the three and six months ended July 31, 2020, there were 0.1 million and no potentially anti-dilutive shares excluded from the computation of diluted net income per share, respectively. For both the three and six months ended July 31, 2019, there were no potentially anti-dilutive shares excluded from the computation of diluted net income per share.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5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19. Segments</w:t>
      </w:r>
    </w:p>
    <w:p>
      <w:pPr>
        <w:spacing w:after="0" w:line="22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Autodesk operates in one operating segment and accordingly, all required financial segment information is included in the condensed consolidated financial statements. Operating segments are defined as components of an enterprise for which separate financial information is evaluated regularly by the chief operating decision makers ("CODM") in deciding how to allocate resources and assess performance. Autodesk reports segment information based on the “management” approach. The management approach designates the internal reporting used by management for making decisions, allocating resources and assessing performance as the source of the Company’s reportable segments. The Company's CODM allocates resources and assesses the operating performance of the Company as a whole.</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Information regarding Autodesk's long-lived assets by geographic area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100330</wp:posOffset>
            </wp:positionV>
            <wp:extent cx="20485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94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31, 2020</w:t>
            </w:r>
          </w:p>
        </w:tc>
        <w:tc>
          <w:tcPr>
            <w:tcW w:w="180" w:type="dxa"/>
            <w:vAlign w:val="bottom"/>
          </w:tcPr>
          <w:p>
            <w:pPr>
              <w:spacing w:after="0"/>
              <w:rPr>
                <w:sz w:val="16"/>
                <w:szCs w:val="16"/>
                <w:color w:val="auto"/>
              </w:rPr>
            </w:pPr>
          </w:p>
        </w:tc>
        <w:tc>
          <w:tcPr>
            <w:tcW w:w="1380" w:type="dxa"/>
            <w:vAlign w:val="bottom"/>
          </w:tcPr>
          <w:p>
            <w:pPr>
              <w:jc w:val="right"/>
              <w:ind w:right="180"/>
              <w:spacing w:after="0"/>
              <w:rPr>
                <w:sz w:val="20"/>
                <w:szCs w:val="20"/>
                <w:color w:val="auto"/>
              </w:rPr>
            </w:pPr>
            <w:r>
              <w:rPr>
                <w:rFonts w:ascii="Arial" w:cs="Arial" w:eastAsia="Arial" w:hAnsi="Arial"/>
                <w:sz w:val="14"/>
                <w:szCs w:val="14"/>
                <w:b w:val="1"/>
                <w:bCs w:val="1"/>
                <w:color w:val="auto"/>
                <w:w w:val="98"/>
              </w:rPr>
              <w:t>January 31, 2020</w:t>
            </w:r>
          </w:p>
        </w:tc>
      </w:tr>
      <w:tr>
        <w:trPr>
          <w:trHeight w:val="210"/>
        </w:trPr>
        <w:tc>
          <w:tcPr>
            <w:tcW w:w="7940" w:type="dxa"/>
            <w:vAlign w:val="bottom"/>
          </w:tcPr>
          <w:p>
            <w:pPr>
              <w:ind w:left="40"/>
              <w:spacing w:after="0"/>
              <w:rPr>
                <w:sz w:val="20"/>
                <w:szCs w:val="20"/>
                <w:color w:val="auto"/>
              </w:rPr>
            </w:pPr>
            <w:r>
              <w:rPr>
                <w:rFonts w:ascii="Arial" w:cs="Arial" w:eastAsia="Arial" w:hAnsi="Arial"/>
                <w:sz w:val="16"/>
                <w:szCs w:val="16"/>
                <w:color w:val="auto"/>
              </w:rPr>
              <w:t>Long-lived assets (1):</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60"/>
        </w:trPr>
        <w:tc>
          <w:tcPr>
            <w:tcW w:w="7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tcPr>
          <w:p>
            <w:pPr>
              <w:spacing w:after="0"/>
              <w:rPr>
                <w:sz w:val="5"/>
                <w:szCs w:val="5"/>
                <w:color w:val="auto"/>
              </w:rPr>
            </w:pPr>
          </w:p>
        </w:tc>
      </w:tr>
      <w:tr>
        <w:trPr>
          <w:trHeight w:val="250"/>
        </w:trPr>
        <w:tc>
          <w:tcPr>
            <w:tcW w:w="7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Americas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7"/>
        </w:trPr>
        <w:tc>
          <w:tcPr>
            <w:tcW w:w="7940" w:type="dxa"/>
            <w:vAlign w:val="bottom"/>
          </w:tcPr>
          <w:p>
            <w:pPr>
              <w:ind w:left="720"/>
              <w:spacing w:after="0"/>
              <w:rPr>
                <w:sz w:val="20"/>
                <w:szCs w:val="20"/>
                <w:color w:val="auto"/>
              </w:rPr>
            </w:pPr>
            <w:r>
              <w:rPr>
                <w:rFonts w:ascii="Arial" w:cs="Arial" w:eastAsia="Arial" w:hAnsi="Arial"/>
                <w:sz w:val="16"/>
                <w:szCs w:val="16"/>
                <w:color w:val="auto"/>
              </w:rPr>
              <w:t>U.S.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430.3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434.2</w:t>
            </w:r>
          </w:p>
        </w:tc>
      </w:tr>
      <w:tr>
        <w:trPr>
          <w:trHeight w:val="33"/>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Americas</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r>
      <w:tr>
        <w:trPr>
          <w:trHeight w:val="217"/>
        </w:trPr>
        <w:tc>
          <w:tcPr>
            <w:tcW w:w="7940" w:type="dxa"/>
            <w:vAlign w:val="bottom"/>
          </w:tcPr>
          <w:p>
            <w:pPr>
              <w:ind w:left="380"/>
              <w:spacing w:after="0"/>
              <w:rPr>
                <w:sz w:val="20"/>
                <w:szCs w:val="20"/>
                <w:color w:val="auto"/>
              </w:rPr>
            </w:pPr>
            <w:r>
              <w:rPr>
                <w:rFonts w:ascii="Arial" w:cs="Arial" w:eastAsia="Arial" w:hAnsi="Arial"/>
                <w:sz w:val="16"/>
                <w:szCs w:val="16"/>
                <w:color w:val="auto"/>
              </w:rPr>
              <w:t>Total Americas</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461.6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467.4</w:t>
            </w:r>
          </w:p>
        </w:tc>
      </w:tr>
      <w:tr>
        <w:trPr>
          <w:trHeight w:val="33"/>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Europe, Middle East, and Africa</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75.8</w:t>
            </w:r>
          </w:p>
        </w:tc>
      </w:tr>
      <w:tr>
        <w:trPr>
          <w:trHeight w:val="237"/>
        </w:trPr>
        <w:tc>
          <w:tcPr>
            <w:tcW w:w="7940" w:type="dxa"/>
            <w:vAlign w:val="bottom"/>
          </w:tcPr>
          <w:p>
            <w:pPr>
              <w:ind w:left="380"/>
              <w:spacing w:after="0"/>
              <w:rPr>
                <w:sz w:val="20"/>
                <w:szCs w:val="20"/>
                <w:color w:val="auto"/>
              </w:rPr>
            </w:pPr>
            <w:r>
              <w:rPr>
                <w:rFonts w:ascii="Arial" w:cs="Arial" w:eastAsia="Arial" w:hAnsi="Arial"/>
                <w:sz w:val="16"/>
                <w:szCs w:val="16"/>
                <w:color w:val="auto"/>
              </w:rPr>
              <w:t>Asia Pacific</w:t>
            </w:r>
          </w:p>
        </w:tc>
        <w:tc>
          <w:tcPr>
            <w:tcW w:w="2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57.3</w:t>
            </w:r>
          </w:p>
        </w:tc>
      </w:tr>
      <w:tr>
        <w:trPr>
          <w:trHeight w:val="33"/>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long-lived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600.5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Long-lived assets exclude deferred tax assets, marketable securities, goodwill, and other intangible assets.</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i w:val="1"/>
          <w:iCs w:val="1"/>
          <w:color w:val="auto"/>
        </w:rPr>
        <w:t xml:space="preserve">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“Overview of the Six Months Ended July 31, 2020 and 2019” and in </w:t>
      </w:r>
      <w:r>
        <w:rPr>
          <w:rFonts w:ascii="Arial" w:cs="Arial" w:eastAsia="Arial" w:hAnsi="Arial"/>
          <w:sz w:val="16"/>
          <w:szCs w:val="16"/>
          <w:i w:val="1"/>
          <w:iCs w:val="1"/>
          <w:color w:val="212529"/>
        </w:rPr>
        <w:t>“Results of Operations-Impacts of COVID-19 to Autodesk’s Business.”</w:t>
      </w:r>
      <w:r>
        <w:rPr>
          <w:rFonts w:ascii="Arial" w:cs="Arial" w:eastAsia="Arial" w:hAnsi="Arial"/>
          <w:sz w:val="16"/>
          <w:szCs w:val="16"/>
          <w:i w:val="1"/>
          <w:iCs w:val="1"/>
          <w:color w:val="auto"/>
        </w:rPr>
        <w:t xml:space="preserve"> Examples of such forward-looking statements may relate to items such as future net revenue, operating expenses, recurring revenue, net revenue retention rate, cash flow, remaining performance obligations and other future financial results (by product type and geography), the effectiveness of our efforts to successfully manage transitions to new markets; our ability to increase our subscription base; expected market trends, including the growth of cloud and mobile computing; the availability of credit; the effect of unemployment; the effects of global economic conditions, including from an economic downturn or recession in the United States or in other countries around the world; the effects of revenue recognition; the effects of recently issued accounting standards; expected trends in certain financial metrics, including expenses; expectations regarding our cash needs; the effects of fluctuations in exchange rates and our hedging activities on our financial results; our ability to successfully expand adoption of our products; our ability to gain market acceptance of new business and sales initiatives; the impact of past acquisitions, including our integration efforts;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5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Autodesk makes software for people who make things. If you have ever driven a high-performance car, admired a towering skyscraper, used a smartphone, or watched a great film, chances are you have experienced what millions of Autodesk customers are doing with our software. We empower innovators to achieve the new possible - enabling them to discover first-in-kind solutions to complex design challenges, deliver tangible outcomes in record time, and make data-powered decisions for sustainable outcomes.</w:t>
      </w:r>
    </w:p>
    <w:p>
      <w:pPr>
        <w:spacing w:after="0" w:line="187" w:lineRule="exact"/>
        <w:rPr>
          <w:sz w:val="20"/>
          <w:szCs w:val="20"/>
          <w:color w:val="auto"/>
        </w:rPr>
      </w:pPr>
    </w:p>
    <w:p>
      <w:pPr>
        <w:jc w:val="both"/>
        <w:ind w:right="260" w:firstLine="405"/>
        <w:spacing w:after="0" w:line="263" w:lineRule="auto"/>
        <w:rPr>
          <w:sz w:val="20"/>
          <w:szCs w:val="20"/>
          <w:color w:val="auto"/>
        </w:rPr>
      </w:pPr>
      <w:r>
        <w:rPr>
          <w:rFonts w:ascii="Arial" w:cs="Arial" w:eastAsia="Arial" w:hAnsi="Arial"/>
          <w:sz w:val="18"/>
          <w:szCs w:val="18"/>
          <w:color w:val="auto"/>
        </w:rPr>
        <w:t>Our strategy is to build enduring relationships with customers, delivering innovative technology that provides valuable automation and insight into their design and make process. To drive execution of our strategy, we are focused on three strategic priorities: delivering on the promise of subscription, digitizing the company, and reimagining construction, manufacturing, and production.</w:t>
      </w:r>
    </w:p>
    <w:p>
      <w:pPr>
        <w:spacing w:after="0" w:line="184"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We equip and inspire our users with the tailored tools, services, and access they need for success today and tomorrow. At every step, we help users harness the power of data to build upon their ideas and explore new ways of imagining, collaborating, and creating to achieve better outcomes for their customers, for society, and for the world. And because creativity can’t flourish in silos, we connect what matters - from steps in a project to collaborators on a unified platform.</w:t>
      </w:r>
    </w:p>
    <w:p>
      <w:pPr>
        <w:spacing w:after="0" w:line="18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Autodesk was founded during the platform transition from mainframe computers and engineering workstations to personal computers. We have developed and sustained a compelling value proposition based upon desktop software for the personal computer. Just as the transition from mainframes to personal computers transformed the industry over 30 years ago, the software industry has undergone a transition from developing and selling perpetual licenses and on-premises products to subscriptions and cloud-enabled technologies.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Product Evolution</w:t>
      </w:r>
    </w:p>
    <w:p>
      <w:pPr>
        <w:spacing w:after="0" w:line="22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To address this shift, Autodesk made a strategic decision to shift its business model from selling perpetual licenses and maintenance plans to selling subscriptions.</w:t>
      </w:r>
    </w:p>
    <w:p>
      <w:pPr>
        <w:spacing w:after="0" w:line="170"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Today, we offer subscriptions for individual products and Industry Collections, EBAs, and cloud service offerings (collectively referred to as "subscription plan"). Subscription plans are designed to give our customers more flexibility with how they use our offerings and to attract a broader range of customers, such as project-based users and small businesses.</w:t>
      </w:r>
    </w:p>
    <w:p>
      <w:pPr>
        <w:spacing w:after="0" w:line="184"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Our subscription plans currently represent a hybrid of desktop software and cloud functionality, which provides a device-independent, collaborative design workflow for designers and their stakeholders. Our cloud offerings, for example, BIM 360, Shotgun, AutoCAD web app and AutoCAD mobile app, provide tools, including mobile and collaboration capabilities, to streamline design, collaboration, building and manufacturing and data management processes. We believe that customer adoption of these latest offerings will continue to grow as customers across a range of industries begin to take advantage of the scalable computing power and flexibility provided through these services.</w:t>
      </w:r>
    </w:p>
    <w:p>
      <w:pPr>
        <w:spacing w:after="0" w:line="17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Industry Collections provide our customers with access to a broader selection of Autodesk solutions and services, simplifying the customers' ability to benefit from a complete set of tools for their industry.</w:t>
      </w:r>
    </w:p>
    <w:p>
      <w:pPr>
        <w:spacing w:after="0" w:line="170"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We discontinued the sale of new commercial licenses of most individual software products in fiscal 2016. Additionally, in fiscal 2018, we commenced a program to incentivize maintenance plan customers to move to subscription plan offerings, maintenance-to-subscription ("M2S"), while at the same time increasing maintenance plan pricing over time for customers that remain on maintenance plans. Since launching the program, a substantial majority of maintenance plan customers have converted to subscription plan offerings. We will be retiring maintenance plan offerings as of May 7, 2021 and will allow customers to convert their remaining maintenance seats to subscription plan offerings prior to this date.</w:t>
      </w:r>
    </w:p>
    <w:p>
      <w:pPr>
        <w:spacing w:after="0" w:line="17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To support our strategic priority of re-imagining construction, we are strengthening the foundation of our construction solutions with both organic and inorganic investments. In fiscal 2020, we continued and expanded our investments in construction. We continued to make investments in the traditional data creation tools to support the design and pre-construction phases, while expanding our investment in the areas of site execution with process and project management construction cloud tools. To connect the phases of construction upstream with design, we invested in and announced our construction cloud project delivery platform that allows individuals, teams and projects to be connected across all phases in a common data platform and increase efficiencies. The broadened product portfolio, the Autodesk Construction Cloud, has helped us expand our presence with sub-contractors, trades people, and building owners.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553" w:right="339" w:bottom="1440" w:gutter="0" w:footer="0" w:header="0"/>
        </w:sectPr>
      </w:pPr>
    </w:p>
    <w:bookmarkStart w:id="28" w:name="page29"/>
    <w:bookmarkEnd w:id="28"/>
    <w:p>
      <w:pPr>
        <w:ind w:right="100" w:firstLine="405"/>
        <w:spacing w:after="0" w:line="277" w:lineRule="auto"/>
        <w:rPr>
          <w:sz w:val="20"/>
          <w:szCs w:val="20"/>
          <w:color w:val="auto"/>
        </w:rPr>
      </w:pPr>
      <w:r>
        <w:rPr>
          <w:rFonts w:ascii="Arial" w:cs="Arial" w:eastAsia="Arial" w:hAnsi="Arial"/>
          <w:sz w:val="18"/>
          <w:szCs w:val="18"/>
          <w:color w:val="auto"/>
        </w:rPr>
        <w:t>As part of our strategy in manufacturing, we continue to attract both global manufacturing leaders and disruptive startups with our generative design and cloud-based Fusion 360 technology enhancements.</w:t>
      </w:r>
    </w:p>
    <w:p>
      <w:pPr>
        <w:spacing w:after="0" w:line="17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factors in making decisions regarding acquisitions. We currently anticipate that we will continue to acquire products, technology, and businesses as compelling opportunities become available.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Global Reach</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sell our products and services globally, through a combination of indirect and direct channels. Our indirect channels include value added resellers, direct market resellers, distributors, computer manufacturers, and other software developers. Our direct channels include internal sales resources dedicated to selling in our largest accounts, our highly specialized solutions, and business transacted through our online Autodesk branded store. See Note 3, "Revenue Recognition" in the Notes to the Condensed Consolidated Financial Statements for further detail on the results of our indirect and direct channel sales for the three and six months ended July 31, 2020 and 2019.</w:t>
      </w:r>
    </w:p>
    <w:p>
      <w:pPr>
        <w:spacing w:after="0" w:line="188"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anticipate that our channel mix will continue to change as we scale our online Autodesk branded store business and our largest accounts shift towards direct-only business models. However, we expect our indirect channel will continue to transact and support the majority of our customers and revenue. We employ a variety of incentive programs and promotions to align our direct and indirect channels with our business strategies. In addition, we have a worldwide user group organization and we have created online user communities dedicated to the exchange of information related to the use of our products.</w:t>
      </w:r>
    </w:p>
    <w:p>
      <w:pPr>
        <w:spacing w:after="0" w:line="188"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Forge developer program to support innovators that build solutions to facilitate the development of a single connected ecosystem for the future of how things are designed, made, and used as well as support ideas that push the boundaries of 3D printing.</w:t>
      </w:r>
    </w:p>
    <w:p>
      <w:pPr>
        <w:spacing w:after="0" w:line="178"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In addition to the competitive advantages afforded by our technology, our large global network of distributors, resellers, third-party developers, customers, educators, educational institutions, learning partners, and students is a key competitive advantage which has been cultivated over an extensive period. This network of partners and relationships provides us with a broad and deep reach into volume markets around the world. Our distributor and reseller network is extensive and provides our customers with the resources to purchase, deploy, learn, and support our solutions quickly and easily. We have a significant number of registered third-party developers who create products that work well with our solutions and extend them for a variety of specialized applications.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Better World</w:t>
      </w:r>
    </w:p>
    <w:p>
      <w:pPr>
        <w:spacing w:after="0" w:line="225"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To help our customers imagine, design, and make a better world, our sustainability initiatives focus our efforts on the areas where we can have the greatest positive impact: products and support, catalyzing impact and innovation, investing in our customers and employees' ability to learn and develop relevant skills for in-demand roles, and leading by example with our 100% renewable and sustainable business practices. Through our products and services, we are supporting our customers to better understand and improve the environmental performance of everything they make and mitigate the causes and effects of climate change.</w:t>
      </w:r>
    </w:p>
    <w:p>
      <w:pPr>
        <w:spacing w:after="0" w:line="188"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Furthermore, we are committed to fulfill our vision of helping people imagine, design, and make a better world by prioritizing Diversity and Belonging ("D&amp;B") efforts. We have launched a project to expand our commitment through the development of a holistic, updated global D&amp;B strategy. The initiative begins with a global listening tour across Autodesk where employees representing all levels, regions, organizations, and a rich mix of demographics, are invited to join focus groups to share their input. Autodesk is committed to continuing the hard work that is required to realize progress within the company and to support the communities where we work.</w:t>
      </w:r>
    </w:p>
    <w:p>
      <w:pPr>
        <w:spacing w:after="0" w:line="188"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Autodesk Foundation (the "Foundation"), a privately funded 501(c)(3) charity organization established and solely funded by us, leads our philanthropic efforts. The purpose of the Foundation is twofold: to support employees to make a better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557" w:right="379" w:bottom="1440" w:gutter="0" w:footer="0" w:header="0"/>
        </w:sectPr>
      </w:pPr>
    </w:p>
    <w:bookmarkStart w:id="29" w:name="page30"/>
    <w:bookmarkEnd w:id="29"/>
    <w:p>
      <w:pPr>
        <w:ind w:right="360"/>
        <w:spacing w:after="0" w:line="311" w:lineRule="auto"/>
        <w:rPr>
          <w:sz w:val="20"/>
          <w:szCs w:val="20"/>
          <w:color w:val="auto"/>
        </w:rPr>
      </w:pPr>
      <w:r>
        <w:rPr>
          <w:rFonts w:ascii="Arial" w:cs="Arial" w:eastAsia="Arial" w:hAnsi="Arial"/>
          <w:sz w:val="16"/>
          <w:szCs w:val="16"/>
          <w:color w:val="auto"/>
        </w:rPr>
        <w:t>world by matching employees' volunteer time and/or donations to nonprofit organizations; and to support organizations and individuals using design to drive positive social and environmental impact. On our behalf, the Foundation also administers a discounted software donation program to nonprofit organizations, social and environmental entrepreneurs, and others who are developing design solutions that will shape a more sustainable future.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32BCAD"/>
        </w:rPr>
        <w:t>Assumptions Behind Our Strategy</w:t>
      </w:r>
    </w:p>
    <w:p>
      <w:pPr>
        <w:spacing w:after="0" w:line="22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Our strategy depends upon a number of assumptions, including: making our technology available to mainstream markets; leveraging our large global network of distributors, resellers, third-party developers, customers, educators, educational institutions, learning partners,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 Our significant accounting policies are described in Note 1, “Business and Summary of Significant Accounting Policies,” in the Notes to Consolidated Financial Statements in our Form 10-K for the fiscal year ended January 31, 2020.</w:t>
      </w:r>
    </w:p>
    <w:p>
      <w:pPr>
        <w:spacing w:after="0" w:line="195"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highlighted those policies that involve a higher degree of judgment and complexity with further discussion in Item 7, “Management’s Discussion and Analysis of Financial Condition and Results of Operations” in our Form 10-K. There have been no material changes to our critical accounting policies and estimates during the three and six months ended July 31, 2020, as compared to those disclosed in our Form 10-K for the fiscal year ended January 31, 2020. We believe these policies are the most critical to aid in fully understanding and evaluating our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and Six Months Ended July 31, 2020</w:t>
      </w:r>
    </w:p>
    <w:p>
      <w:pPr>
        <w:spacing w:after="0" w:line="202" w:lineRule="exact"/>
        <w:rPr>
          <w:sz w:val="20"/>
          <w:szCs w:val="20"/>
          <w:color w:val="auto"/>
        </w:rPr>
      </w:pPr>
    </w:p>
    <w:p>
      <w:pPr>
        <w:ind w:left="660" w:right="1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net revenue increased 15% and 17% to $913.1 million and $1,798.8 million for the three and six months ended July 31, 2020, respectively, compared to the same periods in the prior fiscal year.</w:t>
      </w:r>
    </w:p>
    <w:p>
      <w:pPr>
        <w:spacing w:after="0" w:line="8"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Recurring revenue as a percentage of net revenue was 98% for both the three and six months ended July 31, 2020, compared to 96% for both periods in the prior fiscal year.</w:t>
      </w:r>
    </w:p>
    <w:p>
      <w:pPr>
        <w:spacing w:after="0" w:line="8"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revenue retention rate ("NR3") was within the range of 100% and 110% as of July 31, 2020, and within the range of 110% and 120% as of July 31, 2019.</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Deferred revenue was $2.88 billion, a decrease of 4% compared to the fourth quarter in the prior fiscal year.</w:t>
      </w:r>
    </w:p>
    <w:p>
      <w:pPr>
        <w:spacing w:after="0" w:line="63"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Remaining performance obligations (short-term and long-term deferred revenue plus unbilled deferred revenue) ("RPO") was $3.35 billion, a decrease of 6% compared to the fourth quarter in the prior fiscal year.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Current remaining performance obligations were $2.31 billion, a decrease of 2% compared to the fourth quarter in the prior fiscal year.</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Net revenue increased during the three and six months ended July 31, 2020, as compared to the same periods in the prior fiscal year, primarily due to the respective 27% and 31% increase in subscription revenue, partially offset by a respective 51% and 47% decrease in maintenance revenue as a result of the program to migrate customers from maintenance plans to subscription plans.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further discussion of the drivers of these results, see below under the heading “Results of Operations.”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557" w:right="339" w:bottom="1440" w:gutter="0" w:footer="0" w:header="0"/>
        </w:sectPr>
      </w:pPr>
    </w:p>
    <w:bookmarkStart w:id="30" w:name="page31"/>
    <w:bookmarkEnd w:id="30"/>
    <w:p>
      <w:pPr>
        <w:ind w:right="120" w:firstLine="405"/>
        <w:spacing w:after="0" w:line="271" w:lineRule="auto"/>
        <w:rPr>
          <w:sz w:val="20"/>
          <w:szCs w:val="20"/>
          <w:color w:val="auto"/>
        </w:rPr>
      </w:pPr>
      <w:r>
        <w:rPr>
          <w:rFonts w:ascii="Arial" w:cs="Arial" w:eastAsia="Arial" w:hAnsi="Arial"/>
          <w:sz w:val="17"/>
          <w:szCs w:val="17"/>
          <w:color w:val="auto"/>
        </w:rPr>
        <w:t>We rely significantly upon major distributors and resellers in both the U.S. and international regions, including Tech Data Corporation and its global affiliates (collectively, “Tech Data”). Total sales to Tech Data accounted for 37% and 38% of our total net revenue for the three and six months ended July 31, 2020, respectively, and 35% of our total net revenue for both the three and six months ended July 31, 2019. During both the three and six months ended July 31, 2020 and 2019, Ingram Micro accounted for 10% of Autodesk's total net revenue. Our customers through Tech Data and Ingram Micro are the resellers and end users who purchase our software subscriptions and services. Should any of our agreements with Tech Data and Ingram Micro be terminated for any reason, we believe the resellers and end users who currently purchase our products through Tech Data and Ingram Micro would be able to continue to do so under substantially the same terms from one of our many other distributors without substantial disruption to our revenue. Consequently, we believe our business is not substantially dependent on Tech Data and Ingram Micro.</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Recurring Revenue and Net Revenue Retention Rate</w:t>
      </w:r>
    </w:p>
    <w:p>
      <w:pPr>
        <w:spacing w:after="0" w:line="225"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color w:val="auto"/>
        </w:rPr>
        <w:t>In order to help better understand our financial performance, we use metrics such as recurring revenue and NR3. These metrics are key performance metrics and should be viewed independently of revenue and deferred revenue as these metrics are not intended to be combined with those items. We use these metrics to monitor the strength of our recurring business.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 Please refer to the Glossary of Terms for the definitions of these metrics.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outlines our recurring revenue metric for the three and six months ended July 31, 2020 and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1"/>
              </w:rPr>
              <w:t>Change compared to</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00" w:type="dxa"/>
            <w:vAlign w:val="bottom"/>
          </w:tcPr>
          <w:p>
            <w:pPr>
              <w:spacing w:after="0"/>
              <w:rPr>
                <w:sz w:val="16"/>
                <w:szCs w:val="16"/>
                <w:color w:val="auto"/>
              </w:rPr>
            </w:pPr>
          </w:p>
        </w:tc>
        <w:tc>
          <w:tcPr>
            <w:tcW w:w="15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08"/>
              <w:spacing w:after="0"/>
              <w:rPr>
                <w:sz w:val="20"/>
                <w:szCs w:val="20"/>
                <w:color w:val="auto"/>
              </w:rPr>
            </w:pPr>
            <w:r>
              <w:rPr>
                <w:rFonts w:ascii="Arial" w:cs="Arial" w:eastAsia="Arial" w:hAnsi="Arial"/>
                <w:sz w:val="14"/>
                <w:szCs w:val="14"/>
                <w:b w:val="1"/>
                <w:bCs w:val="1"/>
                <w:color w:val="auto"/>
                <w:w w:val="93"/>
              </w:rPr>
              <w:t>prior fiscal year</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71"/>
        </w:trPr>
        <w:tc>
          <w:tcPr>
            <w:tcW w:w="5400" w:type="dxa"/>
            <w:vAlign w:val="bottom"/>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4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 except percentage data)</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2"/>
              </w:rPr>
              <w:t>July 31, 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2"/>
              </w:rPr>
              <w:t>July 31, 2019</w:t>
            </w:r>
          </w:p>
        </w:tc>
        <w:tc>
          <w:tcPr>
            <w:tcW w:w="0" w:type="dxa"/>
            <w:vAlign w:val="bottom"/>
          </w:tcPr>
          <w:p>
            <w:pPr>
              <w:spacing w:after="0"/>
              <w:rPr>
                <w:sz w:val="1"/>
                <w:szCs w:val="1"/>
                <w:color w:val="auto"/>
              </w:rPr>
            </w:pPr>
          </w:p>
        </w:tc>
      </w:tr>
      <w:tr>
        <w:trPr>
          <w:trHeight w:val="236"/>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Recurring revenue (1)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892.4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125.2</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767.2</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3"/>
          </w:tcPr>
          <w:p>
            <w:pPr>
              <w:jc w:val="right"/>
              <w:ind w:right="968"/>
              <w:spacing w:after="0"/>
              <w:rPr>
                <w:sz w:val="20"/>
                <w:szCs w:val="20"/>
                <w:color w:val="auto"/>
              </w:rPr>
            </w:pPr>
            <w:r>
              <w:rPr>
                <w:rFonts w:ascii="Arial" w:cs="Arial" w:eastAsia="Arial" w:hAnsi="Arial"/>
                <w:sz w:val="16"/>
                <w:szCs w:val="16"/>
                <w:color w:val="auto"/>
              </w:rPr>
              <w:t>N/A</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483"/>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1"/>
              </w:rPr>
              <w:t>Change compared to</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08"/>
              <w:spacing w:after="0"/>
              <w:rPr>
                <w:sz w:val="20"/>
                <w:szCs w:val="20"/>
                <w:color w:val="auto"/>
              </w:rPr>
            </w:pPr>
            <w:r>
              <w:rPr>
                <w:rFonts w:ascii="Arial" w:cs="Arial" w:eastAsia="Arial" w:hAnsi="Arial"/>
                <w:sz w:val="14"/>
                <w:szCs w:val="14"/>
                <w:b w:val="1"/>
                <w:bCs w:val="1"/>
                <w:color w:val="auto"/>
                <w:w w:val="93"/>
              </w:rPr>
              <w:t>prior fiscal year</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restart"/>
          </w:tcPr>
          <w:p>
            <w:pPr>
              <w:jc w:val="center"/>
              <w:ind w:right="23"/>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71"/>
        </w:trPr>
        <w:tc>
          <w:tcPr>
            <w:tcW w:w="5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4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2"/>
              </w:rPr>
              <w:t>July 31, 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2"/>
              </w:rPr>
              <w:t>July 31, 2019</w:t>
            </w:r>
          </w:p>
        </w:tc>
        <w:tc>
          <w:tcPr>
            <w:tcW w:w="0" w:type="dxa"/>
            <w:vAlign w:val="bottom"/>
          </w:tcPr>
          <w:p>
            <w:pPr>
              <w:spacing w:after="0"/>
              <w:rPr>
                <w:sz w:val="1"/>
                <w:szCs w:val="1"/>
                <w:color w:val="auto"/>
              </w:rPr>
            </w:pPr>
          </w:p>
        </w:tc>
      </w:tr>
      <w:tr>
        <w:trPr>
          <w:trHeight w:val="236"/>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Recurring Revenue (1)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1,757.5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282.5</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1,475.0</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3"/>
          </w:tcPr>
          <w:p>
            <w:pPr>
              <w:jc w:val="right"/>
              <w:ind w:right="968"/>
              <w:spacing w:after="0"/>
              <w:rPr>
                <w:sz w:val="20"/>
                <w:szCs w:val="20"/>
                <w:color w:val="auto"/>
              </w:rPr>
            </w:pPr>
            <w:r>
              <w:rPr>
                <w:rFonts w:ascii="Arial" w:cs="Arial" w:eastAsia="Arial" w:hAnsi="Arial"/>
                <w:sz w:val="16"/>
                <w:szCs w:val="16"/>
                <w:color w:val="auto"/>
              </w:rPr>
              <w:t>N/A</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49"/>
        </w:trPr>
        <w:tc>
          <w:tcPr>
            <w:tcW w:w="540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right="20" w:hanging="412"/>
        <w:spacing w:after="0" w:line="262" w:lineRule="auto"/>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recurring revenue in this table above and recurring revenue derived from the revenue reported in the Condensed Consolidated Statements of Operations.</w:t>
      </w:r>
    </w:p>
    <w:p>
      <w:pPr>
        <w:spacing w:after="0" w:line="178" w:lineRule="exact"/>
        <w:rPr>
          <w:sz w:val="20"/>
          <w:szCs w:val="20"/>
          <w:color w:val="auto"/>
        </w:rPr>
      </w:pPr>
    </w:p>
    <w:p>
      <w:pPr>
        <w:ind w:left="220" w:right="1760" w:firstLine="108"/>
        <w:spacing w:after="0" w:line="532" w:lineRule="auto"/>
        <w:rPr>
          <w:sz w:val="20"/>
          <w:szCs w:val="20"/>
          <w:color w:val="auto"/>
        </w:rPr>
      </w:pPr>
      <w:r>
        <w:rPr>
          <w:rFonts w:ascii="Arial" w:cs="Arial" w:eastAsia="Arial" w:hAnsi="Arial"/>
          <w:sz w:val="18"/>
          <w:szCs w:val="18"/>
          <w:color w:val="auto"/>
        </w:rPr>
        <w:t xml:space="preserve">NR3 was within the range of 100% and 110% as of July 31, 2020, and within the range of 110% and 120% as of July 31, 2019. </w:t>
      </w:r>
      <w:r>
        <w:rPr>
          <w:rFonts w:ascii="Arial" w:cs="Arial" w:eastAsia="Arial" w:hAnsi="Arial"/>
          <w:sz w:val="18"/>
          <w:szCs w:val="18"/>
          <w:i w:val="1"/>
          <w:iCs w:val="1"/>
          <w:color w:val="auto"/>
        </w:rPr>
        <w:t>Foreign Currency Analysis</w:t>
      </w:r>
    </w:p>
    <w:p>
      <w:pPr>
        <w:ind w:left="420"/>
        <w:spacing w:after="0"/>
        <w:rPr>
          <w:sz w:val="20"/>
          <w:szCs w:val="20"/>
          <w:color w:val="auto"/>
        </w:rPr>
      </w:pPr>
      <w:r>
        <w:rPr>
          <w:rFonts w:ascii="Arial" w:cs="Arial" w:eastAsia="Arial" w:hAnsi="Arial"/>
          <w:sz w:val="18"/>
          <w:szCs w:val="18"/>
          <w:color w:val="auto"/>
        </w:rPr>
        <w:t>We generate a significant amount of our revenue in the United States, Japan, Germany, Finland and the United Kingdom.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557" w:right="339" w:bottom="1440" w:gutter="0" w:footer="0" w:header="0"/>
        </w:sectPr>
      </w:pPr>
    </w:p>
    <w:bookmarkStart w:id="31" w:name="page32"/>
    <w:bookmarkEnd w:id="31"/>
    <w:p>
      <w:pPr>
        <w:ind w:left="420"/>
        <w:spacing w:after="0"/>
        <w:rPr>
          <w:sz w:val="20"/>
          <w:szCs w:val="20"/>
          <w:color w:val="auto"/>
        </w:rPr>
      </w:pPr>
      <w:r>
        <w:rPr>
          <w:rFonts w:ascii="Arial" w:cs="Arial" w:eastAsia="Arial" w:hAnsi="Arial"/>
          <w:sz w:val="18"/>
          <w:szCs w:val="18"/>
          <w:color w:val="auto"/>
        </w:rPr>
        <w:t>The following table shows the impact of foreign exchange rate changes on our net revenue and total spend:</w:t>
      </w:r>
    </w:p>
    <w:p>
      <w:pPr>
        <w:spacing w:after="0" w:line="230"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4840" w:type="dxa"/>
            <w:vAlign w:val="bottom"/>
            <w:tcBorders>
              <w:bottom w:val="single" w:sz="8" w:color="auto"/>
            </w:tcBorders>
            <w:gridSpan w:val="5"/>
          </w:tcPr>
          <w:p>
            <w:pPr>
              <w:ind w:left="1360"/>
              <w:spacing w:after="0"/>
              <w:rPr>
                <w:sz w:val="20"/>
                <w:szCs w:val="20"/>
                <w:color w:val="auto"/>
              </w:rPr>
            </w:pPr>
            <w:r>
              <w:rPr>
                <w:rFonts w:ascii="Arial" w:cs="Arial" w:eastAsia="Arial" w:hAnsi="Arial"/>
                <w:sz w:val="14"/>
                <w:szCs w:val="14"/>
                <w:b w:val="1"/>
                <w:bCs w:val="1"/>
                <w:color w:val="auto"/>
              </w:rPr>
              <w:t>Three Months Ended July 31, 2020</w:t>
            </w:r>
          </w:p>
        </w:tc>
        <w:tc>
          <w:tcPr>
            <w:tcW w:w="100" w:type="dxa"/>
            <w:vAlign w:val="bottom"/>
          </w:tcPr>
          <w:p>
            <w:pPr>
              <w:spacing w:after="0"/>
              <w:rPr>
                <w:sz w:val="16"/>
                <w:szCs w:val="16"/>
                <w:color w:val="auto"/>
              </w:rPr>
            </w:pPr>
          </w:p>
        </w:tc>
        <w:tc>
          <w:tcPr>
            <w:tcW w:w="4840" w:type="dxa"/>
            <w:vAlign w:val="bottom"/>
            <w:tcBorders>
              <w:bottom w:val="single" w:sz="8" w:color="auto"/>
            </w:tcBorders>
            <w:gridSpan w:val="5"/>
          </w:tcPr>
          <w:p>
            <w:pPr>
              <w:ind w:left="1460"/>
              <w:spacing w:after="0"/>
              <w:rPr>
                <w:sz w:val="20"/>
                <w:szCs w:val="20"/>
                <w:color w:val="auto"/>
              </w:rPr>
            </w:pPr>
            <w:r>
              <w:rPr>
                <w:rFonts w:ascii="Arial" w:cs="Arial" w:eastAsia="Arial" w:hAnsi="Arial"/>
                <w:sz w:val="14"/>
                <w:szCs w:val="14"/>
                <w:b w:val="1"/>
                <w:bCs w:val="1"/>
                <w:color w:val="auto"/>
              </w:rPr>
              <w:t>Six Months Ended July 31, 2020</w:t>
            </w:r>
          </w:p>
        </w:tc>
        <w:tc>
          <w:tcPr>
            <w:tcW w:w="0" w:type="dxa"/>
            <w:vAlign w:val="bottom"/>
          </w:tcPr>
          <w:p>
            <w:pPr>
              <w:spacing w:after="0"/>
              <w:rPr>
                <w:sz w:val="1"/>
                <w:szCs w:val="1"/>
                <w:color w:val="auto"/>
              </w:rPr>
            </w:pPr>
          </w:p>
        </w:tc>
      </w:tr>
      <w:tr>
        <w:trPr>
          <w:trHeight w:val="152"/>
        </w:trPr>
        <w:tc>
          <w:tcPr>
            <w:tcW w:w="820" w:type="dxa"/>
            <w:vAlign w:val="bottom"/>
          </w:tcPr>
          <w:p>
            <w:pPr>
              <w:spacing w:after="0"/>
              <w:rPr>
                <w:sz w:val="13"/>
                <w:szCs w:val="13"/>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Percent</w:t>
            </w:r>
          </w:p>
        </w:tc>
        <w:tc>
          <w:tcPr>
            <w:tcW w:w="16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Constant Currency</w:t>
            </w:r>
          </w:p>
        </w:tc>
        <w:tc>
          <w:tcPr>
            <w:tcW w:w="1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Positive/Negative/Neutral</w:t>
            </w: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Percent</w:t>
            </w:r>
          </w:p>
        </w:tc>
        <w:tc>
          <w:tcPr>
            <w:tcW w:w="16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Constant Currency</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Positive/Negative/Neutral</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percent</w:t>
            </w:r>
          </w:p>
        </w:tc>
        <w:tc>
          <w:tcPr>
            <w:tcW w:w="174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percent</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impact from foreign</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impact from foreign</w:t>
            </w:r>
          </w:p>
        </w:tc>
        <w:tc>
          <w:tcPr>
            <w:tcW w:w="0" w:type="dxa"/>
            <w:vAlign w:val="bottom"/>
          </w:tcPr>
          <w:p>
            <w:pPr>
              <w:spacing w:after="0"/>
              <w:rPr>
                <w:sz w:val="1"/>
                <w:szCs w:val="1"/>
                <w:color w:val="auto"/>
              </w:rPr>
            </w:pPr>
          </w:p>
        </w:tc>
      </w:tr>
      <w:tr>
        <w:trPr>
          <w:trHeight w:val="192"/>
        </w:trPr>
        <w:tc>
          <w:tcPr>
            <w:tcW w:w="82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prior fiscal year</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prior fiscal year (1)</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exchange rate changes</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prior fiscal year</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prior fiscal year (1)</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9"/>
              </w:rPr>
              <w:t>exchange rate changes</w:t>
            </w:r>
          </w:p>
        </w:tc>
        <w:tc>
          <w:tcPr>
            <w:tcW w:w="0" w:type="dxa"/>
            <w:vAlign w:val="bottom"/>
          </w:tcPr>
          <w:p>
            <w:pPr>
              <w:spacing w:after="0"/>
              <w:rPr>
                <w:sz w:val="1"/>
                <w:szCs w:val="1"/>
                <w:color w:val="auto"/>
              </w:rPr>
            </w:pPr>
          </w:p>
        </w:tc>
      </w:tr>
      <w:tr>
        <w:trPr>
          <w:trHeight w:val="206"/>
        </w:trPr>
        <w:tc>
          <w:tcPr>
            <w:tcW w:w="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w:t>
            </w: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Negative</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Negative</w:t>
            </w:r>
          </w:p>
        </w:tc>
        <w:tc>
          <w:tcPr>
            <w:tcW w:w="0" w:type="dxa"/>
            <w:vAlign w:val="bottom"/>
          </w:tcPr>
          <w:p>
            <w:pPr>
              <w:spacing w:after="0"/>
              <w:rPr>
                <w:sz w:val="1"/>
                <w:szCs w:val="1"/>
                <w:color w:val="auto"/>
              </w:rPr>
            </w:pPr>
          </w:p>
        </w:tc>
      </w:tr>
      <w:tr>
        <w:trPr>
          <w:trHeight w:val="237"/>
        </w:trPr>
        <w:tc>
          <w:tcPr>
            <w:tcW w:w="820" w:type="dxa"/>
            <w:vAlign w:val="bottom"/>
          </w:tcPr>
          <w:p>
            <w:pPr>
              <w:ind w:left="20"/>
              <w:spacing w:after="0"/>
              <w:rPr>
                <w:sz w:val="20"/>
                <w:szCs w:val="20"/>
                <w:color w:val="auto"/>
              </w:rPr>
            </w:pPr>
            <w:r>
              <w:rPr>
                <w:rFonts w:ascii="Arial" w:cs="Arial" w:eastAsia="Arial" w:hAnsi="Arial"/>
                <w:sz w:val="16"/>
                <w:szCs w:val="16"/>
                <w:color w:val="auto"/>
                <w:w w:val="93"/>
              </w:rPr>
              <w:t>Total spend</w:t>
            </w:r>
          </w:p>
        </w:tc>
        <w:tc>
          <w:tcPr>
            <w:tcW w:w="14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Positive</w:t>
            </w:r>
          </w:p>
        </w:tc>
        <w:tc>
          <w:tcPr>
            <w:tcW w:w="15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92"/>
              </w:rPr>
              <w:t>Positive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Please refer to the Glossary of Terms for the definitions of our constant currency growth rates.</w:t>
      </w:r>
    </w:p>
    <w:p>
      <w:pPr>
        <w:spacing w:after="0" w:line="207" w:lineRule="exact"/>
        <w:rPr>
          <w:sz w:val="20"/>
          <w:szCs w:val="20"/>
          <w:color w:val="auto"/>
        </w:rPr>
      </w:pPr>
    </w:p>
    <w:p>
      <w:pPr>
        <w:jc w:val="both"/>
        <w:ind w:right="40" w:firstLine="405"/>
        <w:spacing w:after="0" w:line="263"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(loss)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Remaining Performance Obligations</w:t>
      </w:r>
    </w:p>
    <w:p>
      <w:pPr>
        <w:spacing w:after="0" w:line="225"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RPO represents deferred revenue and contractually stated or committed orders under early renewal and multi-year billing plans for subscription, services, license and maintenance for which the associated deferred revenue has not yet been recognized. Unbilled deferred revenue is not included as a receivable or deferred revenue on our Condensed Consolidated Balance Sheets. See Note 3, “Revenue Recognition” for more details on Autodesk's performance obligations.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ind w:left="18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2020</w:t>
            </w:r>
          </w:p>
        </w:tc>
        <w:tc>
          <w:tcPr>
            <w:tcW w:w="140" w:type="dxa"/>
            <w:vAlign w:val="bottom"/>
          </w:tcPr>
          <w:p>
            <w:pPr>
              <w:spacing w:after="0"/>
              <w:rPr>
                <w:sz w:val="16"/>
                <w:szCs w:val="16"/>
                <w:color w:val="auto"/>
              </w:rPr>
            </w:pPr>
          </w:p>
        </w:tc>
        <w:tc>
          <w:tcPr>
            <w:tcW w:w="1300" w:type="dxa"/>
            <w:vAlign w:val="bottom"/>
          </w:tcPr>
          <w:p>
            <w:pPr>
              <w:jc w:val="right"/>
              <w:ind w:right="121"/>
              <w:spacing w:after="0"/>
              <w:rPr>
                <w:sz w:val="20"/>
                <w:szCs w:val="20"/>
                <w:color w:val="auto"/>
              </w:rPr>
            </w:pPr>
            <w:r>
              <w:rPr>
                <w:rFonts w:ascii="Arial" w:cs="Arial" w:eastAsia="Arial" w:hAnsi="Arial"/>
                <w:sz w:val="14"/>
                <w:szCs w:val="14"/>
                <w:b w:val="1"/>
                <w:bCs w:val="1"/>
                <w:color w:val="auto"/>
                <w:w w:val="96"/>
              </w:rPr>
              <w:t>January 31, 2020</w:t>
            </w:r>
          </w:p>
        </w:tc>
      </w:tr>
      <w:tr>
        <w:trPr>
          <w:trHeight w:val="236"/>
        </w:trPr>
        <w:tc>
          <w:tcPr>
            <w:tcW w:w="8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2,878.9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3,007.1</w:t>
            </w:r>
          </w:p>
        </w:tc>
      </w:tr>
      <w:tr>
        <w:trPr>
          <w:trHeight w:val="237"/>
        </w:trPr>
        <w:tc>
          <w:tcPr>
            <w:tcW w:w="8220" w:type="dxa"/>
            <w:vAlign w:val="bottom"/>
          </w:tcPr>
          <w:p>
            <w:pPr>
              <w:ind w:left="180"/>
              <w:spacing w:after="0"/>
              <w:rPr>
                <w:sz w:val="20"/>
                <w:szCs w:val="20"/>
                <w:color w:val="auto"/>
              </w:rPr>
            </w:pPr>
            <w:r>
              <w:rPr>
                <w:rFonts w:ascii="Arial" w:cs="Arial" w:eastAsia="Arial" w:hAnsi="Arial"/>
                <w:sz w:val="16"/>
                <w:szCs w:val="16"/>
                <w:color w:val="auto"/>
              </w:rPr>
              <w:t>Unbilled deferred revenue</w:t>
            </w: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468.5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549.6</w:t>
            </w:r>
          </w:p>
        </w:tc>
      </w:tr>
      <w:tr>
        <w:trPr>
          <w:trHeight w:val="33"/>
        </w:trPr>
        <w:tc>
          <w:tcPr>
            <w:tcW w:w="8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RPO</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3,347.4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3,556.7</w:t>
            </w:r>
          </w:p>
        </w:tc>
      </w:tr>
      <w:tr>
        <w:trPr>
          <w:trHeight w:val="20"/>
        </w:trPr>
        <w:tc>
          <w:tcPr>
            <w:tcW w:w="8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RPO consisted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160" w:type="dxa"/>
            <w:vAlign w:val="bottom"/>
          </w:tcPr>
          <w:p>
            <w:pPr>
              <w:ind w:left="16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31, 2020</w:t>
            </w:r>
          </w:p>
        </w:tc>
        <w:tc>
          <w:tcPr>
            <w:tcW w:w="160" w:type="dxa"/>
            <w:vAlign w:val="bottom"/>
          </w:tcPr>
          <w:p>
            <w:pPr>
              <w:spacing w:after="0"/>
              <w:rPr>
                <w:sz w:val="16"/>
                <w:szCs w:val="16"/>
                <w:color w:val="auto"/>
              </w:rPr>
            </w:pPr>
          </w:p>
        </w:tc>
        <w:tc>
          <w:tcPr>
            <w:tcW w:w="1300" w:type="dxa"/>
            <w:vAlign w:val="bottom"/>
          </w:tcPr>
          <w:p>
            <w:pPr>
              <w:jc w:val="right"/>
              <w:ind w:right="121"/>
              <w:spacing w:after="0"/>
              <w:rPr>
                <w:sz w:val="20"/>
                <w:szCs w:val="20"/>
                <w:color w:val="auto"/>
              </w:rPr>
            </w:pPr>
            <w:r>
              <w:rPr>
                <w:rFonts w:ascii="Arial" w:cs="Arial" w:eastAsia="Arial" w:hAnsi="Arial"/>
                <w:sz w:val="14"/>
                <w:szCs w:val="14"/>
                <w:b w:val="1"/>
                <w:bCs w:val="1"/>
                <w:color w:val="auto"/>
                <w:w w:val="96"/>
              </w:rPr>
              <w:t>January 31, 2020</w:t>
            </w:r>
          </w:p>
        </w:tc>
      </w:tr>
      <w:tr>
        <w:trPr>
          <w:trHeight w:val="236"/>
        </w:trPr>
        <w:tc>
          <w:tcPr>
            <w:tcW w:w="81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Current RPO</w:t>
            </w: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2,310.7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2,368.6</w:t>
            </w:r>
          </w:p>
        </w:tc>
      </w:tr>
      <w:tr>
        <w:trPr>
          <w:trHeight w:val="237"/>
        </w:trPr>
        <w:tc>
          <w:tcPr>
            <w:tcW w:w="8160" w:type="dxa"/>
            <w:vAlign w:val="bottom"/>
          </w:tcPr>
          <w:p>
            <w:pPr>
              <w:ind w:left="160"/>
              <w:spacing w:after="0"/>
              <w:rPr>
                <w:sz w:val="20"/>
                <w:szCs w:val="20"/>
                <w:color w:val="auto"/>
              </w:rPr>
            </w:pPr>
            <w:r>
              <w:rPr>
                <w:rFonts w:ascii="Arial" w:cs="Arial" w:eastAsia="Arial" w:hAnsi="Arial"/>
                <w:sz w:val="16"/>
                <w:szCs w:val="16"/>
                <w:color w:val="auto"/>
              </w:rPr>
              <w:t>Non-current RPO</w:t>
            </w: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1,036.7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1,188.1</w:t>
            </w:r>
          </w:p>
        </w:tc>
      </w:tr>
      <w:tr>
        <w:trPr>
          <w:trHeight w:val="33"/>
        </w:trPr>
        <w:tc>
          <w:tcPr>
            <w:tcW w:w="8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RPO</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3,347.4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3,556.7</w:t>
            </w:r>
          </w:p>
        </w:tc>
      </w:tr>
      <w:tr>
        <w:trPr>
          <w:trHeight w:val="20"/>
        </w:trPr>
        <w:tc>
          <w:tcPr>
            <w:tcW w:w="8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We expect that the amount of RPO will change from quarter to quarter for several reasons, including the specific timing, duration and size of customer subscription and support agreements, varying billing cycles of such agreements, the specific timing of customer renewals, and foreign currency fluctuations.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At July 31, 2020, we had $1.52 billion in cash and marketable securities. Our cash flow from operations decreased to $418.5 million for the six months ended July 31, 2020, compared to $440.5 million for the six months ended July 31, 2019. We repurchased 1.3 million shares of our common stock for $196.8 million during the six months ended July 31, 2020. Comparatively, we repurchased 0.9 million shares of our common stock for $140.5 million during the six months ended July 31, 2019. See further discussion regarding the balance sheet and cash flow activities under the heading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Impacts of COVID-19 to Autodesk’s Business</w:t>
      </w:r>
    </w:p>
    <w:p>
      <w:pPr>
        <w:spacing w:after="0" w:line="225" w:lineRule="exact"/>
        <w:rPr>
          <w:sz w:val="20"/>
          <w:szCs w:val="20"/>
          <w:color w:val="auto"/>
        </w:rPr>
      </w:pPr>
    </w:p>
    <w:p>
      <w:pPr>
        <w:ind w:right="160" w:firstLine="391"/>
        <w:spacing w:after="0" w:line="277" w:lineRule="auto"/>
        <w:rPr>
          <w:sz w:val="20"/>
          <w:szCs w:val="20"/>
          <w:color w:val="auto"/>
        </w:rPr>
      </w:pPr>
      <w:r>
        <w:rPr>
          <w:rFonts w:ascii="Arial" w:cs="Arial" w:eastAsia="Arial" w:hAnsi="Arial"/>
          <w:sz w:val="18"/>
          <w:szCs w:val="18"/>
          <w:color w:val="auto"/>
        </w:rPr>
        <w:t>We are continuing to conduct business during the COVID-19 pandemic with substantial modifications to employee travel, employee work locations, and virtualization, postponement or cancellation of certain sales and marketing events, among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557" w:right="339" w:bottom="1440" w:gutter="0" w:footer="0" w:header="0"/>
        </w:sectPr>
      </w:pPr>
    </w:p>
    <w:bookmarkStart w:id="32" w:name="page33"/>
    <w:bookmarkEnd w:id="32"/>
    <w:p>
      <w:pPr>
        <w:ind w:right="160"/>
        <w:spacing w:after="0" w:line="259" w:lineRule="auto"/>
        <w:rPr>
          <w:sz w:val="20"/>
          <w:szCs w:val="20"/>
          <w:color w:val="auto"/>
        </w:rPr>
      </w:pPr>
      <w:r>
        <w:rPr>
          <w:rFonts w:ascii="Arial" w:cs="Arial" w:eastAsia="Arial" w:hAnsi="Arial"/>
          <w:sz w:val="18"/>
          <w:szCs w:val="18"/>
          <w:color w:val="auto"/>
        </w:rPr>
        <w:t>modifications. We have observed other companies as well as many governments taking precautionary and preemptive actions to address COVID-19, and they may take further actions that alter their normal business operations.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w:t>
      </w:r>
    </w:p>
    <w:p>
      <w:pPr>
        <w:spacing w:after="0" w:line="187" w:lineRule="exact"/>
        <w:rPr>
          <w:sz w:val="20"/>
          <w:szCs w:val="20"/>
          <w:color w:val="auto"/>
        </w:rPr>
      </w:pPr>
    </w:p>
    <w:p>
      <w:pPr>
        <w:ind w:firstLine="391"/>
        <w:spacing w:after="0" w:line="273" w:lineRule="auto"/>
        <w:rPr>
          <w:sz w:val="20"/>
          <w:szCs w:val="20"/>
          <w:color w:val="auto"/>
        </w:rPr>
      </w:pPr>
      <w:r>
        <w:rPr>
          <w:rFonts w:ascii="Arial" w:cs="Arial" w:eastAsia="Arial" w:hAnsi="Arial"/>
          <w:sz w:val="17"/>
          <w:szCs w:val="17"/>
          <w:color w:val="auto"/>
        </w:rPr>
        <w:t>The COVID-19 pandemic has had some specific effects on our business. During the six months ended July 31, 2020, we experienced a slight decrease in usage of our products. We experienced a stable recovery in growth during the second fiscal quarter ended July 31, 2020, and we continue to see an increase in usage of our cloud collaboration products as customers worked from home. Our product subscription renewal rates improved steadily throughout the quarter ended July 31, 2020. New business declined in the range of mid-teens percent during our second quarter ended July 31, 2020. Further, we are experiencing recovery in the markets that were impacted early by the pandemic in prior periods. Among our target markets, both AEC and Manufacturing revenue increased as compared to the second quarter in the prior fiscal year.</w:t>
      </w:r>
    </w:p>
    <w:p>
      <w:pPr>
        <w:spacing w:after="0" w:line="178" w:lineRule="exact"/>
        <w:rPr>
          <w:sz w:val="20"/>
          <w:szCs w:val="20"/>
          <w:color w:val="auto"/>
        </w:rPr>
      </w:pPr>
    </w:p>
    <w:p>
      <w:pPr>
        <w:jc w:val="both"/>
        <w:ind w:right="140" w:firstLine="391"/>
        <w:spacing w:after="0" w:line="259" w:lineRule="auto"/>
        <w:rPr>
          <w:sz w:val="20"/>
          <w:szCs w:val="20"/>
          <w:color w:val="auto"/>
        </w:rPr>
      </w:pPr>
      <w:r>
        <w:rPr>
          <w:rFonts w:ascii="Arial" w:cs="Arial" w:eastAsia="Arial" w:hAnsi="Arial"/>
          <w:sz w:val="18"/>
          <w:szCs w:val="18"/>
          <w:color w:val="auto"/>
        </w:rPr>
        <w:t>We also took action to support our customers during the six months ended July 31, 2020, and extended payment terms to 60 days through August 7, 2020, offering free commercial use of our cloud collaboration products through June 2020, and delaying the transition from multi-user licenses to named-user licenses from May 2020 to August 2020 to minimize customer disruption. Further, we deferred a 20% maintenance price increase from May 2020 to August 2020 to give customers additional time to consider a subscription agreement.</w:t>
      </w:r>
    </w:p>
    <w:p>
      <w:pPr>
        <w:spacing w:after="0" w:line="187" w:lineRule="exact"/>
        <w:rPr>
          <w:sz w:val="20"/>
          <w:szCs w:val="20"/>
          <w:color w:val="auto"/>
        </w:rPr>
      </w:pPr>
    </w:p>
    <w:p>
      <w:pPr>
        <w:ind w:right="300" w:firstLine="391"/>
        <w:spacing w:after="0" w:line="286" w:lineRule="auto"/>
        <w:rPr>
          <w:sz w:val="20"/>
          <w:szCs w:val="20"/>
          <w:color w:val="auto"/>
        </w:rPr>
      </w:pPr>
      <w:r>
        <w:rPr>
          <w:rFonts w:ascii="Arial" w:cs="Arial" w:eastAsia="Arial" w:hAnsi="Arial"/>
          <w:sz w:val="17"/>
          <w:szCs w:val="17"/>
          <w:color w:val="auto"/>
        </w:rPr>
        <w:t>Given the evolving business environment as a result of COVID-19, we are actively managing our spending, reducing travel and entertainment expense, monitoring our hiring rate, shifting to virtual events, and rationalizing our marketing spend. We will continue to invest in critical areas such as R&amp;D, construction, and digitizing the company to ensure our future success as we come out of the pandemic.</w:t>
      </w:r>
    </w:p>
    <w:p>
      <w:pPr>
        <w:spacing w:after="0" w:line="165" w:lineRule="exact"/>
        <w:rPr>
          <w:sz w:val="20"/>
          <w:szCs w:val="20"/>
          <w:color w:val="auto"/>
        </w:rPr>
      </w:pPr>
    </w:p>
    <w:p>
      <w:pPr>
        <w:ind w:right="140" w:firstLine="391"/>
        <w:spacing w:after="0" w:line="272" w:lineRule="auto"/>
        <w:rPr>
          <w:sz w:val="20"/>
          <w:szCs w:val="20"/>
          <w:color w:val="auto"/>
        </w:rPr>
      </w:pPr>
      <w:r>
        <w:rPr>
          <w:rFonts w:ascii="Arial" w:cs="Arial" w:eastAsia="Arial" w:hAnsi="Arial"/>
          <w:sz w:val="17"/>
          <w:szCs w:val="17"/>
          <w:color w:val="auto"/>
        </w:rPr>
        <w:t>We believe our investment in cloud products and a subscription business model, backed by a strong balance sheet, give us a robust foundation to successfully navigate the economic challenges of COVID-19. The extent of the impact on our business in fiscal 2021 will depend on several factors, including: the full duration and the extent of the pandemic; actions taken by governments, businesses and consumers in response to the pandemic; speed and timing of economic recovery, including in particular geographies; our billings and renewal rates including new business close rates, rate of multi-year contracts, pace of closing larger transactions, and new unit volume growth; and effect of the pandemic on margins and cash flow. All of these factors continue to evolve and remain uncertain at this time, and some of these factors are not within our control. Further discussion of the potential impacts of COVID-19 on our business can be found in Part II, Item 1A “Risk Factors.”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 by Income Statement Presentation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Subscription revenue consists of our term-based product subscriptions, cloud service offerings, and flexible enterprise</w:t>
      </w:r>
    </w:p>
    <w:p>
      <w:pPr>
        <w:spacing w:after="0" w:line="23"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business arrangements. Revenue from these arrangements is recognized ratably over the contract term commencing with the date our service is made available to customers and when all other revenue recognition criteria have been satisfied.</w:t>
      </w:r>
    </w:p>
    <w:p>
      <w:pPr>
        <w:spacing w:after="0" w:line="185" w:lineRule="exact"/>
        <w:rPr>
          <w:sz w:val="20"/>
          <w:szCs w:val="20"/>
          <w:color w:val="auto"/>
        </w:rPr>
      </w:pPr>
    </w:p>
    <w:p>
      <w:pPr>
        <w:ind w:right="260" w:firstLine="432"/>
        <w:spacing w:after="0" w:line="263" w:lineRule="auto"/>
        <w:rPr>
          <w:sz w:val="20"/>
          <w:szCs w:val="20"/>
          <w:color w:val="auto"/>
        </w:rPr>
      </w:pPr>
      <w:r>
        <w:rPr>
          <w:rFonts w:ascii="Arial" w:cs="Arial" w:eastAsia="Arial" w:hAnsi="Arial"/>
          <w:sz w:val="18"/>
          <w:szCs w:val="18"/>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ratably over the term of the agreements, which is generally one year.</w:t>
      </w:r>
    </w:p>
    <w:p>
      <w:pPr>
        <w:spacing w:after="0" w:line="184" w:lineRule="exact"/>
        <w:rPr>
          <w:sz w:val="20"/>
          <w:szCs w:val="20"/>
          <w:color w:val="auto"/>
        </w:rPr>
      </w:pPr>
    </w:p>
    <w:p>
      <w:pPr>
        <w:ind w:right="300" w:firstLine="405"/>
        <w:spacing w:after="0" w:line="342" w:lineRule="auto"/>
        <w:rPr>
          <w:sz w:val="20"/>
          <w:szCs w:val="20"/>
          <w:color w:val="auto"/>
        </w:rPr>
      </w:pPr>
      <w:r>
        <w:rPr>
          <w:rFonts w:ascii="Arial" w:cs="Arial" w:eastAsia="Arial" w:hAnsi="Arial"/>
          <w:sz w:val="16"/>
          <w:szCs w:val="16"/>
          <w:color w:val="auto"/>
        </w:rPr>
        <w:t>Other revenue consists of revenue from consulting, training and other services, and is recognized over time as the services are performed. Other revenue also includes software license revenue from the sale of products which do not incorporate substantial cloud services and is recognized up front.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557"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Three</w:t>
            </w:r>
          </w:p>
        </w:tc>
        <w:tc>
          <w:tcPr>
            <w:tcW w:w="1980" w:type="dxa"/>
            <w:vAlign w:val="bottom"/>
            <w:gridSpan w:val="5"/>
            <w:vMerge w:val="restart"/>
          </w:tcPr>
          <w:p>
            <w:pPr>
              <w:jc w:val="center"/>
              <w:ind w:right="60"/>
              <w:spacing w:after="0"/>
              <w:rPr>
                <w:sz w:val="20"/>
                <w:szCs w:val="20"/>
                <w:color w:val="auto"/>
              </w:rPr>
            </w:pPr>
            <w:r>
              <w:rPr>
                <w:rFonts w:ascii="Arial" w:cs="Arial" w:eastAsia="Arial" w:hAnsi="Arial"/>
                <w:sz w:val="14"/>
                <w:szCs w:val="14"/>
                <w:b w:val="1"/>
                <w:bCs w:val="1"/>
                <w:color w:val="auto"/>
                <w:w w:val="94"/>
              </w:rPr>
              <w:t>Change Compared to Prior</w:t>
            </w:r>
          </w:p>
        </w:tc>
        <w:tc>
          <w:tcPr>
            <w:tcW w:w="160" w:type="dxa"/>
            <w:vAlign w:val="bottom"/>
          </w:tcPr>
          <w:p>
            <w:pPr>
              <w:spacing w:after="0"/>
              <w:rPr>
                <w:sz w:val="14"/>
                <w:szCs w:val="14"/>
                <w:color w:val="auto"/>
              </w:rPr>
            </w:pPr>
          </w:p>
        </w:tc>
        <w:tc>
          <w:tcPr>
            <w:tcW w:w="72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Months</w:t>
            </w:r>
          </w:p>
        </w:tc>
        <w:tc>
          <w:tcPr>
            <w:tcW w:w="198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Months</w:t>
            </w:r>
          </w:p>
        </w:tc>
        <w:tc>
          <w:tcPr>
            <w:tcW w:w="1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1"/>
              </w:rPr>
              <w:t>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04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July 31, 2020</w:t>
            </w:r>
          </w:p>
        </w:tc>
        <w:tc>
          <w:tcPr>
            <w:tcW w:w="220" w:type="dxa"/>
            <w:vAlign w:val="bottom"/>
          </w:tcPr>
          <w:p>
            <w:pPr>
              <w:spacing w:after="0"/>
              <w:rPr>
                <w:sz w:val="22"/>
                <w:szCs w:val="22"/>
                <w:color w:val="auto"/>
              </w:rPr>
            </w:pPr>
          </w:p>
        </w:tc>
        <w:tc>
          <w:tcPr>
            <w:tcW w:w="660" w:type="dxa"/>
            <w:vAlign w:val="bottom"/>
          </w:tcPr>
          <w:p>
            <w:pPr>
              <w:jc w:val="right"/>
              <w:ind w:right="382"/>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July 31, 2019</w:t>
            </w:r>
          </w:p>
        </w:tc>
        <w:tc>
          <w:tcPr>
            <w:tcW w:w="100" w:type="dxa"/>
            <w:vAlign w:val="bottom"/>
          </w:tcPr>
          <w:p>
            <w:pPr>
              <w:spacing w:after="0"/>
              <w:rPr>
                <w:sz w:val="22"/>
                <w:szCs w:val="22"/>
                <w:color w:val="auto"/>
              </w:rPr>
            </w:pPr>
          </w:p>
        </w:tc>
        <w:tc>
          <w:tcPr>
            <w:tcW w:w="3260" w:type="dxa"/>
            <w:vAlign w:val="bottom"/>
          </w:tcPr>
          <w:p>
            <w:pPr>
              <w:ind w:left="9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250"/>
        </w:trPr>
        <w:tc>
          <w:tcPr>
            <w:tcW w:w="4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4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841.2</w:t>
            </w:r>
          </w:p>
        </w:tc>
        <w:tc>
          <w:tcPr>
            <w:tcW w:w="100" w:type="dxa"/>
            <w:vAlign w:val="bottom"/>
          </w:tcPr>
          <w:p>
            <w:pPr>
              <w:spacing w:after="0"/>
              <w:rPr>
                <w:sz w:val="19"/>
                <w:szCs w:val="19"/>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177.5</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663.7</w:t>
            </w:r>
          </w:p>
        </w:tc>
        <w:tc>
          <w:tcPr>
            <w:tcW w:w="100" w:type="dxa"/>
            <w:vAlign w:val="bottom"/>
          </w:tcPr>
          <w:p>
            <w:pPr>
              <w:spacing w:after="0"/>
              <w:rPr>
                <w:sz w:val="19"/>
                <w:szCs w:val="19"/>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w w:val="98"/>
              </w:rPr>
              <w:t>Increase due to growth across all subscription</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types, led by product subscription renewal</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w w:val="92"/>
              </w:rPr>
              <w:t>revenue, which benefited from the success of the</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w w:val="99"/>
              </w:rPr>
              <w:t>M2S program. Also contributing to the growth</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w w:val="99"/>
              </w:rPr>
              <w:t>was an increase in revenue from new product</w:t>
            </w:r>
          </w:p>
        </w:tc>
        <w:tc>
          <w:tcPr>
            <w:tcW w:w="0" w:type="dxa"/>
            <w:vAlign w:val="bottom"/>
          </w:tcPr>
          <w:p>
            <w:pPr>
              <w:spacing w:after="0"/>
              <w:rPr>
                <w:sz w:val="1"/>
                <w:szCs w:val="1"/>
                <w:color w:val="auto"/>
              </w:rPr>
            </w:pPr>
          </w:p>
        </w:tc>
      </w:tr>
      <w:tr>
        <w:trPr>
          <w:trHeight w:val="206"/>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subscriptions and EBA offerings.</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Maintenance (1)</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103.5</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Decrease primarily due to the migration of</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maintenance plan subscriptions to subscription</w:t>
            </w:r>
          </w:p>
        </w:tc>
        <w:tc>
          <w:tcPr>
            <w:tcW w:w="0" w:type="dxa"/>
            <w:vAlign w:val="bottom"/>
          </w:tcPr>
          <w:p>
            <w:pPr>
              <w:spacing w:after="0"/>
              <w:rPr>
                <w:sz w:val="1"/>
                <w:szCs w:val="1"/>
                <w:color w:val="auto"/>
              </w:rPr>
            </w:pPr>
          </w:p>
        </w:tc>
      </w:tr>
      <w:tr>
        <w:trPr>
          <w:trHeight w:val="239"/>
        </w:trPr>
        <w:tc>
          <w:tcPr>
            <w:tcW w:w="40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subscriptions with the M2S program.</w:t>
            </w:r>
          </w:p>
        </w:tc>
        <w:tc>
          <w:tcPr>
            <w:tcW w:w="0" w:type="dxa"/>
            <w:vAlign w:val="bottom"/>
          </w:tcPr>
          <w:p>
            <w:pPr>
              <w:spacing w:after="0"/>
              <w:rPr>
                <w:sz w:val="1"/>
                <w:szCs w:val="1"/>
                <w:color w:val="auto"/>
              </w:rPr>
            </w:pPr>
          </w:p>
        </w:tc>
      </w:tr>
      <w:tr>
        <w:trPr>
          <w:trHeight w:val="217"/>
        </w:trPr>
        <w:tc>
          <w:tcPr>
            <w:tcW w:w="4040" w:type="dxa"/>
            <w:vAlign w:val="bottom"/>
          </w:tcPr>
          <w:p>
            <w:pPr>
              <w:ind w:left="560"/>
              <w:spacing w:after="0"/>
              <w:rPr>
                <w:sz w:val="20"/>
                <w:szCs w:val="20"/>
                <w:color w:val="auto"/>
              </w:rPr>
            </w:pPr>
            <w:r>
              <w:rPr>
                <w:rFonts w:ascii="Arial" w:cs="Arial" w:eastAsia="Arial" w:hAnsi="Arial"/>
                <w:sz w:val="16"/>
                <w:szCs w:val="16"/>
                <w:color w:val="auto"/>
              </w:rPr>
              <w:t>Total subscription and maintenance revenue</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892.4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125.2</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767.2</w:t>
            </w: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3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913.1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116.3</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796.8</w:t>
            </w:r>
          </w:p>
        </w:tc>
        <w:tc>
          <w:tcPr>
            <w:tcW w:w="1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040" w:type="dxa"/>
            <w:vAlign w:val="bottom"/>
          </w:tcPr>
          <w:p>
            <w:pPr>
              <w:spacing w:after="0"/>
              <w:rPr>
                <w:sz w:val="24"/>
                <w:szCs w:val="2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Six Months</w:t>
            </w:r>
          </w:p>
        </w:tc>
        <w:tc>
          <w:tcPr>
            <w:tcW w:w="220" w:type="dxa"/>
            <w:vAlign w:val="bottom"/>
          </w:tcPr>
          <w:p>
            <w:pPr>
              <w:spacing w:after="0"/>
              <w:rPr>
                <w:sz w:val="24"/>
                <w:szCs w:val="24"/>
                <w:color w:val="auto"/>
              </w:rPr>
            </w:pPr>
          </w:p>
        </w:tc>
        <w:tc>
          <w:tcPr>
            <w:tcW w:w="17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Change compared to</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Six Months</w:t>
            </w: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40" w:type="dxa"/>
            <w:vAlign w:val="bottom"/>
          </w:tcPr>
          <w:p>
            <w:pPr>
              <w:spacing w:after="0"/>
              <w:rPr>
                <w:sz w:val="22"/>
                <w:szCs w:val="22"/>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July 31, 2020</w:t>
            </w:r>
          </w:p>
        </w:tc>
        <w:tc>
          <w:tcPr>
            <w:tcW w:w="220" w:type="dxa"/>
            <w:vAlign w:val="bottom"/>
          </w:tcPr>
          <w:p>
            <w:pPr>
              <w:spacing w:after="0"/>
              <w:rPr>
                <w:sz w:val="22"/>
                <w:szCs w:val="22"/>
                <w:color w:val="auto"/>
              </w:rPr>
            </w:pPr>
          </w:p>
        </w:tc>
        <w:tc>
          <w:tcPr>
            <w:tcW w:w="660" w:type="dxa"/>
            <w:vAlign w:val="bottom"/>
          </w:tcPr>
          <w:p>
            <w:pPr>
              <w:jc w:val="right"/>
              <w:ind w:right="322"/>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July 31, 2019</w:t>
            </w:r>
          </w:p>
        </w:tc>
        <w:tc>
          <w:tcPr>
            <w:tcW w:w="100" w:type="dxa"/>
            <w:vAlign w:val="bottom"/>
          </w:tcPr>
          <w:p>
            <w:pPr>
              <w:spacing w:after="0"/>
              <w:rPr>
                <w:sz w:val="22"/>
                <w:szCs w:val="22"/>
                <w:color w:val="auto"/>
              </w:rPr>
            </w:pPr>
          </w:p>
        </w:tc>
        <w:tc>
          <w:tcPr>
            <w:tcW w:w="3260" w:type="dxa"/>
            <w:vAlign w:val="bottom"/>
          </w:tcPr>
          <w:p>
            <w:pPr>
              <w:ind w:left="88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249"/>
        </w:trPr>
        <w:tc>
          <w:tcPr>
            <w:tcW w:w="4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4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1,644.2</w:t>
            </w:r>
          </w:p>
        </w:tc>
        <w:tc>
          <w:tcPr>
            <w:tcW w:w="100" w:type="dxa"/>
            <w:vAlign w:val="bottom"/>
          </w:tcPr>
          <w:p>
            <w:pPr>
              <w:spacing w:after="0"/>
              <w:rPr>
                <w:sz w:val="19"/>
                <w:szCs w:val="19"/>
                <w:color w:val="auto"/>
              </w:rPr>
            </w:pP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384.7</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1,259.5</w:t>
            </w:r>
          </w:p>
        </w:tc>
        <w:tc>
          <w:tcPr>
            <w:tcW w:w="100" w:type="dxa"/>
            <w:vAlign w:val="bottom"/>
          </w:tcPr>
          <w:p>
            <w:pPr>
              <w:spacing w:after="0"/>
              <w:rPr>
                <w:sz w:val="19"/>
                <w:szCs w:val="19"/>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w w:val="98"/>
              </w:rPr>
              <w:t>Increase due to growth across all subscription</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types, led by product subscription renewal</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w w:val="92"/>
              </w:rPr>
              <w:t>revenue, which benefited from the success of the</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w w:val="99"/>
              </w:rPr>
              <w:t>M2S program. Also contributing to the growth</w:t>
            </w:r>
          </w:p>
        </w:tc>
        <w:tc>
          <w:tcPr>
            <w:tcW w:w="0" w:type="dxa"/>
            <w:vAlign w:val="bottom"/>
          </w:tcPr>
          <w:p>
            <w:pPr>
              <w:spacing w:after="0"/>
              <w:rPr>
                <w:sz w:val="1"/>
                <w:szCs w:val="1"/>
                <w:color w:val="auto"/>
              </w:rPr>
            </w:pPr>
          </w:p>
        </w:tc>
      </w:tr>
      <w:tr>
        <w:trPr>
          <w:trHeight w:val="202"/>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w w:val="99"/>
              </w:rPr>
              <w:t>was an increase in revenue from new product</w:t>
            </w:r>
          </w:p>
        </w:tc>
        <w:tc>
          <w:tcPr>
            <w:tcW w:w="0" w:type="dxa"/>
            <w:vAlign w:val="bottom"/>
          </w:tcPr>
          <w:p>
            <w:pPr>
              <w:spacing w:after="0"/>
              <w:rPr>
                <w:sz w:val="1"/>
                <w:szCs w:val="1"/>
                <w:color w:val="auto"/>
              </w:rPr>
            </w:pPr>
          </w:p>
        </w:tc>
      </w:tr>
      <w:tr>
        <w:trPr>
          <w:trHeight w:val="206"/>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ind w:left="40"/>
              <w:spacing w:after="0"/>
              <w:rPr>
                <w:sz w:val="20"/>
                <w:szCs w:val="20"/>
                <w:color w:val="auto"/>
              </w:rPr>
            </w:pPr>
            <w:r>
              <w:rPr>
                <w:rFonts w:ascii="Arial" w:cs="Arial" w:eastAsia="Arial" w:hAnsi="Arial"/>
                <w:sz w:val="16"/>
                <w:szCs w:val="16"/>
                <w:color w:val="auto"/>
              </w:rPr>
              <w:t>subscriptions and EBA offerings.</w:t>
            </w: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Maintenance (1)</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215.5</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Decrease primarily due to the migration of</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maintenance plan subscriptions to subscription</w:t>
            </w:r>
          </w:p>
        </w:tc>
        <w:tc>
          <w:tcPr>
            <w:tcW w:w="0" w:type="dxa"/>
            <w:vAlign w:val="bottom"/>
          </w:tcPr>
          <w:p>
            <w:pPr>
              <w:spacing w:after="0"/>
              <w:rPr>
                <w:sz w:val="1"/>
                <w:szCs w:val="1"/>
                <w:color w:val="auto"/>
              </w:rPr>
            </w:pPr>
          </w:p>
        </w:tc>
      </w:tr>
      <w:tr>
        <w:trPr>
          <w:trHeight w:val="239"/>
        </w:trPr>
        <w:tc>
          <w:tcPr>
            <w:tcW w:w="40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subscriptions with the M2S program.</w:t>
            </w:r>
          </w:p>
        </w:tc>
        <w:tc>
          <w:tcPr>
            <w:tcW w:w="0" w:type="dxa"/>
            <w:vAlign w:val="bottom"/>
          </w:tcPr>
          <w:p>
            <w:pPr>
              <w:spacing w:after="0"/>
              <w:rPr>
                <w:sz w:val="1"/>
                <w:szCs w:val="1"/>
                <w:color w:val="auto"/>
              </w:rPr>
            </w:pPr>
          </w:p>
        </w:tc>
      </w:tr>
      <w:tr>
        <w:trPr>
          <w:trHeight w:val="217"/>
        </w:trPr>
        <w:tc>
          <w:tcPr>
            <w:tcW w:w="4040" w:type="dxa"/>
            <w:vAlign w:val="bottom"/>
          </w:tcPr>
          <w:p>
            <w:pPr>
              <w:ind w:left="560"/>
              <w:spacing w:after="0"/>
              <w:rPr>
                <w:sz w:val="20"/>
                <w:szCs w:val="20"/>
                <w:color w:val="auto"/>
              </w:rPr>
            </w:pPr>
            <w:r>
              <w:rPr>
                <w:rFonts w:ascii="Arial" w:cs="Arial" w:eastAsia="Arial" w:hAnsi="Arial"/>
                <w:sz w:val="16"/>
                <w:szCs w:val="16"/>
                <w:color w:val="auto"/>
              </w:rPr>
              <w:t>Total subscription and maintenance revenue</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1,757.5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282.5</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1,475.0</w:t>
            </w: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57.3</w:t>
            </w:r>
          </w:p>
        </w:tc>
        <w:tc>
          <w:tcPr>
            <w:tcW w:w="100" w:type="dxa"/>
            <w:vAlign w:val="bottom"/>
            <w:tcBorders>
              <w:bottom w:val="single" w:sz="8" w:color="CCEEFF"/>
            </w:tcBorders>
            <w:shd w:val="clear" w:color="auto" w:fill="CCEEFF"/>
          </w:tcPr>
          <w:p>
            <w:pPr>
              <w:spacing w:after="0"/>
              <w:rPr>
                <w:sz w:val="23"/>
                <w:szCs w:val="23"/>
                <w:color w:val="auto"/>
              </w:rPr>
            </w:pPr>
          </w:p>
        </w:tc>
        <w:tc>
          <w:tcPr>
            <w:tcW w:w="3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1,798.8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266.5</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1,532.3</w:t>
            </w:r>
          </w:p>
        </w:tc>
        <w:tc>
          <w:tcPr>
            <w:tcW w:w="1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480" w:hanging="412"/>
        <w:spacing w:after="0" w:line="262"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expect maintenance revenue will slowly decline; however, the rate of decline will vary based on the number of renewals, the renewal rate, and our ability to incentivize maintenance plan customers to switch over to subscription plan offerings.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698" w:right="339" w:bottom="1440" w:gutter="0" w:footer="0" w:header="0"/>
        </w:sectPr>
      </w:pPr>
    </w:p>
    <w:bookmarkStart w:id="34" w:name="page35"/>
    <w:bookmarkEnd w:id="34"/>
    <w:p>
      <w:pPr>
        <w:ind w:left="260"/>
        <w:spacing w:after="0"/>
        <w:rPr>
          <w:sz w:val="20"/>
          <w:szCs w:val="20"/>
          <w:color w:val="auto"/>
        </w:rPr>
      </w:pPr>
      <w:r>
        <w:rPr>
          <w:rFonts w:ascii="Arial" w:cs="Arial" w:eastAsia="Arial" w:hAnsi="Arial"/>
          <w:sz w:val="18"/>
          <w:szCs w:val="18"/>
          <w:i w:val="1"/>
          <w:iCs w:val="1"/>
          <w:color w:val="auto"/>
        </w:rPr>
        <w:t>Net Revenue by Product Family</w:t>
      </w:r>
    </w:p>
    <w:p>
      <w:pPr>
        <w:spacing w:after="0" w:line="22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Our product offerings are focused in four primary product families: Architecture, Engineering and Construction ("AEC"), AutoCAD and AutoCAD LT, Manufacturing ("MFG"), and Media and Entertainment ("M&amp;E").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Three</w:t>
            </w:r>
          </w:p>
        </w:tc>
        <w:tc>
          <w:tcPr>
            <w:tcW w:w="220" w:type="dxa"/>
            <w:vAlign w:val="bottom"/>
          </w:tcPr>
          <w:p>
            <w:pPr>
              <w:spacing w:after="0"/>
              <w:rPr>
                <w:sz w:val="14"/>
                <w:szCs w:val="14"/>
                <w:color w:val="auto"/>
              </w:rPr>
            </w:pPr>
          </w:p>
        </w:tc>
        <w:tc>
          <w:tcPr>
            <w:tcW w:w="188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0"/>
              </w:rPr>
              <w:t>Change compared to</w:t>
            </w:r>
          </w:p>
        </w:tc>
        <w:tc>
          <w:tcPr>
            <w:tcW w:w="160" w:type="dxa"/>
            <w:vAlign w:val="bottom"/>
          </w:tcPr>
          <w:p>
            <w:pPr>
              <w:spacing w:after="0"/>
              <w:rPr>
                <w:sz w:val="14"/>
                <w:szCs w:val="14"/>
                <w:color w:val="auto"/>
              </w:rPr>
            </w:pPr>
          </w:p>
        </w:tc>
        <w:tc>
          <w:tcPr>
            <w:tcW w:w="720" w:type="dxa"/>
            <w:vAlign w:val="bottom"/>
          </w:tcPr>
          <w:p>
            <w:pPr>
              <w:jc w:val="center"/>
              <w:ind w:right="81"/>
              <w:spacing w:after="0"/>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Months</w:t>
            </w:r>
          </w:p>
        </w:tc>
        <w:tc>
          <w:tcPr>
            <w:tcW w:w="220" w:type="dxa"/>
            <w:vAlign w:val="bottom"/>
          </w:tcPr>
          <w:p>
            <w:pPr>
              <w:spacing w:after="0"/>
              <w:rPr>
                <w:sz w:val="12"/>
                <w:szCs w:val="12"/>
                <w:color w:val="auto"/>
              </w:rPr>
            </w:pPr>
          </w:p>
        </w:tc>
        <w:tc>
          <w:tcPr>
            <w:tcW w:w="18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6"/>
              </w:rPr>
              <w:t>Months</w:t>
            </w:r>
          </w:p>
        </w:tc>
        <w:tc>
          <w:tcPr>
            <w:tcW w:w="1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3"/>
              </w:rPr>
              <w:t>prior fiscal year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July 31,</w:t>
            </w:r>
          </w:p>
        </w:tc>
        <w:tc>
          <w:tcPr>
            <w:tcW w:w="220" w:type="dxa"/>
            <w:vAlign w:val="bottom"/>
          </w:tcPr>
          <w:p>
            <w:pPr>
              <w:spacing w:after="0"/>
              <w:rPr>
                <w:sz w:val="13"/>
                <w:szCs w:val="13"/>
                <w:color w:val="auto"/>
              </w:rPr>
            </w:pPr>
          </w:p>
        </w:tc>
        <w:tc>
          <w:tcPr>
            <w:tcW w:w="66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July 31, 2019</w:t>
            </w:r>
          </w:p>
        </w:tc>
        <w:tc>
          <w:tcPr>
            <w:tcW w:w="100" w:type="dxa"/>
            <w:vAlign w:val="bottom"/>
          </w:tcPr>
          <w:p>
            <w:pPr>
              <w:spacing w:after="0"/>
              <w:rPr>
                <w:sz w:val="13"/>
                <w:szCs w:val="13"/>
                <w:color w:val="auto"/>
              </w:rPr>
            </w:pPr>
          </w:p>
        </w:tc>
        <w:tc>
          <w:tcPr>
            <w:tcW w:w="370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58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140" w:type="dxa"/>
            <w:vAlign w:val="bottom"/>
          </w:tcPr>
          <w:p>
            <w:pPr>
              <w:spacing w:after="0"/>
              <w:rPr>
                <w:sz w:val="16"/>
                <w:szCs w:val="16"/>
                <w:color w:val="auto"/>
              </w:rPr>
            </w:pPr>
          </w:p>
        </w:tc>
        <w:tc>
          <w:tcPr>
            <w:tcW w:w="640" w:type="dxa"/>
            <w:vAlign w:val="bottom"/>
          </w:tcPr>
          <w:p>
            <w:pPr>
              <w:jc w:val="center"/>
              <w:ind w:right="6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Product Family:</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580" w:type="dxa"/>
            <w:vAlign w:val="bottom"/>
          </w:tcPr>
          <w:p>
            <w:pPr>
              <w:ind w:left="360"/>
              <w:spacing w:after="0"/>
              <w:rPr>
                <w:sz w:val="20"/>
                <w:szCs w:val="20"/>
                <w:color w:val="auto"/>
              </w:rPr>
            </w:pPr>
            <w:r>
              <w:rPr>
                <w:rFonts w:ascii="Arial" w:cs="Arial" w:eastAsia="Arial" w:hAnsi="Arial"/>
                <w:sz w:val="16"/>
                <w:szCs w:val="16"/>
                <w:color w:val="auto"/>
              </w:rPr>
              <w:t>AEC</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3"/>
              <w:spacing w:after="0"/>
              <w:rPr>
                <w:sz w:val="20"/>
                <w:szCs w:val="20"/>
                <w:color w:val="auto"/>
              </w:rPr>
            </w:pPr>
            <w:r>
              <w:rPr>
                <w:rFonts w:ascii="Arial" w:cs="Arial" w:eastAsia="Arial" w:hAnsi="Arial"/>
                <w:sz w:val="16"/>
                <w:szCs w:val="16"/>
                <w:color w:val="auto"/>
              </w:rPr>
              <w:t>397.0</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62.8</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334.2</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w w:val="95"/>
              </w:rPr>
              <w:t>Up due to increases in revenue from AEC Collections,</w:t>
            </w:r>
          </w:p>
        </w:tc>
        <w:tc>
          <w:tcPr>
            <w:tcW w:w="0" w:type="dxa"/>
            <w:vAlign w:val="bottom"/>
          </w:tcPr>
          <w:p>
            <w:pPr>
              <w:spacing w:after="0"/>
              <w:rPr>
                <w:sz w:val="1"/>
                <w:szCs w:val="1"/>
                <w:color w:val="auto"/>
              </w:rPr>
            </w:pPr>
          </w:p>
        </w:tc>
      </w:tr>
      <w:tr>
        <w:trPr>
          <w:trHeight w:val="206"/>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rPr>
              <w:t>EBAs, BIM 360, and PlanGrid.</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AutoCAD and AutoCAD LT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271.9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40.6</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231.3</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Up due to increases in revenue from both AutoCAD</w:t>
            </w:r>
          </w:p>
        </w:tc>
        <w:tc>
          <w:tcPr>
            <w:tcW w:w="0" w:type="dxa"/>
            <w:vAlign w:val="bottom"/>
          </w:tcPr>
          <w:p>
            <w:pPr>
              <w:spacing w:after="0"/>
              <w:rPr>
                <w:sz w:val="1"/>
                <w:szCs w:val="1"/>
                <w:color w:val="auto"/>
              </w:rPr>
            </w:pPr>
          </w:p>
        </w:tc>
      </w:tr>
      <w:tr>
        <w:trPr>
          <w:trHeight w:val="219"/>
        </w:trPr>
        <w:tc>
          <w:tcPr>
            <w:tcW w:w="3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and AutoCAD LT.</w:t>
            </w:r>
          </w:p>
        </w:tc>
        <w:tc>
          <w:tcPr>
            <w:tcW w:w="0" w:type="dxa"/>
            <w:vAlign w:val="bottom"/>
          </w:tcPr>
          <w:p>
            <w:pPr>
              <w:spacing w:after="0"/>
              <w:rPr>
                <w:sz w:val="1"/>
                <w:szCs w:val="1"/>
                <w:color w:val="auto"/>
              </w:rPr>
            </w:pPr>
          </w:p>
        </w:tc>
      </w:tr>
      <w:tr>
        <w:trPr>
          <w:trHeight w:val="220"/>
        </w:trPr>
        <w:tc>
          <w:tcPr>
            <w:tcW w:w="3580" w:type="dxa"/>
            <w:vAlign w:val="bottom"/>
          </w:tcPr>
          <w:p>
            <w:pPr>
              <w:ind w:left="380"/>
              <w:spacing w:after="0"/>
              <w:rPr>
                <w:sz w:val="20"/>
                <w:szCs w:val="20"/>
                <w:color w:val="auto"/>
              </w:rPr>
            </w:pPr>
            <w:r>
              <w:rPr>
                <w:rFonts w:ascii="Arial" w:cs="Arial" w:eastAsia="Arial" w:hAnsi="Arial"/>
                <w:sz w:val="16"/>
                <w:szCs w:val="16"/>
                <w:color w:val="auto"/>
              </w:rPr>
              <w:t>MFG</w:t>
            </w:r>
          </w:p>
        </w:tc>
        <w:tc>
          <w:tcPr>
            <w:tcW w:w="140" w:type="dxa"/>
            <w:vAlign w:val="bottom"/>
          </w:tcPr>
          <w:p>
            <w:pPr>
              <w:spacing w:after="0"/>
              <w:rPr>
                <w:sz w:val="19"/>
                <w:szCs w:val="19"/>
                <w:color w:val="auto"/>
              </w:rPr>
            </w:pPr>
          </w:p>
        </w:tc>
        <w:tc>
          <w:tcPr>
            <w:tcW w:w="640" w:type="dxa"/>
            <w:vAlign w:val="bottom"/>
          </w:tcPr>
          <w:p>
            <w:pPr>
              <w:jc w:val="right"/>
              <w:ind w:right="43"/>
              <w:spacing w:after="0"/>
              <w:rPr>
                <w:sz w:val="20"/>
                <w:szCs w:val="20"/>
                <w:color w:val="auto"/>
              </w:rPr>
            </w:pPr>
            <w:r>
              <w:rPr>
                <w:rFonts w:ascii="Arial" w:cs="Arial" w:eastAsia="Arial" w:hAnsi="Arial"/>
                <w:sz w:val="16"/>
                <w:szCs w:val="16"/>
                <w:color w:val="auto"/>
              </w:rPr>
              <w:t>185.5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10.9</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6 %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174.6</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w w:val="95"/>
              </w:rPr>
              <w:t>Up due to increases in revenue from MFG Collections,</w:t>
            </w:r>
          </w:p>
        </w:tc>
        <w:tc>
          <w:tcPr>
            <w:tcW w:w="0" w:type="dxa"/>
            <w:vAlign w:val="bottom"/>
          </w:tcPr>
          <w:p>
            <w:pPr>
              <w:spacing w:after="0"/>
              <w:rPr>
                <w:sz w:val="1"/>
                <w:szCs w:val="1"/>
                <w:color w:val="auto"/>
              </w:rPr>
            </w:pPr>
          </w:p>
        </w:tc>
      </w:tr>
      <w:tr>
        <w:trPr>
          <w:trHeight w:val="206"/>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rPr>
              <w:t>EBAs and Fusion360.</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M&amp;E</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50.8</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Up due to increases in revenue from M&amp;E Collections,</w:t>
            </w:r>
          </w:p>
        </w:tc>
        <w:tc>
          <w:tcPr>
            <w:tcW w:w="0" w:type="dxa"/>
            <w:vAlign w:val="bottom"/>
          </w:tcPr>
          <w:p>
            <w:pPr>
              <w:spacing w:after="0"/>
              <w:rPr>
                <w:sz w:val="1"/>
                <w:szCs w:val="1"/>
                <w:color w:val="auto"/>
              </w:rPr>
            </w:pPr>
          </w:p>
        </w:tc>
      </w:tr>
      <w:tr>
        <w:trPr>
          <w:trHeight w:val="219"/>
        </w:trPr>
        <w:tc>
          <w:tcPr>
            <w:tcW w:w="3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Maya, and 3DS Max.</w:t>
            </w:r>
          </w:p>
        </w:tc>
        <w:tc>
          <w:tcPr>
            <w:tcW w:w="0" w:type="dxa"/>
            <w:vAlign w:val="bottom"/>
          </w:tcPr>
          <w:p>
            <w:pPr>
              <w:spacing w:after="0"/>
              <w:rPr>
                <w:sz w:val="1"/>
                <w:szCs w:val="1"/>
                <w:color w:val="auto"/>
              </w:rPr>
            </w:pPr>
          </w:p>
        </w:tc>
      </w:tr>
      <w:tr>
        <w:trPr>
          <w:trHeight w:val="224"/>
        </w:trPr>
        <w:tc>
          <w:tcPr>
            <w:tcW w:w="3580" w:type="dxa"/>
            <w:vAlign w:val="bottom"/>
          </w:tcPr>
          <w:p>
            <w:pPr>
              <w:ind w:left="38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9"/>
                <w:szCs w:val="19"/>
                <w:color w:val="auto"/>
              </w:rPr>
            </w:pPr>
          </w:p>
        </w:tc>
        <w:tc>
          <w:tcPr>
            <w:tcW w:w="640" w:type="dxa"/>
            <w:vAlign w:val="bottom"/>
          </w:tcPr>
          <w:p>
            <w:pPr>
              <w:jc w:val="right"/>
              <w:ind w:right="43"/>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(0.5)</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35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7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116.3</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796.8</w:t>
            </w:r>
          </w:p>
        </w:tc>
        <w:tc>
          <w:tcPr>
            <w:tcW w:w="10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580" w:type="dxa"/>
            <w:vAlign w:val="bottom"/>
          </w:tcPr>
          <w:p>
            <w:pPr>
              <w:spacing w:after="0"/>
              <w:rPr>
                <w:sz w:val="24"/>
                <w:szCs w:val="2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w:t>
            </w:r>
          </w:p>
        </w:tc>
        <w:tc>
          <w:tcPr>
            <w:tcW w:w="220" w:type="dxa"/>
            <w:vAlign w:val="bottom"/>
          </w:tcPr>
          <w:p>
            <w:pPr>
              <w:spacing w:after="0"/>
              <w:rPr>
                <w:sz w:val="24"/>
                <w:szCs w:val="24"/>
                <w:color w:val="auto"/>
              </w:rPr>
            </w:pPr>
          </w:p>
        </w:tc>
        <w:tc>
          <w:tcPr>
            <w:tcW w:w="18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Change compared to</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3"/>
              </w:rPr>
              <w:t>prior fiscal year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July 31,</w:t>
            </w:r>
          </w:p>
        </w:tc>
        <w:tc>
          <w:tcPr>
            <w:tcW w:w="220" w:type="dxa"/>
            <w:vAlign w:val="bottom"/>
          </w:tcPr>
          <w:p>
            <w:pPr>
              <w:spacing w:after="0"/>
              <w:rPr>
                <w:sz w:val="13"/>
                <w:szCs w:val="13"/>
                <w:color w:val="auto"/>
              </w:rPr>
            </w:pPr>
          </w:p>
        </w:tc>
        <w:tc>
          <w:tcPr>
            <w:tcW w:w="66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July 31, 2019</w:t>
            </w:r>
          </w:p>
        </w:tc>
        <w:tc>
          <w:tcPr>
            <w:tcW w:w="1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6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Product Family:</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7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580" w:type="dxa"/>
            <w:vAlign w:val="bottom"/>
          </w:tcPr>
          <w:p>
            <w:pPr>
              <w:ind w:left="360"/>
              <w:spacing w:after="0"/>
              <w:rPr>
                <w:sz w:val="20"/>
                <w:szCs w:val="20"/>
                <w:color w:val="auto"/>
              </w:rPr>
            </w:pPr>
            <w:r>
              <w:rPr>
                <w:rFonts w:ascii="Arial" w:cs="Arial" w:eastAsia="Arial" w:hAnsi="Arial"/>
                <w:sz w:val="16"/>
                <w:szCs w:val="16"/>
                <w:color w:val="auto"/>
              </w:rPr>
              <w:t>AEC</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3"/>
              <w:spacing w:after="0"/>
              <w:rPr>
                <w:sz w:val="20"/>
                <w:szCs w:val="20"/>
                <w:color w:val="auto"/>
              </w:rPr>
            </w:pPr>
            <w:r>
              <w:rPr>
                <w:rFonts w:ascii="Arial" w:cs="Arial" w:eastAsia="Arial" w:hAnsi="Arial"/>
                <w:sz w:val="16"/>
                <w:szCs w:val="16"/>
                <w:color w:val="auto"/>
              </w:rPr>
              <w:t>779.7</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141.2</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638.5</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w w:val="95"/>
              </w:rPr>
              <w:t>Up due to increases in revenue from AEC Collections,</w:t>
            </w:r>
          </w:p>
        </w:tc>
        <w:tc>
          <w:tcPr>
            <w:tcW w:w="0" w:type="dxa"/>
            <w:vAlign w:val="bottom"/>
          </w:tcPr>
          <w:p>
            <w:pPr>
              <w:spacing w:after="0"/>
              <w:rPr>
                <w:sz w:val="1"/>
                <w:szCs w:val="1"/>
                <w:color w:val="auto"/>
              </w:rPr>
            </w:pPr>
          </w:p>
        </w:tc>
      </w:tr>
      <w:tr>
        <w:trPr>
          <w:trHeight w:val="206"/>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rPr>
              <w:t>EBAs, BIM 360, and PlanGrid.</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ACAD and AutoCAD LT</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534.1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89.6</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444.5</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Up due to increases in revenue from both AutoCAD</w:t>
            </w:r>
          </w:p>
        </w:tc>
        <w:tc>
          <w:tcPr>
            <w:tcW w:w="0" w:type="dxa"/>
            <w:vAlign w:val="bottom"/>
          </w:tcPr>
          <w:p>
            <w:pPr>
              <w:spacing w:after="0"/>
              <w:rPr>
                <w:sz w:val="1"/>
                <w:szCs w:val="1"/>
                <w:color w:val="auto"/>
              </w:rPr>
            </w:pPr>
          </w:p>
        </w:tc>
      </w:tr>
      <w:tr>
        <w:trPr>
          <w:trHeight w:val="219"/>
        </w:trPr>
        <w:tc>
          <w:tcPr>
            <w:tcW w:w="3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and AutoCAD LT.</w:t>
            </w:r>
          </w:p>
        </w:tc>
        <w:tc>
          <w:tcPr>
            <w:tcW w:w="0" w:type="dxa"/>
            <w:vAlign w:val="bottom"/>
          </w:tcPr>
          <w:p>
            <w:pPr>
              <w:spacing w:after="0"/>
              <w:rPr>
                <w:sz w:val="1"/>
                <w:szCs w:val="1"/>
                <w:color w:val="auto"/>
              </w:rPr>
            </w:pPr>
          </w:p>
        </w:tc>
      </w:tr>
      <w:tr>
        <w:trPr>
          <w:trHeight w:val="220"/>
        </w:trPr>
        <w:tc>
          <w:tcPr>
            <w:tcW w:w="3580" w:type="dxa"/>
            <w:vAlign w:val="bottom"/>
          </w:tcPr>
          <w:p>
            <w:pPr>
              <w:ind w:left="380"/>
              <w:spacing w:after="0"/>
              <w:rPr>
                <w:sz w:val="20"/>
                <w:szCs w:val="20"/>
                <w:color w:val="auto"/>
              </w:rPr>
            </w:pPr>
            <w:r>
              <w:rPr>
                <w:rFonts w:ascii="Arial" w:cs="Arial" w:eastAsia="Arial" w:hAnsi="Arial"/>
                <w:sz w:val="16"/>
                <w:szCs w:val="16"/>
                <w:color w:val="auto"/>
              </w:rPr>
              <w:t>MFG</w:t>
            </w:r>
          </w:p>
        </w:tc>
        <w:tc>
          <w:tcPr>
            <w:tcW w:w="140" w:type="dxa"/>
            <w:vAlign w:val="bottom"/>
          </w:tcPr>
          <w:p>
            <w:pPr>
              <w:spacing w:after="0"/>
              <w:rPr>
                <w:sz w:val="19"/>
                <w:szCs w:val="19"/>
                <w:color w:val="auto"/>
              </w:rPr>
            </w:pPr>
          </w:p>
        </w:tc>
        <w:tc>
          <w:tcPr>
            <w:tcW w:w="640" w:type="dxa"/>
            <w:vAlign w:val="bottom"/>
          </w:tcPr>
          <w:p>
            <w:pPr>
              <w:jc w:val="right"/>
              <w:ind w:right="43"/>
              <w:spacing w:after="0"/>
              <w:rPr>
                <w:sz w:val="20"/>
                <w:szCs w:val="20"/>
                <w:color w:val="auto"/>
              </w:rPr>
            </w:pPr>
            <w:r>
              <w:rPr>
                <w:rFonts w:ascii="Arial" w:cs="Arial" w:eastAsia="Arial" w:hAnsi="Arial"/>
                <w:sz w:val="16"/>
                <w:szCs w:val="16"/>
                <w:color w:val="auto"/>
              </w:rPr>
              <w:t>368.4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26.3</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8 %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342.1</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w w:val="95"/>
              </w:rPr>
              <w:t>Up due to increases in revenue from MFG Collections,</w:t>
            </w:r>
          </w:p>
        </w:tc>
        <w:tc>
          <w:tcPr>
            <w:tcW w:w="0" w:type="dxa"/>
            <w:vAlign w:val="bottom"/>
          </w:tcPr>
          <w:p>
            <w:pPr>
              <w:spacing w:after="0"/>
              <w:rPr>
                <w:sz w:val="1"/>
                <w:szCs w:val="1"/>
                <w:color w:val="auto"/>
              </w:rPr>
            </w:pPr>
          </w:p>
        </w:tc>
      </w:tr>
      <w:tr>
        <w:trPr>
          <w:trHeight w:val="206"/>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rPr>
              <w:t>EBAs, and Fusion360.</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M&amp;E</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9.6</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96.3</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Up due to increases in revenue from M&amp;E Collections,</w:t>
            </w:r>
          </w:p>
        </w:tc>
        <w:tc>
          <w:tcPr>
            <w:tcW w:w="0" w:type="dxa"/>
            <w:vAlign w:val="bottom"/>
          </w:tcPr>
          <w:p>
            <w:pPr>
              <w:spacing w:after="0"/>
              <w:rPr>
                <w:sz w:val="1"/>
                <w:szCs w:val="1"/>
                <w:color w:val="auto"/>
              </w:rPr>
            </w:pPr>
          </w:p>
        </w:tc>
      </w:tr>
      <w:tr>
        <w:trPr>
          <w:trHeight w:val="219"/>
        </w:trPr>
        <w:tc>
          <w:tcPr>
            <w:tcW w:w="3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Maya, 3DS Max and EBAs.</w:t>
            </w:r>
          </w:p>
        </w:tc>
        <w:tc>
          <w:tcPr>
            <w:tcW w:w="0" w:type="dxa"/>
            <w:vAlign w:val="bottom"/>
          </w:tcPr>
          <w:p>
            <w:pPr>
              <w:spacing w:after="0"/>
              <w:rPr>
                <w:sz w:val="1"/>
                <w:szCs w:val="1"/>
                <w:color w:val="auto"/>
              </w:rPr>
            </w:pPr>
          </w:p>
        </w:tc>
      </w:tr>
      <w:tr>
        <w:trPr>
          <w:trHeight w:val="223"/>
        </w:trPr>
        <w:tc>
          <w:tcPr>
            <w:tcW w:w="3580" w:type="dxa"/>
            <w:vAlign w:val="bottom"/>
          </w:tcPr>
          <w:p>
            <w:pPr>
              <w:ind w:left="38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9"/>
                <w:szCs w:val="19"/>
                <w:color w:val="auto"/>
              </w:rPr>
            </w:pPr>
          </w:p>
        </w:tc>
        <w:tc>
          <w:tcPr>
            <w:tcW w:w="640" w:type="dxa"/>
            <w:vAlign w:val="bottom"/>
          </w:tcPr>
          <w:p>
            <w:pPr>
              <w:jc w:val="right"/>
              <w:ind w:right="43"/>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(0.2)</w:t>
            </w: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58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7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ind w:right="43"/>
              <w:spacing w:after="0"/>
              <w:rPr>
                <w:sz w:val="20"/>
                <w:szCs w:val="20"/>
                <w:color w:val="auto"/>
              </w:rPr>
            </w:pPr>
            <w:r>
              <w:rPr>
                <w:rFonts w:ascii="Arial" w:cs="Arial" w:eastAsia="Arial" w:hAnsi="Arial"/>
                <w:sz w:val="16"/>
                <w:szCs w:val="16"/>
                <w:color w:val="auto"/>
                <w:w w:val="95"/>
              </w:rPr>
              <w:t>$ 1,798.8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266.5</w:t>
            </w: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1,532.3</w:t>
            </w:r>
          </w:p>
        </w:tc>
        <w:tc>
          <w:tcPr>
            <w:tcW w:w="10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557" w:right="339" w:bottom="1440" w:gutter="0" w:footer="0" w:header="0"/>
        </w:sectPr>
      </w:pPr>
    </w:p>
    <w:bookmarkStart w:id="35" w:name="page36"/>
    <w:bookmarkEnd w:id="35"/>
    <w:p>
      <w:pPr>
        <w:ind w:left="220"/>
        <w:spacing w:after="0"/>
        <w:rPr>
          <w:sz w:val="20"/>
          <w:szCs w:val="20"/>
          <w:color w:val="auto"/>
        </w:rPr>
      </w:pPr>
      <w:r>
        <w:rPr>
          <w:rFonts w:ascii="Arial" w:cs="Arial" w:eastAsia="Arial" w:hAnsi="Arial"/>
          <w:sz w:val="18"/>
          <w:szCs w:val="18"/>
          <w:i w:val="1"/>
          <w:iCs w:val="1"/>
          <w:color w:val="auto"/>
        </w:rPr>
        <w:t>Net Revenue by Geographic Area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 except percentages)</w:t>
      </w:r>
    </w:p>
    <w:p>
      <w:pPr>
        <w:spacing w:after="0" w:line="50" w:lineRule="exact"/>
        <w:rPr>
          <w:sz w:val="20"/>
          <w:szCs w:val="20"/>
          <w:color w:val="auto"/>
        </w:rPr>
      </w:pPr>
    </w:p>
    <w:p>
      <w:pPr>
        <w:jc w:val="center"/>
        <w:ind w:right="3040"/>
        <w:spacing w:after="0"/>
        <w:rPr>
          <w:sz w:val="20"/>
          <w:szCs w:val="20"/>
          <w:color w:val="auto"/>
        </w:rPr>
      </w:pPr>
      <w:r>
        <w:rPr>
          <w:rFonts w:ascii="Arial" w:cs="Arial" w:eastAsia="Arial" w:hAnsi="Arial"/>
          <w:sz w:val="15"/>
          <w:szCs w:val="15"/>
          <w:color w:val="auto"/>
        </w:rPr>
        <w:t>Net Revenue:</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Americas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Americas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Americas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EMEA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APAC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Net Revenue</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Emerging Economies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 except percentages)</w:t>
      </w:r>
    </w:p>
    <w:p>
      <w:pPr>
        <w:spacing w:after="0" w:line="77" w:lineRule="exact"/>
        <w:rPr>
          <w:sz w:val="20"/>
          <w:szCs w:val="20"/>
          <w:color w:val="auto"/>
        </w:rPr>
      </w:pPr>
    </w:p>
    <w:p>
      <w:pPr>
        <w:jc w:val="center"/>
        <w:ind w:right="3040"/>
        <w:spacing w:after="0"/>
        <w:rPr>
          <w:sz w:val="20"/>
          <w:szCs w:val="20"/>
          <w:color w:val="auto"/>
        </w:rPr>
      </w:pPr>
      <w:r>
        <w:rPr>
          <w:rFonts w:ascii="Arial" w:cs="Arial" w:eastAsia="Arial" w:hAnsi="Arial"/>
          <w:sz w:val="15"/>
          <w:szCs w:val="15"/>
          <w:color w:val="auto"/>
        </w:rPr>
        <w:t>Net Revenue:</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Americas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Americas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Americas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EMEA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APAC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Net Revenue</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Emerging Economies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4"/>
          <w:szCs w:val="14"/>
          <w:color w:val="auto"/>
        </w:rPr>
        <w:t>* Constant currency data not provided at this level.</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Change compared to</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 currency</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6"/>
                <w:szCs w:val="16"/>
                <w:color w:val="auto"/>
              </w:rPr>
            </w:pPr>
          </w:p>
        </w:tc>
        <w:tc>
          <w:tcPr>
            <w:tcW w:w="1540" w:type="dxa"/>
            <w:vAlign w:val="bottom"/>
            <w:gridSpan w:val="4"/>
          </w:tcPr>
          <w:p>
            <w:pPr>
              <w:ind w:left="40"/>
              <w:spacing w:after="0"/>
              <w:rPr>
                <w:sz w:val="20"/>
                <w:szCs w:val="20"/>
                <w:color w:val="auto"/>
              </w:rPr>
            </w:pPr>
            <w:r>
              <w:rPr>
                <w:rFonts w:ascii="Arial" w:cs="Arial" w:eastAsia="Arial" w:hAnsi="Arial"/>
                <w:sz w:val="14"/>
                <w:szCs w:val="14"/>
                <w:b w:val="1"/>
                <w:bCs w:val="1"/>
                <w:color w:val="auto"/>
              </w:rPr>
              <w:t>prior fiscal year</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71"/>
        </w:trPr>
        <w:tc>
          <w:tcPr>
            <w:tcW w:w="1540" w:type="dxa"/>
            <w:vAlign w:val="bottom"/>
            <w:gridSpan w:val="2"/>
            <w:vMerge w:val="continue"/>
          </w:tcPr>
          <w:p>
            <w:pPr>
              <w:spacing w:after="0"/>
              <w:rPr>
                <w:sz w:val="6"/>
                <w:szCs w:val="6"/>
                <w:color w:val="auto"/>
              </w:rPr>
            </w:pPr>
          </w:p>
        </w:tc>
        <w:tc>
          <w:tcPr>
            <w:tcW w:w="400" w:type="dxa"/>
            <w:vAlign w:val="bottom"/>
            <w:tcBorders>
              <w:top w:val="single" w:sz="8" w:color="auto"/>
            </w:tcBorders>
            <w:vMerge w:val="restart"/>
          </w:tcPr>
          <w:p>
            <w:pPr>
              <w:ind w:left="280"/>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vMerge w:val="restart"/>
          </w:tcPr>
          <w:p>
            <w:pPr>
              <w:spacing w:after="0"/>
              <w:rPr>
                <w:sz w:val="6"/>
                <w:szCs w:val="6"/>
                <w:color w:val="auto"/>
              </w:rPr>
            </w:pPr>
          </w:p>
        </w:tc>
        <w:tc>
          <w:tcPr>
            <w:tcW w:w="100" w:type="dxa"/>
            <w:vAlign w:val="bottom"/>
            <w:tcBorders>
              <w:top w:val="single" w:sz="8" w:color="auto"/>
            </w:tcBorders>
            <w:vMerge w:val="restart"/>
          </w:tcPr>
          <w:p>
            <w:pPr>
              <w:spacing w:after="0"/>
              <w:rPr>
                <w:sz w:val="6"/>
                <w:szCs w:val="6"/>
                <w:color w:val="auto"/>
              </w:rPr>
            </w:pPr>
          </w:p>
        </w:tc>
        <w:tc>
          <w:tcPr>
            <w:tcW w:w="940" w:type="dxa"/>
            <w:vAlign w:val="bottom"/>
            <w:tcBorders>
              <w:top w:val="single" w:sz="8" w:color="auto"/>
            </w:tcBorders>
            <w:vMerge w:val="restart"/>
          </w:tcPr>
          <w:p>
            <w:pPr>
              <w:jc w:val="right"/>
              <w:ind w:right="3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6"/>
                <w:szCs w:val="6"/>
                <w:color w:val="auto"/>
              </w:rPr>
            </w:pPr>
          </w:p>
        </w:tc>
        <w:tc>
          <w:tcPr>
            <w:tcW w:w="1620" w:type="dxa"/>
            <w:vAlign w:val="bottom"/>
            <w:tcBorders>
              <w:top w:val="single" w:sz="8" w:color="auto"/>
            </w:tcBorders>
            <w:vMerge w:val="restart"/>
          </w:tcPr>
          <w:p>
            <w:pPr>
              <w:jc w:val="right"/>
              <w:ind w:right="7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July 31, 2020</w:t>
            </w:r>
          </w:p>
        </w:tc>
        <w:tc>
          <w:tcPr>
            <w:tcW w:w="10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Ended July 31,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-7620</wp:posOffset>
            </wp:positionV>
            <wp:extent cx="7132320"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342900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41.6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16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267.9</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4.0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16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371.5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45.6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325.9</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354.7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38.5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316.2</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186.9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32.2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913.1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116.3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796.8</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113.7</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16.3</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483"/>
        </w:trPr>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0"/>
              </w:rPr>
              <w:t>Change compared to</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Constant currency</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6"/>
                <w:szCs w:val="16"/>
                <w:color w:val="auto"/>
              </w:rPr>
            </w:pPr>
          </w:p>
        </w:tc>
        <w:tc>
          <w:tcPr>
            <w:tcW w:w="17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prior fiscal year</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prior fiscal year</w:t>
            </w:r>
          </w:p>
        </w:tc>
        <w:tc>
          <w:tcPr>
            <w:tcW w:w="13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71"/>
        </w:trPr>
        <w:tc>
          <w:tcPr>
            <w:tcW w:w="1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vMerge w:val="restart"/>
          </w:tcPr>
          <w:p>
            <w:pPr>
              <w:jc w:val="right"/>
              <w:ind w:right="341"/>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vMerge w:val="restart"/>
          </w:tcPr>
          <w:p>
            <w:pPr>
              <w:spacing w:after="0"/>
              <w:rPr>
                <w:sz w:val="6"/>
                <w:szCs w:val="6"/>
                <w:color w:val="auto"/>
              </w:rPr>
            </w:pPr>
          </w:p>
        </w:tc>
        <w:tc>
          <w:tcPr>
            <w:tcW w:w="940" w:type="dxa"/>
            <w:vAlign w:val="bottom"/>
            <w:tcBorders>
              <w:top w:val="single" w:sz="8" w:color="auto"/>
            </w:tcBorders>
            <w:vMerge w:val="restart"/>
          </w:tcPr>
          <w:p>
            <w:pPr>
              <w:jc w:val="right"/>
              <w:ind w:right="3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6"/>
                <w:szCs w:val="6"/>
                <w:color w:val="auto"/>
              </w:rPr>
            </w:pPr>
          </w:p>
        </w:tc>
        <w:tc>
          <w:tcPr>
            <w:tcW w:w="1620" w:type="dxa"/>
            <w:vAlign w:val="bottom"/>
            <w:tcBorders>
              <w:top w:val="single" w:sz="8" w:color="auto"/>
            </w:tcBorders>
            <w:vMerge w:val="restart"/>
          </w:tcPr>
          <w:p>
            <w:pPr>
              <w:jc w:val="right"/>
              <w:ind w:right="74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July 31, 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9"/>
              </w:rPr>
              <w:t>July 31, 2019</w:t>
            </w:r>
          </w:p>
        </w:tc>
        <w:tc>
          <w:tcPr>
            <w:tcW w:w="0" w:type="dxa"/>
            <w:vAlign w:val="bottom"/>
          </w:tcPr>
          <w:p>
            <w:pPr>
              <w:spacing w:after="0"/>
              <w:rPr>
                <w:sz w:val="1"/>
                <w:szCs w:val="1"/>
                <w:color w:val="auto"/>
              </w:rPr>
            </w:pPr>
          </w:p>
        </w:tc>
      </w:tr>
      <w:tr>
        <w:trPr>
          <w:trHeight w:val="777"/>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610.1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93.1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4"/>
                <w:szCs w:val="24"/>
                <w:color w:val="auto"/>
              </w:rPr>
            </w:pPr>
          </w:p>
        </w:tc>
        <w:tc>
          <w:tcPr>
            <w:tcW w:w="16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517.0</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18.9</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16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104.7</w:t>
            </w: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733.7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112</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621.7</w:t>
            </w: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699.5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86.1</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613.4</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365.6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68.4</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297.2</w:t>
            </w: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1,798.8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266.5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1,532.3</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225.1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39.8</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185.3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-3501390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-3158490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-2807335</wp:posOffset>
            </wp:positionV>
            <wp:extent cx="713232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-1744345</wp:posOffset>
            </wp:positionV>
            <wp:extent cx="713232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-1393190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-1050290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-707390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-355600</wp:posOffset>
            </wp:positionV>
            <wp:extent cx="713232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609" w:lineRule="exact"/>
        <w:rPr>
          <w:sz w:val="20"/>
          <w:szCs w:val="20"/>
          <w:color w:val="auto"/>
        </w:rPr>
      </w:pPr>
    </w:p>
    <w:p>
      <w:pPr>
        <w:sectPr>
          <w:pgSz w:w="11900" w:h="16838" w:orient="portrait"/>
          <w:cols w:equalWidth="0" w:num="2">
            <w:col w:w="3980" w:space="720"/>
            <w:col w:w="6540"/>
          </w:cols>
          <w:pgMar w:left="320" w:top="557" w:right="339" w:bottom="1440" w:gutter="0" w:footer="0" w:header="0"/>
        </w:sectPr>
      </w:pPr>
    </w:p>
    <w:p>
      <w:pPr>
        <w:spacing w:after="0" w:line="3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believe that international revenue will continue to comprise a majority of our net revenue. Unfavorable economic conditions in the countries that contribute a significant portion of our net revenue, including in emerging economies such as 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or protectionism in the global market may impact our future financial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557" w:right="339" w:bottom="1440" w:gutter="0" w:footer="0" w:header="0"/>
          <w:type w:val="continuous"/>
        </w:sectPr>
      </w:pPr>
    </w:p>
    <w:bookmarkStart w:id="36" w:name="page37"/>
    <w:bookmarkEnd w:id="36"/>
    <w:p>
      <w:pPr>
        <w:ind w:left="260"/>
        <w:spacing w:after="0"/>
        <w:rPr>
          <w:sz w:val="20"/>
          <w:szCs w:val="20"/>
          <w:color w:val="auto"/>
        </w:rPr>
      </w:pPr>
      <w:r>
        <w:rPr>
          <w:rFonts w:ascii="Arial" w:cs="Arial" w:eastAsia="Arial" w:hAnsi="Arial"/>
          <w:sz w:val="18"/>
          <w:szCs w:val="18"/>
          <w:i w:val="1"/>
          <w:iCs w:val="1"/>
          <w:color w:val="auto"/>
        </w:rPr>
        <w:t>Net Revenue by Sales Channel</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Three</w:t>
            </w:r>
          </w:p>
        </w:tc>
        <w:tc>
          <w:tcPr>
            <w:tcW w:w="220" w:type="dxa"/>
            <w:vAlign w:val="bottom"/>
          </w:tcPr>
          <w:p>
            <w:pPr>
              <w:spacing w:after="0"/>
              <w:rPr>
                <w:sz w:val="14"/>
                <w:szCs w:val="14"/>
                <w:color w:val="auto"/>
              </w:rPr>
            </w:pPr>
          </w:p>
        </w:tc>
        <w:tc>
          <w:tcPr>
            <w:tcW w:w="182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1"/>
              </w:rPr>
              <w:t>Change compared to</w:t>
            </w:r>
          </w:p>
        </w:tc>
        <w:tc>
          <w:tcPr>
            <w:tcW w:w="160" w:type="dxa"/>
            <w:vAlign w:val="bottom"/>
          </w:tcPr>
          <w:p>
            <w:pPr>
              <w:spacing w:after="0"/>
              <w:rPr>
                <w:sz w:val="14"/>
                <w:szCs w:val="14"/>
                <w:color w:val="auto"/>
              </w:rPr>
            </w:pPr>
          </w:p>
        </w:tc>
        <w:tc>
          <w:tcPr>
            <w:tcW w:w="720" w:type="dxa"/>
            <w:vAlign w:val="bottom"/>
          </w:tcPr>
          <w:p>
            <w:pPr>
              <w:jc w:val="center"/>
              <w:ind w:right="83"/>
              <w:spacing w:after="0"/>
              <w:rPr>
                <w:sz w:val="20"/>
                <w:szCs w:val="20"/>
                <w:color w:val="auto"/>
              </w:rPr>
            </w:pPr>
            <w:r>
              <w:rPr>
                <w:rFonts w:ascii="Arial" w:cs="Arial" w:eastAsia="Arial" w:hAnsi="Arial"/>
                <w:sz w:val="14"/>
                <w:szCs w:val="14"/>
                <w:b w:val="1"/>
                <w:bCs w:val="1"/>
                <w:color w:val="auto"/>
                <w:w w:val="94"/>
              </w:rPr>
              <w:t>Three</w:t>
            </w:r>
          </w:p>
        </w:tc>
        <w:tc>
          <w:tcPr>
            <w:tcW w:w="1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Months</w:t>
            </w:r>
          </w:p>
        </w:tc>
        <w:tc>
          <w:tcPr>
            <w:tcW w:w="220" w:type="dxa"/>
            <w:vAlign w:val="bottom"/>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6"/>
              </w:rPr>
              <w:t>Months</w:t>
            </w:r>
          </w:p>
        </w:tc>
        <w:tc>
          <w:tcPr>
            <w:tcW w:w="1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3"/>
              </w:rPr>
              <w:t>prior fiscal year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July 31,</w:t>
            </w:r>
          </w:p>
        </w:tc>
        <w:tc>
          <w:tcPr>
            <w:tcW w:w="220" w:type="dxa"/>
            <w:vAlign w:val="bottom"/>
          </w:tcPr>
          <w:p>
            <w:pPr>
              <w:spacing w:after="0"/>
              <w:rPr>
                <w:sz w:val="13"/>
                <w:szCs w:val="13"/>
                <w:color w:val="auto"/>
              </w:rPr>
            </w:pPr>
          </w:p>
        </w:tc>
        <w:tc>
          <w:tcPr>
            <w:tcW w:w="66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July 31, 2019</w:t>
            </w:r>
          </w:p>
        </w:tc>
        <w:tc>
          <w:tcPr>
            <w:tcW w:w="100" w:type="dxa"/>
            <w:vAlign w:val="bottom"/>
          </w:tcPr>
          <w:p>
            <w:pPr>
              <w:spacing w:after="0"/>
              <w:rPr>
                <w:sz w:val="13"/>
                <w:szCs w:val="13"/>
                <w:color w:val="auto"/>
              </w:rPr>
            </w:pPr>
          </w:p>
        </w:tc>
        <w:tc>
          <w:tcPr>
            <w:tcW w:w="370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2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120" w:type="dxa"/>
            <w:vAlign w:val="bottom"/>
          </w:tcPr>
          <w:p>
            <w:pPr>
              <w:spacing w:after="0"/>
              <w:rPr>
                <w:sz w:val="16"/>
                <w:szCs w:val="16"/>
                <w:color w:val="auto"/>
              </w:rPr>
            </w:pPr>
          </w:p>
        </w:tc>
        <w:tc>
          <w:tcPr>
            <w:tcW w:w="660" w:type="dxa"/>
            <w:vAlign w:val="bottom"/>
          </w:tcPr>
          <w:p>
            <w:pPr>
              <w:jc w:val="center"/>
              <w:ind w:right="44"/>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Sales Channel:</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620" w:type="dxa"/>
            <w:vAlign w:val="bottom"/>
          </w:tcPr>
          <w:p>
            <w:pPr>
              <w:ind w:left="360"/>
              <w:spacing w:after="0"/>
              <w:rPr>
                <w:sz w:val="20"/>
                <w:szCs w:val="20"/>
                <w:color w:val="auto"/>
              </w:rPr>
            </w:pPr>
            <w:r>
              <w:rPr>
                <w:rFonts w:ascii="Arial" w:cs="Arial" w:eastAsia="Arial" w:hAnsi="Arial"/>
                <w:sz w:val="16"/>
                <w:szCs w:val="16"/>
                <w:color w:val="auto"/>
              </w:rPr>
              <w:t>Indirect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4"/>
              <w:spacing w:after="0"/>
              <w:rPr>
                <w:sz w:val="20"/>
                <w:szCs w:val="20"/>
                <w:color w:val="auto"/>
              </w:rPr>
            </w:pPr>
            <w:r>
              <w:rPr>
                <w:rFonts w:ascii="Arial" w:cs="Arial" w:eastAsia="Arial" w:hAnsi="Arial"/>
                <w:sz w:val="16"/>
                <w:szCs w:val="16"/>
                <w:color w:val="auto"/>
              </w:rPr>
              <w:t>639.3</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4"/>
              <w:spacing w:after="0"/>
              <w:rPr>
                <w:sz w:val="20"/>
                <w:szCs w:val="20"/>
                <w:color w:val="auto"/>
              </w:rPr>
            </w:pPr>
            <w:r>
              <w:rPr>
                <w:rFonts w:ascii="Arial" w:cs="Arial" w:eastAsia="Arial" w:hAnsi="Arial"/>
                <w:sz w:val="16"/>
                <w:szCs w:val="16"/>
                <w:color w:val="auto"/>
              </w:rPr>
              <w:t>79.1</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560.2</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w w:val="93"/>
              </w:rPr>
              <w:t>Up due to an increase in subscription revenue offset by</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w w:val="92"/>
              </w:rPr>
              <w:t>lower maintenance plan subscriptions as we continue to</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w w:val="98"/>
              </w:rPr>
              <w:t>migrate customers to subscriptions through the M2S</w:t>
            </w:r>
          </w:p>
        </w:tc>
        <w:tc>
          <w:tcPr>
            <w:tcW w:w="0" w:type="dxa"/>
            <w:vAlign w:val="bottom"/>
          </w:tcPr>
          <w:p>
            <w:pPr>
              <w:spacing w:after="0"/>
              <w:rPr>
                <w:sz w:val="1"/>
                <w:szCs w:val="1"/>
                <w:color w:val="auto"/>
              </w:rPr>
            </w:pPr>
          </w:p>
        </w:tc>
      </w:tr>
      <w:tr>
        <w:trPr>
          <w:trHeight w:val="206"/>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rPr>
              <w:t>program.</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Direct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273.8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37.2</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236.6</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Up due to an increase in EBAs and our online Autodesk</w:t>
            </w:r>
          </w:p>
        </w:tc>
        <w:tc>
          <w:tcPr>
            <w:tcW w:w="0" w:type="dxa"/>
            <w:vAlign w:val="bottom"/>
          </w:tcPr>
          <w:p>
            <w:pPr>
              <w:spacing w:after="0"/>
              <w:rPr>
                <w:sz w:val="1"/>
                <w:szCs w:val="1"/>
                <w:color w:val="auto"/>
              </w:rPr>
            </w:pPr>
          </w:p>
        </w:tc>
      </w:tr>
      <w:tr>
        <w:trPr>
          <w:trHeight w:val="239"/>
        </w:trPr>
        <w:tc>
          <w:tcPr>
            <w:tcW w:w="3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branded store.</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6"/>
                <w:szCs w:val="16"/>
                <w:color w:val="auto"/>
              </w:rPr>
              <w:t>Total Net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913.1</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116.3</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796.8</w:t>
            </w:r>
          </w:p>
        </w:tc>
        <w:tc>
          <w:tcPr>
            <w:tcW w:w="1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620" w:type="dxa"/>
            <w:vAlign w:val="bottom"/>
          </w:tcPr>
          <w:p>
            <w:pPr>
              <w:spacing w:after="0"/>
              <w:rPr>
                <w:sz w:val="24"/>
                <w:szCs w:val="2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Six Months</w:t>
            </w:r>
          </w:p>
        </w:tc>
        <w:tc>
          <w:tcPr>
            <w:tcW w:w="220" w:type="dxa"/>
            <w:vAlign w:val="bottom"/>
          </w:tcPr>
          <w:p>
            <w:pPr>
              <w:spacing w:after="0"/>
              <w:rPr>
                <w:sz w:val="24"/>
                <w:szCs w:val="24"/>
                <w:color w:val="auto"/>
              </w:rPr>
            </w:pPr>
          </w:p>
        </w:tc>
        <w:tc>
          <w:tcPr>
            <w:tcW w:w="18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Change compared to</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w:t>
            </w: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3"/>
              </w:rPr>
              <w:t>prior fiscal year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July 31,</w:t>
            </w:r>
          </w:p>
        </w:tc>
        <w:tc>
          <w:tcPr>
            <w:tcW w:w="220" w:type="dxa"/>
            <w:vAlign w:val="bottom"/>
          </w:tcPr>
          <w:p>
            <w:pPr>
              <w:spacing w:after="0"/>
              <w:rPr>
                <w:sz w:val="13"/>
                <w:szCs w:val="13"/>
                <w:color w:val="auto"/>
              </w:rPr>
            </w:pPr>
          </w:p>
        </w:tc>
        <w:tc>
          <w:tcPr>
            <w:tcW w:w="660" w:type="dxa"/>
            <w:vAlign w:val="bottom"/>
            <w:vMerge w:val="restart"/>
          </w:tcPr>
          <w:p>
            <w:pPr>
              <w:jc w:val="right"/>
              <w:ind w:right="324"/>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July 31, 2019</w:t>
            </w:r>
          </w:p>
        </w:tc>
        <w:tc>
          <w:tcPr>
            <w:tcW w:w="100" w:type="dxa"/>
            <w:vAlign w:val="bottom"/>
          </w:tcPr>
          <w:p>
            <w:pPr>
              <w:spacing w:after="0"/>
              <w:rPr>
                <w:sz w:val="13"/>
                <w:szCs w:val="13"/>
                <w:color w:val="auto"/>
              </w:rPr>
            </w:pPr>
          </w:p>
        </w:tc>
        <w:tc>
          <w:tcPr>
            <w:tcW w:w="370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44"/>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Sales Channel:</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620" w:type="dxa"/>
            <w:vAlign w:val="bottom"/>
          </w:tcPr>
          <w:p>
            <w:pPr>
              <w:ind w:left="360"/>
              <w:spacing w:after="0"/>
              <w:rPr>
                <w:sz w:val="20"/>
                <w:szCs w:val="20"/>
                <w:color w:val="auto"/>
              </w:rPr>
            </w:pPr>
            <w:r>
              <w:rPr>
                <w:rFonts w:ascii="Arial" w:cs="Arial" w:eastAsia="Arial" w:hAnsi="Arial"/>
                <w:sz w:val="16"/>
                <w:szCs w:val="16"/>
                <w:color w:val="auto"/>
              </w:rPr>
              <w:t>Indirect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4"/>
              <w:spacing w:after="0"/>
              <w:rPr>
                <w:sz w:val="20"/>
                <w:szCs w:val="20"/>
                <w:color w:val="auto"/>
              </w:rPr>
            </w:pPr>
            <w:r>
              <w:rPr>
                <w:rFonts w:ascii="Arial" w:cs="Arial" w:eastAsia="Arial" w:hAnsi="Arial"/>
                <w:sz w:val="16"/>
                <w:szCs w:val="16"/>
                <w:color w:val="auto"/>
              </w:rPr>
              <w:t>1,262.7</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4"/>
              <w:spacing w:after="0"/>
              <w:rPr>
                <w:sz w:val="20"/>
                <w:szCs w:val="20"/>
                <w:color w:val="auto"/>
              </w:rPr>
            </w:pPr>
            <w:r>
              <w:rPr>
                <w:rFonts w:ascii="Arial" w:cs="Arial" w:eastAsia="Arial" w:hAnsi="Arial"/>
                <w:sz w:val="16"/>
                <w:szCs w:val="16"/>
                <w:color w:val="auto"/>
              </w:rPr>
              <w:t>186.1</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1,076.6</w:t>
            </w:r>
          </w:p>
        </w:tc>
        <w:tc>
          <w:tcPr>
            <w:tcW w:w="100" w:type="dxa"/>
            <w:vAlign w:val="bottom"/>
          </w:tcPr>
          <w:p>
            <w:pPr>
              <w:spacing w:after="0"/>
              <w:rPr>
                <w:sz w:val="19"/>
                <w:szCs w:val="19"/>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w w:val="93"/>
              </w:rPr>
              <w:t>Up due to an increase in subscription revenue offset by</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w w:val="92"/>
              </w:rPr>
              <w:t>lower maintenance plan subscriptions as we continue to</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w w:val="98"/>
              </w:rPr>
              <w:t>migrate customers to subscriptions through the M2S</w:t>
            </w:r>
          </w:p>
        </w:tc>
        <w:tc>
          <w:tcPr>
            <w:tcW w:w="0" w:type="dxa"/>
            <w:vAlign w:val="bottom"/>
          </w:tcPr>
          <w:p>
            <w:pPr>
              <w:spacing w:after="0"/>
              <w:rPr>
                <w:sz w:val="1"/>
                <w:szCs w:val="1"/>
                <w:color w:val="auto"/>
              </w:rPr>
            </w:pPr>
          </w:p>
        </w:tc>
      </w:tr>
      <w:tr>
        <w:trPr>
          <w:trHeight w:val="206"/>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rPr>
              <w:t>program.</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Direct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536.1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80.4</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455.7</w:t>
            </w:r>
          </w:p>
        </w:tc>
        <w:tc>
          <w:tcPr>
            <w:tcW w:w="100" w:type="dxa"/>
            <w:vAlign w:val="bottom"/>
            <w:shd w:val="clear" w:color="auto" w:fill="CCEEFF"/>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Up due to an increase in EBAs and our online Autodesk</w:t>
            </w:r>
          </w:p>
        </w:tc>
        <w:tc>
          <w:tcPr>
            <w:tcW w:w="0" w:type="dxa"/>
            <w:vAlign w:val="bottom"/>
          </w:tcPr>
          <w:p>
            <w:pPr>
              <w:spacing w:after="0"/>
              <w:rPr>
                <w:sz w:val="1"/>
                <w:szCs w:val="1"/>
                <w:color w:val="auto"/>
              </w:rPr>
            </w:pPr>
          </w:p>
        </w:tc>
      </w:tr>
      <w:tr>
        <w:trPr>
          <w:trHeight w:val="239"/>
        </w:trPr>
        <w:tc>
          <w:tcPr>
            <w:tcW w:w="3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branded store.</w:t>
            </w:r>
          </w:p>
        </w:tc>
        <w:tc>
          <w:tcPr>
            <w:tcW w:w="0" w:type="dxa"/>
            <w:vAlign w:val="bottom"/>
          </w:tcPr>
          <w:p>
            <w:pPr>
              <w:spacing w:after="0"/>
              <w:rPr>
                <w:sz w:val="1"/>
                <w:szCs w:val="1"/>
                <w:color w:val="auto"/>
              </w:rPr>
            </w:pPr>
          </w:p>
        </w:tc>
      </w:tr>
      <w:tr>
        <w:trPr>
          <w:trHeight w:val="244"/>
        </w:trPr>
        <w:tc>
          <w:tcPr>
            <w:tcW w:w="3620" w:type="dxa"/>
            <w:vAlign w:val="bottom"/>
          </w:tcPr>
          <w:p>
            <w:pPr>
              <w:ind w:left="40"/>
              <w:spacing w:after="0"/>
              <w:rPr>
                <w:sz w:val="20"/>
                <w:szCs w:val="20"/>
                <w:color w:val="auto"/>
              </w:rPr>
            </w:pPr>
            <w:r>
              <w:rPr>
                <w:rFonts w:ascii="Arial" w:cs="Arial" w:eastAsia="Arial" w:hAnsi="Arial"/>
                <w:sz w:val="16"/>
                <w:szCs w:val="16"/>
                <w:color w:val="auto"/>
              </w:rPr>
              <w:t>Total Net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1,798.8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266.5</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1,532.3</w:t>
            </w:r>
          </w:p>
        </w:tc>
        <w:tc>
          <w:tcPr>
            <w:tcW w:w="1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 and Operating Expenses</w:t>
      </w:r>
    </w:p>
    <w:p>
      <w:pPr>
        <w:spacing w:after="0" w:line="225"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Cost of subscription and maintenance revenue includes the labor costs of providing product support to our subscription and maintenance customers, including allocated IT and facilities costs, professional services fees related to operating our network and cloud infrastructure, royalties, depreciation expense and operating lease payments associated with computer equipment, data center costs, salaries, related expenses of network operations, stock-based compensation expense and gains and losses on our operating expense cash flow hedges.</w:t>
      </w:r>
    </w:p>
    <w:p>
      <w:pPr>
        <w:spacing w:after="0" w:line="171" w:lineRule="exact"/>
        <w:rPr>
          <w:sz w:val="20"/>
          <w:szCs w:val="20"/>
          <w:color w:val="auto"/>
        </w:rPr>
      </w:pPr>
    </w:p>
    <w:p>
      <w:pPr>
        <w:jc w:val="both"/>
        <w:ind w:right="60" w:firstLine="432"/>
        <w:spacing w:after="0" w:line="263" w:lineRule="auto"/>
        <w:rPr>
          <w:sz w:val="20"/>
          <w:szCs w:val="20"/>
          <w:color w:val="auto"/>
        </w:rPr>
      </w:pPr>
      <w:r>
        <w:rPr>
          <w:rFonts w:ascii="Arial" w:cs="Arial" w:eastAsia="Arial" w:hAnsi="Arial"/>
          <w:sz w:val="18"/>
          <w:szCs w:val="18"/>
          <w:color w:val="auto"/>
        </w:rPr>
        <w:t>Cost of other revenue includes labor costs associated with product setup, costs of consulting and training services contracts, and collaborative project management services contracts. Cost of other revenue also includes stock-based compensation expense, overhead charges, allocated IT and facilities costs, professional services fees, and gains and losses on our operating expense cash flow hedges.</w:t>
      </w:r>
    </w:p>
    <w:p>
      <w:pPr>
        <w:spacing w:after="0" w:line="184" w:lineRule="exact"/>
        <w:rPr>
          <w:sz w:val="20"/>
          <w:szCs w:val="20"/>
          <w:color w:val="auto"/>
        </w:rPr>
      </w:pPr>
    </w:p>
    <w:p>
      <w:pPr>
        <w:ind w:right="560" w:firstLine="432"/>
        <w:spacing w:after="0" w:line="263" w:lineRule="auto"/>
        <w:rPr>
          <w:sz w:val="20"/>
          <w:szCs w:val="20"/>
          <w:color w:val="auto"/>
        </w:rPr>
      </w:pPr>
      <w:r>
        <w:rPr>
          <w:rFonts w:ascii="Arial" w:cs="Arial" w:eastAsia="Arial" w:hAnsi="Arial"/>
          <w:sz w:val="18"/>
          <w:szCs w:val="18"/>
          <w:color w:val="auto"/>
        </w:rPr>
        <w:t>Cost of revenue, at least over the near term, is affected by labor costs, the volume and mix of product sales, fluctuations in consulting costs, amortization of developed technology, new customer support offerings, royalty rates for licensed technology embedded in our products, stock-based compensation expense and gains and losses on our operating expense cash flow hedges.</w:t>
      </w:r>
    </w:p>
    <w:p>
      <w:pPr>
        <w:spacing w:after="0" w:line="18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Marketing and sales expenses include salaries, bonuses, benefits and stock-based compensation expense for our marketing and sales employees, the expense of travel, entertainment and training for such personnel, sales and dealer commissions, and the costs of programs aimed at increasing revenue, such as advertising, trade shows and expositions, and various sales and promotional programs. Marketing and sales expenses also include payment processing fees, the cost of supplies and equipment, gains and losses on our operating expense cash flow hedges, allocated IT and facilities costs, and labor costs associated with sales and order management.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557" w:right="339" w:bottom="1440" w:gutter="0" w:footer="0" w:header="0"/>
        </w:sectPr>
      </w:pPr>
    </w:p>
    <w:bookmarkStart w:id="37" w:name="page38"/>
    <w:bookmarkEnd w:id="37"/>
    <w:p>
      <w:pPr>
        <w:ind w:right="160" w:firstLine="432"/>
        <w:spacing w:after="0" w:line="259" w:lineRule="auto"/>
        <w:rPr>
          <w:sz w:val="20"/>
          <w:szCs w:val="20"/>
          <w:color w:val="auto"/>
        </w:rPr>
      </w:pPr>
      <w:r>
        <w:rPr>
          <w:rFonts w:ascii="Arial" w:cs="Arial" w:eastAsia="Arial" w:hAnsi="Arial"/>
          <w:sz w:val="18"/>
          <w:szCs w:val="18"/>
          <w:color w:val="auto"/>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gains and losses on our operating expense cash flow hedges, and allocated IT and facilities costs.</w:t>
      </w:r>
    </w:p>
    <w:p>
      <w:pPr>
        <w:spacing w:after="0" w:line="187"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General and administrative expenses include salaries, bonuses, benefits and stock-based compensation expense for our CEO, finance, human resources and legal employees, as well as professional fees for legal and accounting services, certain foreign business taxes, gains and losses on our operating expense cash flow hedges, expense of travel, entertainment and training, net IT and facilities costs, acquisition-related transition costs, and the cost of supplies and equipment.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15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1"/>
              </w:rPr>
              <w:t>Change compared to</w:t>
            </w:r>
          </w:p>
        </w:tc>
        <w:tc>
          <w:tcPr>
            <w:tcW w:w="120" w:type="dxa"/>
            <w:vAlign w:val="bottom"/>
          </w:tcPr>
          <w:p>
            <w:pPr>
              <w:spacing w:after="0"/>
              <w:rPr>
                <w:sz w:val="14"/>
                <w:szCs w:val="14"/>
                <w:color w:val="auto"/>
              </w:rPr>
            </w:pPr>
          </w:p>
        </w:tc>
        <w:tc>
          <w:tcPr>
            <w:tcW w:w="660" w:type="dxa"/>
            <w:vAlign w:val="bottom"/>
          </w:tcPr>
          <w:p>
            <w:pPr>
              <w:jc w:val="center"/>
              <w:ind w:right="42"/>
              <w:spacing w:after="0"/>
              <w:rPr>
                <w:sz w:val="20"/>
                <w:szCs w:val="20"/>
                <w:color w:val="auto"/>
              </w:rPr>
            </w:pPr>
            <w:r>
              <w:rPr>
                <w:rFonts w:ascii="Arial" w:cs="Arial" w:eastAsia="Arial" w:hAnsi="Arial"/>
                <w:sz w:val="14"/>
                <w:szCs w:val="14"/>
                <w:b w:val="1"/>
                <w:bCs w:val="1"/>
                <w:color w:val="auto"/>
                <w:w w:val="99"/>
              </w:rPr>
              <w:t>Three</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July 31,</w:t>
            </w:r>
          </w:p>
        </w:tc>
        <w:tc>
          <w:tcPr>
            <w:tcW w:w="120" w:type="dxa"/>
            <w:vAlign w:val="bottom"/>
          </w:tcPr>
          <w:p>
            <w:pPr>
              <w:spacing w:after="0"/>
              <w:rPr>
                <w:sz w:val="13"/>
                <w:szCs w:val="13"/>
                <w:color w:val="auto"/>
              </w:rPr>
            </w:pPr>
          </w:p>
        </w:tc>
        <w:tc>
          <w:tcPr>
            <w:tcW w:w="54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3"/>
              </w:rPr>
              <w:t>July 31,</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02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percentages)</w:t>
            </w:r>
          </w:p>
        </w:tc>
        <w:tc>
          <w:tcPr>
            <w:tcW w:w="120" w:type="dxa"/>
            <w:vAlign w:val="bottom"/>
          </w:tcPr>
          <w:p>
            <w:pPr>
              <w:spacing w:after="0"/>
              <w:rPr>
                <w:sz w:val="16"/>
                <w:szCs w:val="16"/>
                <w:color w:val="auto"/>
              </w:rPr>
            </w:pPr>
          </w:p>
        </w:tc>
        <w:tc>
          <w:tcPr>
            <w:tcW w:w="6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4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3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20" w:type="dxa"/>
            <w:vAlign w:val="bottom"/>
          </w:tcPr>
          <w:p>
            <w:pPr>
              <w:ind w:left="360"/>
              <w:spacing w:after="0"/>
              <w:rPr>
                <w:sz w:val="20"/>
                <w:szCs w:val="20"/>
                <w:color w:val="auto"/>
              </w:rPr>
            </w:pPr>
            <w:r>
              <w:rPr>
                <w:rFonts w:ascii="Arial" w:cs="Arial" w:eastAsia="Arial" w:hAnsi="Arial"/>
                <w:sz w:val="16"/>
                <w:szCs w:val="16"/>
                <w:color w:val="auto"/>
              </w:rPr>
              <w:t>Subscription and maintenance</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58.5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5.5</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9"/>
                <w:szCs w:val="19"/>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19"/>
                <w:szCs w:val="19"/>
                <w:color w:val="auto"/>
              </w:rPr>
            </w:pPr>
          </w:p>
        </w:tc>
        <w:tc>
          <w:tcPr>
            <w:tcW w:w="4820" w:type="dxa"/>
            <w:vAlign w:val="bottom"/>
            <w:gridSpan w:val="3"/>
          </w:tcPr>
          <w:p>
            <w:pPr>
              <w:ind w:left="20"/>
              <w:spacing w:after="0"/>
              <w:rPr>
                <w:sz w:val="20"/>
                <w:szCs w:val="20"/>
                <w:color w:val="auto"/>
              </w:rPr>
            </w:pPr>
            <w:r>
              <w:rPr>
                <w:rFonts w:ascii="Arial" w:cs="Arial" w:eastAsia="Arial" w:hAnsi="Arial"/>
                <w:sz w:val="16"/>
                <w:szCs w:val="16"/>
                <w:color w:val="auto"/>
                <w:w w:val="92"/>
              </w:rPr>
              <w:t>Increase primarily due to an increase in cloud hosting costs as well as an</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gridSpan w:val="3"/>
          </w:tcPr>
          <w:p>
            <w:pPr>
              <w:ind w:left="20"/>
              <w:spacing w:after="0"/>
              <w:rPr>
                <w:sz w:val="20"/>
                <w:szCs w:val="20"/>
                <w:color w:val="auto"/>
              </w:rPr>
            </w:pPr>
            <w:r>
              <w:rPr>
                <w:rFonts w:ascii="Arial" w:cs="Arial" w:eastAsia="Arial" w:hAnsi="Arial"/>
                <w:sz w:val="16"/>
                <w:szCs w:val="16"/>
                <w:color w:val="auto"/>
                <w:w w:val="94"/>
              </w:rPr>
              <w:t>increase in stock-based compensation expense partially offset by lower</w:t>
            </w: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gridSpan w:val="3"/>
          </w:tcPr>
          <w:p>
            <w:pPr>
              <w:ind w:left="20"/>
              <w:spacing w:after="0"/>
              <w:rPr>
                <w:sz w:val="20"/>
                <w:szCs w:val="20"/>
                <w:color w:val="auto"/>
              </w:rPr>
            </w:pPr>
            <w:r>
              <w:rPr>
                <w:rFonts w:ascii="Arial" w:cs="Arial" w:eastAsia="Arial" w:hAnsi="Arial"/>
                <w:sz w:val="16"/>
                <w:szCs w:val="16"/>
                <w:color w:val="auto"/>
              </w:rPr>
              <w:t>travel and entertainment expenses.</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9"/>
                <w:szCs w:val="19"/>
                <w:color w:val="auto"/>
              </w:rPr>
            </w:pPr>
          </w:p>
        </w:tc>
        <w:tc>
          <w:tcPr>
            <w:tcW w:w="4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1"/>
              </w:rPr>
              <w:t>Decrease primarily due to a decrease in other revenue as a result of lower</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consulting service revenue as well as decrease in travel and</w:t>
            </w:r>
          </w:p>
        </w:tc>
        <w:tc>
          <w:tcPr>
            <w:tcW w:w="0" w:type="dxa"/>
            <w:vAlign w:val="bottom"/>
          </w:tcPr>
          <w:p>
            <w:pPr>
              <w:spacing w:after="0"/>
              <w:rPr>
                <w:sz w:val="1"/>
                <w:szCs w:val="1"/>
                <w:color w:val="auto"/>
              </w:rPr>
            </w:pPr>
          </w:p>
        </w:tc>
      </w:tr>
      <w:tr>
        <w:trPr>
          <w:trHeight w:val="219"/>
        </w:trPr>
        <w:tc>
          <w:tcPr>
            <w:tcW w:w="3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entertainment expenses.</w:t>
            </w:r>
          </w:p>
        </w:tc>
        <w:tc>
          <w:tcPr>
            <w:tcW w:w="0" w:type="dxa"/>
            <w:vAlign w:val="bottom"/>
          </w:tcPr>
          <w:p>
            <w:pPr>
              <w:spacing w:after="0"/>
              <w:rPr>
                <w:sz w:val="1"/>
                <w:szCs w:val="1"/>
                <w:color w:val="auto"/>
              </w:rPr>
            </w:pPr>
          </w:p>
        </w:tc>
      </w:tr>
      <w:tr>
        <w:trPr>
          <w:trHeight w:val="220"/>
        </w:trPr>
        <w:tc>
          <w:tcPr>
            <w:tcW w:w="3020" w:type="dxa"/>
            <w:vAlign w:val="bottom"/>
          </w:tcPr>
          <w:p>
            <w:pPr>
              <w:ind w:left="360"/>
              <w:spacing w:after="0"/>
              <w:rPr>
                <w:sz w:val="20"/>
                <w:szCs w:val="20"/>
                <w:color w:val="auto"/>
              </w:rPr>
            </w:pPr>
            <w:r>
              <w:rPr>
                <w:rFonts w:ascii="Arial" w:cs="Arial" w:eastAsia="Arial" w:hAnsi="Arial"/>
                <w:sz w:val="16"/>
                <w:szCs w:val="16"/>
                <w:color w:val="auto"/>
                <w:w w:val="98"/>
              </w:rPr>
              <w:t>Amortization of developed technology</w:t>
            </w:r>
          </w:p>
        </w:tc>
        <w:tc>
          <w:tcPr>
            <w:tcW w:w="12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9"/>
                <w:szCs w:val="19"/>
                <w:color w:val="auto"/>
              </w:rPr>
            </w:pPr>
          </w:p>
        </w:tc>
        <w:tc>
          <w:tcPr>
            <w:tcW w:w="4820" w:type="dxa"/>
            <w:vAlign w:val="bottom"/>
            <w:gridSpan w:val="3"/>
          </w:tcPr>
          <w:p>
            <w:pPr>
              <w:ind w:left="20"/>
              <w:spacing w:after="0"/>
              <w:rPr>
                <w:sz w:val="20"/>
                <w:szCs w:val="20"/>
                <w:color w:val="auto"/>
              </w:rPr>
            </w:pPr>
            <w:r>
              <w:rPr>
                <w:rFonts w:ascii="Arial" w:cs="Arial" w:eastAsia="Arial" w:hAnsi="Arial"/>
                <w:sz w:val="16"/>
                <w:szCs w:val="16"/>
                <w:color w:val="auto"/>
                <w:w w:val="96"/>
              </w:rPr>
              <w:t>Decrease primarily due to previously acquired developed technologies</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gridSpan w:val="3"/>
          </w:tcPr>
          <w:p>
            <w:pPr>
              <w:ind w:left="20"/>
              <w:spacing w:after="0"/>
              <w:rPr>
                <w:sz w:val="20"/>
                <w:szCs w:val="20"/>
                <w:color w:val="auto"/>
              </w:rPr>
            </w:pPr>
            <w:r>
              <w:rPr>
                <w:rFonts w:ascii="Arial" w:cs="Arial" w:eastAsia="Arial" w:hAnsi="Arial"/>
                <w:sz w:val="16"/>
                <w:szCs w:val="16"/>
                <w:color w:val="auto"/>
              </w:rPr>
              <w:t>continuing to become fully amortized partially offset by amortization</w:t>
            </w: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gridSpan w:val="3"/>
          </w:tcPr>
          <w:p>
            <w:pPr>
              <w:ind w:left="20"/>
              <w:spacing w:after="0"/>
              <w:rPr>
                <w:sz w:val="20"/>
                <w:szCs w:val="20"/>
                <w:color w:val="auto"/>
              </w:rPr>
            </w:pPr>
            <w:r>
              <w:rPr>
                <w:rFonts w:ascii="Arial" w:cs="Arial" w:eastAsia="Arial" w:hAnsi="Arial"/>
                <w:sz w:val="16"/>
                <w:szCs w:val="16"/>
                <w:color w:val="auto"/>
              </w:rPr>
              <w:t>from recently acquired developed technology.</w:t>
            </w:r>
          </w:p>
        </w:tc>
        <w:tc>
          <w:tcPr>
            <w:tcW w:w="0" w:type="dxa"/>
            <w:vAlign w:val="bottom"/>
          </w:tcPr>
          <w:p>
            <w:pPr>
              <w:spacing w:after="0"/>
              <w:rPr>
                <w:sz w:val="1"/>
                <w:szCs w:val="1"/>
                <w:color w:val="auto"/>
              </w:rPr>
            </w:pPr>
          </w:p>
        </w:tc>
      </w:tr>
      <w:tr>
        <w:trPr>
          <w:trHeight w:val="33"/>
        </w:trPr>
        <w:tc>
          <w:tcPr>
            <w:tcW w:w="3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2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350.9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34.1</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9"/>
                <w:szCs w:val="19"/>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316.8</w:t>
            </w:r>
          </w:p>
        </w:tc>
        <w:tc>
          <w:tcPr>
            <w:tcW w:w="100" w:type="dxa"/>
            <w:vAlign w:val="bottom"/>
          </w:tcPr>
          <w:p>
            <w:pPr>
              <w:spacing w:after="0"/>
              <w:rPr>
                <w:sz w:val="19"/>
                <w:szCs w:val="19"/>
                <w:color w:val="auto"/>
              </w:rPr>
            </w:pPr>
          </w:p>
        </w:tc>
        <w:tc>
          <w:tcPr>
            <w:tcW w:w="4820" w:type="dxa"/>
            <w:vAlign w:val="bottom"/>
            <w:gridSpan w:val="3"/>
          </w:tcPr>
          <w:p>
            <w:pPr>
              <w:ind w:left="20"/>
              <w:spacing w:after="0"/>
              <w:rPr>
                <w:sz w:val="20"/>
                <w:szCs w:val="20"/>
                <w:color w:val="auto"/>
              </w:rPr>
            </w:pPr>
            <w:r>
              <w:rPr>
                <w:rFonts w:ascii="Arial" w:cs="Arial" w:eastAsia="Arial" w:hAnsi="Arial"/>
                <w:sz w:val="16"/>
                <w:szCs w:val="16"/>
                <w:color w:val="auto"/>
                <w:w w:val="92"/>
              </w:rPr>
              <w:t>Increase primarily due to an increase in employee-related costs driven by</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gridSpan w:val="3"/>
          </w:tcPr>
          <w:p>
            <w:pPr>
              <w:ind w:left="20"/>
              <w:spacing w:after="0"/>
              <w:rPr>
                <w:sz w:val="20"/>
                <w:szCs w:val="20"/>
                <w:color w:val="auto"/>
              </w:rPr>
            </w:pPr>
            <w:r>
              <w:rPr>
                <w:rFonts w:ascii="Arial" w:cs="Arial" w:eastAsia="Arial" w:hAnsi="Arial"/>
                <w:sz w:val="16"/>
                <w:szCs w:val="16"/>
                <w:color w:val="auto"/>
                <w:w w:val="96"/>
              </w:rPr>
              <w:t>higher headcount as well as an increase in stock-based compensation</w:t>
            </w: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gridSpan w:val="3"/>
          </w:tcPr>
          <w:p>
            <w:pPr>
              <w:ind w:left="20"/>
              <w:spacing w:after="0"/>
              <w:rPr>
                <w:sz w:val="20"/>
                <w:szCs w:val="20"/>
                <w:color w:val="auto"/>
              </w:rPr>
            </w:pPr>
            <w:r>
              <w:rPr>
                <w:rFonts w:ascii="Arial" w:cs="Arial" w:eastAsia="Arial" w:hAnsi="Arial"/>
                <w:sz w:val="16"/>
                <w:szCs w:val="16"/>
                <w:color w:val="auto"/>
                <w:w w:val="99"/>
              </w:rPr>
              <w:t>expense partially offset by lower travel and entertainment expenses.</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232.5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215.4</w:t>
            </w:r>
          </w:p>
        </w:tc>
        <w:tc>
          <w:tcPr>
            <w:tcW w:w="10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2"/>
                <w:shd w:val="clear" w:color="auto" w:fill="CCEEFF"/>
              </w:rPr>
              <w:t>Increase primarily due to an increase in employee-related costs driven by</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6"/>
                <w:shd w:val="clear" w:color="auto" w:fill="CCEEFF"/>
              </w:rPr>
              <w:t>higher headcount as well as an increase in stock-based compensation</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1"/>
                <w:shd w:val="clear" w:color="auto" w:fill="CCEEFF"/>
              </w:rPr>
              <w:t>expense partially o</w:t>
            </w:r>
          </w:p>
        </w:tc>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ffset by lower travel and entertainment expenses.</w:t>
            </w:r>
          </w:p>
        </w:tc>
        <w:tc>
          <w:tcPr>
            <w:tcW w:w="0" w:type="dxa"/>
            <w:vAlign w:val="bottom"/>
          </w:tcPr>
          <w:p>
            <w:pPr>
              <w:spacing w:after="0"/>
              <w:rPr>
                <w:sz w:val="1"/>
                <w:szCs w:val="1"/>
                <w:color w:val="auto"/>
              </w:rPr>
            </w:pPr>
          </w:p>
        </w:tc>
      </w:tr>
      <w:tr>
        <w:trPr>
          <w:trHeight w:val="220"/>
        </w:trPr>
        <w:tc>
          <w:tcPr>
            <w:tcW w:w="302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93.2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(8.2)</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9"/>
                <w:szCs w:val="19"/>
                <w:color w:val="auto"/>
              </w:rPr>
            </w:pPr>
          </w:p>
        </w:tc>
        <w:tc>
          <w:tcPr>
            <w:tcW w:w="4820" w:type="dxa"/>
            <w:vAlign w:val="bottom"/>
            <w:gridSpan w:val="3"/>
          </w:tcPr>
          <w:p>
            <w:pPr>
              <w:ind w:left="20"/>
              <w:spacing w:after="0"/>
              <w:rPr>
                <w:sz w:val="20"/>
                <w:szCs w:val="20"/>
                <w:color w:val="auto"/>
              </w:rPr>
            </w:pPr>
            <w:r>
              <w:rPr>
                <w:rFonts w:ascii="Arial" w:cs="Arial" w:eastAsia="Arial" w:hAnsi="Arial"/>
                <w:sz w:val="16"/>
                <w:szCs w:val="16"/>
                <w:color w:val="auto"/>
              </w:rPr>
              <w:t>Decrease primarily due to a decrease in stock-based compensation</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gridSpan w:val="3"/>
          </w:tcPr>
          <w:p>
            <w:pPr>
              <w:ind w:left="20"/>
              <w:spacing w:after="0"/>
              <w:rPr>
                <w:sz w:val="20"/>
                <w:szCs w:val="20"/>
                <w:color w:val="auto"/>
              </w:rPr>
            </w:pPr>
            <w:r>
              <w:rPr>
                <w:rFonts w:ascii="Arial" w:cs="Arial" w:eastAsia="Arial" w:hAnsi="Arial"/>
                <w:sz w:val="16"/>
                <w:szCs w:val="16"/>
                <w:color w:val="auto"/>
                <w:w w:val="93"/>
              </w:rPr>
              <w:t>expense and lower travel and entertainment expenses partially offset by</w:t>
            </w: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gridSpan w:val="3"/>
          </w:tcPr>
          <w:p>
            <w:pPr>
              <w:ind w:left="20"/>
              <w:spacing w:after="0"/>
              <w:rPr>
                <w:sz w:val="20"/>
                <w:szCs w:val="20"/>
                <w:color w:val="auto"/>
              </w:rPr>
            </w:pPr>
            <w:r>
              <w:rPr>
                <w:rFonts w:ascii="Arial" w:cs="Arial" w:eastAsia="Arial" w:hAnsi="Arial"/>
                <w:sz w:val="16"/>
                <w:szCs w:val="16"/>
                <w:color w:val="auto"/>
              </w:rPr>
              <w:t>an increase in employee-related costs driven by higher headcount.</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8"/>
              </w:rPr>
              <w:t>Amortization of purchased intangibles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Decrease as previously acquired purchased intangibles continue to</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w w:val="92"/>
                <w:shd w:val="clear" w:color="auto" w:fill="CCEEFF"/>
              </w:rPr>
              <w:t>become fully amortized.</w:t>
            </w:r>
          </w:p>
        </w:tc>
        <w:tc>
          <w:tcPr>
            <w:tcW w:w="3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380"/>
              <w:spacing w:after="0"/>
              <w:rPr>
                <w:sz w:val="20"/>
                <w:szCs w:val="20"/>
                <w:color w:val="auto"/>
              </w:rPr>
            </w:pPr>
            <w:r>
              <w:rPr>
                <w:rFonts w:ascii="Arial" w:cs="Arial" w:eastAsia="Arial" w:hAnsi="Arial"/>
                <w:sz w:val="16"/>
                <w:szCs w:val="16"/>
                <w:color w:val="auto"/>
                <w:w w:val="97"/>
              </w:rPr>
              <w:t>Restructuring and other exit costs, net</w:t>
            </w: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(0.2)</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0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32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3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686.1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42.6</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643.5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3020" w:type="dxa"/>
            <w:vAlign w:val="bottom"/>
          </w:tcPr>
          <w:p>
            <w:pPr>
              <w:spacing w:after="0"/>
              <w:rPr>
                <w:sz w:val="24"/>
                <w:szCs w:val="2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w:t>
            </w:r>
          </w:p>
        </w:tc>
        <w:tc>
          <w:tcPr>
            <w:tcW w:w="120" w:type="dxa"/>
            <w:vAlign w:val="bottom"/>
          </w:tcPr>
          <w:p>
            <w:pPr>
              <w:spacing w:after="0"/>
              <w:rPr>
                <w:sz w:val="24"/>
                <w:szCs w:val="24"/>
                <w:color w:val="auto"/>
              </w:rPr>
            </w:pPr>
          </w:p>
        </w:tc>
        <w:tc>
          <w:tcPr>
            <w:tcW w:w="15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Change compared to</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Six Months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5"/>
              </w:rPr>
              <w:t>prior fiscal year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July 31,</w:t>
            </w:r>
          </w:p>
        </w:tc>
        <w:tc>
          <w:tcPr>
            <w:tcW w:w="120" w:type="dxa"/>
            <w:vAlign w:val="bottom"/>
          </w:tcPr>
          <w:p>
            <w:pPr>
              <w:spacing w:after="0"/>
              <w:rPr>
                <w:sz w:val="13"/>
                <w:szCs w:val="13"/>
                <w:color w:val="auto"/>
              </w:rPr>
            </w:pPr>
          </w:p>
        </w:tc>
        <w:tc>
          <w:tcPr>
            <w:tcW w:w="54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3"/>
              </w:rPr>
              <w:t>July 31,</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4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3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20" w:type="dxa"/>
            <w:vAlign w:val="bottom"/>
          </w:tcPr>
          <w:p>
            <w:pPr>
              <w:ind w:left="380"/>
              <w:spacing w:after="0"/>
              <w:rPr>
                <w:sz w:val="20"/>
                <w:szCs w:val="20"/>
                <w:color w:val="auto"/>
              </w:rPr>
            </w:pPr>
            <w:r>
              <w:rPr>
                <w:rFonts w:ascii="Arial" w:cs="Arial" w:eastAsia="Arial" w:hAnsi="Arial"/>
                <w:sz w:val="16"/>
                <w:szCs w:val="16"/>
                <w:color w:val="auto"/>
              </w:rPr>
              <w:t>Subscription and maintenance</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115.9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42"/>
              <w:spacing w:after="0"/>
              <w:rPr>
                <w:sz w:val="20"/>
                <w:szCs w:val="20"/>
                <w:color w:val="auto"/>
              </w:rPr>
            </w:pPr>
            <w:r>
              <w:rPr>
                <w:rFonts w:ascii="Arial" w:cs="Arial" w:eastAsia="Arial" w:hAnsi="Arial"/>
                <w:sz w:val="16"/>
                <w:szCs w:val="16"/>
                <w:color w:val="auto"/>
              </w:rPr>
              <w:t>3.2</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19"/>
                <w:szCs w:val="19"/>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112.7</w:t>
            </w:r>
          </w:p>
        </w:tc>
        <w:tc>
          <w:tcPr>
            <w:tcW w:w="100" w:type="dxa"/>
            <w:vAlign w:val="bottom"/>
          </w:tcPr>
          <w:p>
            <w:pPr>
              <w:spacing w:after="0"/>
              <w:rPr>
                <w:sz w:val="19"/>
                <w:szCs w:val="19"/>
                <w:color w:val="auto"/>
              </w:rPr>
            </w:pPr>
          </w:p>
        </w:tc>
        <w:tc>
          <w:tcPr>
            <w:tcW w:w="4820" w:type="dxa"/>
            <w:vAlign w:val="bottom"/>
            <w:gridSpan w:val="3"/>
          </w:tcPr>
          <w:p>
            <w:pPr>
              <w:ind w:left="20"/>
              <w:spacing w:after="0"/>
              <w:rPr>
                <w:sz w:val="20"/>
                <w:szCs w:val="20"/>
                <w:color w:val="auto"/>
              </w:rPr>
            </w:pPr>
            <w:r>
              <w:rPr>
                <w:rFonts w:ascii="Arial" w:cs="Arial" w:eastAsia="Arial" w:hAnsi="Arial"/>
                <w:sz w:val="16"/>
                <w:szCs w:val="16"/>
                <w:color w:val="auto"/>
                <w:w w:val="99"/>
              </w:rPr>
              <w:t>Increase primarily due to an increase in cloud hosting costs partially</w:t>
            </w: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gridSpan w:val="3"/>
          </w:tcPr>
          <w:p>
            <w:pPr>
              <w:ind w:left="20"/>
              <w:spacing w:after="0"/>
              <w:rPr>
                <w:sz w:val="20"/>
                <w:szCs w:val="20"/>
                <w:color w:val="auto"/>
              </w:rPr>
            </w:pPr>
            <w:r>
              <w:rPr>
                <w:rFonts w:ascii="Arial" w:cs="Arial" w:eastAsia="Arial" w:hAnsi="Arial"/>
                <w:sz w:val="16"/>
                <w:szCs w:val="16"/>
                <w:color w:val="auto"/>
              </w:rPr>
              <w:t>offset by lower travel and entertainment expenses.</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0.4</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9"/>
                <w:szCs w:val="19"/>
                <w:color w:val="auto"/>
              </w:rPr>
            </w:pPr>
          </w:p>
        </w:tc>
        <w:tc>
          <w:tcPr>
            <w:tcW w:w="4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Increase primarily due to an increase in stock-based compensation</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3"/>
              </w:rPr>
              <w:t>expense as well as employee related costs partially offset by a decrease</w:t>
            </w:r>
          </w:p>
        </w:tc>
        <w:tc>
          <w:tcPr>
            <w:tcW w:w="0" w:type="dxa"/>
            <w:vAlign w:val="bottom"/>
          </w:tcPr>
          <w:p>
            <w:pPr>
              <w:spacing w:after="0"/>
              <w:rPr>
                <w:sz w:val="1"/>
                <w:szCs w:val="1"/>
                <w:color w:val="auto"/>
              </w:rPr>
            </w:pPr>
          </w:p>
        </w:tc>
      </w:tr>
      <w:tr>
        <w:trPr>
          <w:trHeight w:val="219"/>
        </w:trPr>
        <w:tc>
          <w:tcPr>
            <w:tcW w:w="3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 travel and entertainment expense.</w:t>
            </w:r>
          </w:p>
        </w:tc>
        <w:tc>
          <w:tcPr>
            <w:tcW w:w="0" w:type="dxa"/>
            <w:vAlign w:val="bottom"/>
          </w:tcPr>
          <w:p>
            <w:pPr>
              <w:spacing w:after="0"/>
              <w:rPr>
                <w:sz w:val="1"/>
                <w:szCs w:val="1"/>
                <w:color w:val="auto"/>
              </w:rPr>
            </w:pPr>
          </w:p>
        </w:tc>
      </w:tr>
      <w:tr>
        <w:trPr>
          <w:trHeight w:val="220"/>
        </w:trPr>
        <w:tc>
          <w:tcPr>
            <w:tcW w:w="3020" w:type="dxa"/>
            <w:vAlign w:val="bottom"/>
          </w:tcPr>
          <w:p>
            <w:pPr>
              <w:ind w:left="360"/>
              <w:spacing w:after="0"/>
              <w:rPr>
                <w:sz w:val="20"/>
                <w:szCs w:val="20"/>
                <w:color w:val="auto"/>
              </w:rPr>
            </w:pPr>
            <w:r>
              <w:rPr>
                <w:rFonts w:ascii="Arial" w:cs="Arial" w:eastAsia="Arial" w:hAnsi="Arial"/>
                <w:sz w:val="16"/>
                <w:szCs w:val="16"/>
                <w:color w:val="auto"/>
                <w:w w:val="98"/>
              </w:rPr>
              <w:t>Amortization of developed technology</w:t>
            </w:r>
          </w:p>
        </w:tc>
        <w:tc>
          <w:tcPr>
            <w:tcW w:w="12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9"/>
                <w:szCs w:val="19"/>
                <w:color w:val="auto"/>
              </w:rPr>
            </w:pPr>
          </w:p>
        </w:tc>
        <w:tc>
          <w:tcPr>
            <w:tcW w:w="4820" w:type="dxa"/>
            <w:vAlign w:val="bottom"/>
            <w:gridSpan w:val="3"/>
          </w:tcPr>
          <w:p>
            <w:pPr>
              <w:ind w:left="20"/>
              <w:spacing w:after="0"/>
              <w:rPr>
                <w:sz w:val="20"/>
                <w:szCs w:val="20"/>
                <w:color w:val="auto"/>
              </w:rPr>
            </w:pPr>
            <w:r>
              <w:rPr>
                <w:rFonts w:ascii="Arial" w:cs="Arial" w:eastAsia="Arial" w:hAnsi="Arial"/>
                <w:sz w:val="16"/>
                <w:szCs w:val="16"/>
                <w:color w:val="auto"/>
                <w:w w:val="96"/>
              </w:rPr>
              <w:t>Decrease primarily due to previously acquired developed technologies</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gridSpan w:val="3"/>
          </w:tcPr>
          <w:p>
            <w:pPr>
              <w:ind w:left="20"/>
              <w:spacing w:after="0"/>
              <w:rPr>
                <w:sz w:val="20"/>
                <w:szCs w:val="20"/>
                <w:color w:val="auto"/>
              </w:rPr>
            </w:pPr>
            <w:r>
              <w:rPr>
                <w:rFonts w:ascii="Arial" w:cs="Arial" w:eastAsia="Arial" w:hAnsi="Arial"/>
                <w:sz w:val="16"/>
                <w:szCs w:val="16"/>
                <w:color w:val="auto"/>
              </w:rPr>
              <w:t>continuing to become fully amortized partially offset by amortization</w:t>
            </w: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20" w:type="dxa"/>
            <w:vAlign w:val="bottom"/>
            <w:gridSpan w:val="3"/>
          </w:tcPr>
          <w:p>
            <w:pPr>
              <w:ind w:left="20"/>
              <w:spacing w:after="0"/>
              <w:rPr>
                <w:sz w:val="20"/>
                <w:szCs w:val="20"/>
                <w:color w:val="auto"/>
              </w:rPr>
            </w:pPr>
            <w:r>
              <w:rPr>
                <w:rFonts w:ascii="Arial" w:cs="Arial" w:eastAsia="Arial" w:hAnsi="Arial"/>
                <w:sz w:val="16"/>
                <w:szCs w:val="16"/>
                <w:color w:val="auto"/>
              </w:rPr>
              <w:t>from recently acquired developed technology.</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55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75"/>
        </w:trPr>
        <w:tc>
          <w:tcPr>
            <w:tcW w:w="302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98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 %</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162.2</w:t>
            </w:r>
          </w:p>
        </w:tc>
        <w:tc>
          <w:tcPr>
            <w:tcW w:w="4920" w:type="dxa"/>
            <w:vAlign w:val="bottom"/>
            <w:tcBorders>
              <w:top w:val="single" w:sz="8" w:color="CCEEFF"/>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2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692.2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62.1</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10 %</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630.1</w:t>
            </w:r>
          </w:p>
        </w:tc>
        <w:tc>
          <w:tcPr>
            <w:tcW w:w="4920" w:type="dxa"/>
            <w:vAlign w:val="bottom"/>
          </w:tcPr>
          <w:p>
            <w:pPr>
              <w:ind w:left="120"/>
              <w:spacing w:after="0"/>
              <w:rPr>
                <w:sz w:val="20"/>
                <w:szCs w:val="20"/>
                <w:color w:val="auto"/>
              </w:rPr>
            </w:pPr>
            <w:r>
              <w:rPr>
                <w:rFonts w:ascii="Arial" w:cs="Arial" w:eastAsia="Arial" w:hAnsi="Arial"/>
                <w:sz w:val="16"/>
                <w:szCs w:val="16"/>
                <w:color w:val="auto"/>
                <w:w w:val="97"/>
              </w:rPr>
              <w:t>Increase primarily due to increased employee-related costs driven by</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920" w:type="dxa"/>
            <w:vAlign w:val="bottom"/>
          </w:tcPr>
          <w:p>
            <w:pPr>
              <w:ind w:left="120"/>
              <w:spacing w:after="0"/>
              <w:rPr>
                <w:sz w:val="20"/>
                <w:szCs w:val="20"/>
                <w:color w:val="auto"/>
              </w:rPr>
            </w:pPr>
            <w:r>
              <w:rPr>
                <w:rFonts w:ascii="Arial" w:cs="Arial" w:eastAsia="Arial" w:hAnsi="Arial"/>
                <w:sz w:val="16"/>
                <w:szCs w:val="16"/>
                <w:color w:val="auto"/>
                <w:w w:val="96"/>
              </w:rPr>
              <w:t>higher headcount as well as an increase in stock-based compensation</w:t>
            </w: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920" w:type="dxa"/>
            <w:vAlign w:val="bottom"/>
          </w:tcPr>
          <w:p>
            <w:pPr>
              <w:ind w:left="120"/>
              <w:spacing w:after="0"/>
              <w:rPr>
                <w:sz w:val="20"/>
                <w:szCs w:val="20"/>
                <w:color w:val="auto"/>
              </w:rPr>
            </w:pPr>
            <w:r>
              <w:rPr>
                <w:rFonts w:ascii="Arial" w:cs="Arial" w:eastAsia="Arial" w:hAnsi="Arial"/>
                <w:sz w:val="16"/>
                <w:szCs w:val="16"/>
                <w:color w:val="auto"/>
                <w:w w:val="99"/>
              </w:rPr>
              <w:t>expense offset by a decrease in travel and entertainment expenses.</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7 %</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421.0</w:t>
            </w:r>
          </w:p>
        </w:tc>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7"/>
              </w:rPr>
              <w:t>Increase primarily due to increased employee-related costs driven by</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higher headcount as well as an increase in stock-based compensation</w:t>
            </w:r>
          </w:p>
        </w:tc>
        <w:tc>
          <w:tcPr>
            <w:tcW w:w="0" w:type="dxa"/>
            <w:vAlign w:val="bottom"/>
          </w:tcPr>
          <w:p>
            <w:pPr>
              <w:spacing w:after="0"/>
              <w:rPr>
                <w:sz w:val="1"/>
                <w:szCs w:val="1"/>
                <w:color w:val="auto"/>
              </w:rPr>
            </w:pPr>
          </w:p>
        </w:tc>
      </w:tr>
      <w:tr>
        <w:trPr>
          <w:trHeight w:val="219"/>
        </w:trPr>
        <w:tc>
          <w:tcPr>
            <w:tcW w:w="30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9"/>
              </w:rPr>
              <w:t>expense offset by a decrease in travel and entertainment expenses.</w:t>
            </w:r>
          </w:p>
        </w:tc>
        <w:tc>
          <w:tcPr>
            <w:tcW w:w="0" w:type="dxa"/>
            <w:vAlign w:val="bottom"/>
          </w:tcPr>
          <w:p>
            <w:pPr>
              <w:spacing w:after="0"/>
              <w:rPr>
                <w:sz w:val="1"/>
                <w:szCs w:val="1"/>
                <w:color w:val="auto"/>
              </w:rPr>
            </w:pPr>
          </w:p>
        </w:tc>
      </w:tr>
      <w:tr>
        <w:trPr>
          <w:trHeight w:val="220"/>
        </w:trPr>
        <w:tc>
          <w:tcPr>
            <w:tcW w:w="3020" w:type="dxa"/>
            <w:vAlign w:val="bottom"/>
          </w:tcPr>
          <w:p>
            <w:pPr>
              <w:jc w:val="right"/>
              <w:ind w:right="818"/>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198.0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200.5</w:t>
            </w:r>
          </w:p>
        </w:tc>
        <w:tc>
          <w:tcPr>
            <w:tcW w:w="4920" w:type="dxa"/>
            <w:vAlign w:val="bottom"/>
          </w:tcPr>
          <w:p>
            <w:pPr>
              <w:ind w:left="120"/>
              <w:spacing w:after="0"/>
              <w:rPr>
                <w:sz w:val="20"/>
                <w:szCs w:val="20"/>
                <w:color w:val="auto"/>
              </w:rPr>
            </w:pPr>
            <w:r>
              <w:rPr>
                <w:rFonts w:ascii="Arial" w:cs="Arial" w:eastAsia="Arial" w:hAnsi="Arial"/>
                <w:sz w:val="16"/>
                <w:szCs w:val="16"/>
                <w:color w:val="auto"/>
                <w:w w:val="92"/>
              </w:rPr>
              <w:t>Decrease primarily due to lower stock-based compensation expense and</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920" w:type="dxa"/>
            <w:vAlign w:val="bottom"/>
          </w:tcPr>
          <w:p>
            <w:pPr>
              <w:ind w:left="120"/>
              <w:spacing w:after="0"/>
              <w:rPr>
                <w:sz w:val="20"/>
                <w:szCs w:val="20"/>
                <w:color w:val="auto"/>
              </w:rPr>
            </w:pPr>
            <w:r>
              <w:rPr>
                <w:rFonts w:ascii="Arial" w:cs="Arial" w:eastAsia="Arial" w:hAnsi="Arial"/>
                <w:sz w:val="16"/>
                <w:szCs w:val="16"/>
                <w:color w:val="auto"/>
                <w:w w:val="98"/>
              </w:rPr>
              <w:t>a decrease in travel and entertainment expenses offset by increased</w:t>
            </w: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920" w:type="dxa"/>
            <w:vAlign w:val="bottom"/>
          </w:tcPr>
          <w:p>
            <w:pPr>
              <w:ind w:left="120"/>
              <w:spacing w:after="0"/>
              <w:rPr>
                <w:sz w:val="20"/>
                <w:szCs w:val="20"/>
                <w:color w:val="auto"/>
              </w:rPr>
            </w:pPr>
            <w:r>
              <w:rPr>
                <w:rFonts w:ascii="Arial" w:cs="Arial" w:eastAsia="Arial" w:hAnsi="Arial"/>
                <w:sz w:val="16"/>
                <w:szCs w:val="16"/>
                <w:color w:val="auto"/>
              </w:rPr>
              <w:t>employee-related costs driven by higher headcount.</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8"/>
              </w:rPr>
              <w:t>Amortization of purchased intangibles</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Decrease as previously acquired purchased intangibles continue to</w:t>
            </w:r>
          </w:p>
        </w:tc>
        <w:tc>
          <w:tcPr>
            <w:tcW w:w="0" w:type="dxa"/>
            <w:vAlign w:val="bottom"/>
          </w:tcPr>
          <w:p>
            <w:pPr>
              <w:spacing w:after="0"/>
              <w:rPr>
                <w:sz w:val="1"/>
                <w:szCs w:val="1"/>
                <w:color w:val="auto"/>
              </w:rPr>
            </w:pPr>
          </w:p>
        </w:tc>
      </w:tr>
      <w:tr>
        <w:trPr>
          <w:trHeight w:val="219"/>
        </w:trPr>
        <w:tc>
          <w:tcPr>
            <w:tcW w:w="30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become fully amortized.</w:t>
            </w:r>
          </w:p>
        </w:tc>
        <w:tc>
          <w:tcPr>
            <w:tcW w:w="0" w:type="dxa"/>
            <w:vAlign w:val="bottom"/>
          </w:tcPr>
          <w:p>
            <w:pPr>
              <w:spacing w:after="0"/>
              <w:rPr>
                <w:sz w:val="1"/>
                <w:szCs w:val="1"/>
                <w:color w:val="auto"/>
              </w:rPr>
            </w:pPr>
          </w:p>
        </w:tc>
      </w:tr>
      <w:tr>
        <w:trPr>
          <w:trHeight w:val="223"/>
        </w:trPr>
        <w:tc>
          <w:tcPr>
            <w:tcW w:w="3020" w:type="dxa"/>
            <w:vAlign w:val="bottom"/>
          </w:tcPr>
          <w:p>
            <w:pPr>
              <w:ind w:left="380"/>
              <w:spacing w:after="0"/>
              <w:rPr>
                <w:sz w:val="20"/>
                <w:szCs w:val="20"/>
                <w:color w:val="auto"/>
              </w:rPr>
            </w:pPr>
            <w:r>
              <w:rPr>
                <w:rFonts w:ascii="Arial" w:cs="Arial" w:eastAsia="Arial" w:hAnsi="Arial"/>
                <w:sz w:val="16"/>
                <w:szCs w:val="16"/>
                <w:color w:val="auto"/>
                <w:w w:val="97"/>
              </w:rPr>
              <w:t>Restructuring and other exit costs, net</w:t>
            </w:r>
          </w:p>
        </w:tc>
        <w:tc>
          <w:tcPr>
            <w:tcW w:w="1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(0.4)</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4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0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92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3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1,359.3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87.8</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1,271.5</w:t>
            </w:r>
          </w:p>
        </w:tc>
        <w:tc>
          <w:tcPr>
            <w:tcW w:w="4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020" w:type="dxa"/>
            <w:vAlign w:val="bottom"/>
          </w:tcPr>
          <w:p>
            <w:pPr>
              <w:jc w:val="right"/>
              <w:ind w:right="838"/>
              <w:spacing w:after="0"/>
              <w:rPr>
                <w:sz w:val="20"/>
                <w:szCs w:val="20"/>
                <w:color w:val="auto"/>
              </w:rPr>
            </w:pPr>
            <w:r>
              <w:rPr>
                <w:rFonts w:ascii="Arial" w:cs="Arial" w:eastAsia="Arial" w:hAnsi="Arial"/>
                <w:sz w:val="16"/>
                <w:szCs w:val="16"/>
                <w:color w:val="auto"/>
                <w:w w:val="93"/>
              </w:rPr>
              <w:t>* Percentage is not meaningful.</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right="100" w:firstLine="432"/>
        <w:spacing w:after="0" w:line="277" w:lineRule="auto"/>
        <w:rPr>
          <w:sz w:val="20"/>
          <w:szCs w:val="20"/>
          <w:color w:val="auto"/>
        </w:rPr>
      </w:pPr>
      <w:r>
        <w:rPr>
          <w:rFonts w:ascii="Arial" w:cs="Arial" w:eastAsia="Arial" w:hAnsi="Arial"/>
          <w:sz w:val="18"/>
          <w:szCs w:val="18"/>
          <w:color w:val="auto"/>
        </w:rPr>
        <w:t>The following table highlights our expectation for the absolute dollar change and percent of revenue change between the third quarter of fiscal 2021, as compared to the third quarter of fiscal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Absolute dollar impact</w:t>
            </w:r>
          </w:p>
        </w:tc>
        <w:tc>
          <w:tcPr>
            <w:tcW w:w="10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 of net revenue impact</w:t>
            </w:r>
          </w:p>
        </w:tc>
      </w:tr>
      <w:tr>
        <w:trPr>
          <w:trHeight w:val="23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Increase</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Flat</w:t>
            </w: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Marketing and sales</w:t>
            </w:r>
          </w:p>
        </w:tc>
        <w:tc>
          <w:tcPr>
            <w:tcW w:w="236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Increase</w:t>
            </w:r>
          </w:p>
        </w:tc>
        <w:tc>
          <w:tcPr>
            <w:tcW w:w="2240" w:type="dxa"/>
            <w:vAlign w:val="bottom"/>
          </w:tcPr>
          <w:p>
            <w:pPr>
              <w:jc w:val="center"/>
              <w:spacing w:after="0"/>
              <w:rPr>
                <w:sz w:val="20"/>
                <w:szCs w:val="20"/>
                <w:color w:val="auto"/>
              </w:rPr>
            </w:pPr>
            <w:r>
              <w:rPr>
                <w:rFonts w:ascii="Arial" w:cs="Arial" w:eastAsia="Arial" w:hAnsi="Arial"/>
                <w:sz w:val="16"/>
                <w:szCs w:val="16"/>
                <w:color w:val="auto"/>
                <w:w w:val="89"/>
              </w:rPr>
              <w:t>Flat</w:t>
            </w:r>
          </w:p>
        </w:tc>
      </w:tr>
      <w:tr>
        <w:trPr>
          <w:trHeight w:val="33"/>
        </w:trPr>
        <w:tc>
          <w:tcPr>
            <w:tcW w:w="66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Increase</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Flat</w:t>
            </w:r>
          </w:p>
        </w:tc>
      </w:tr>
      <w:tr>
        <w:trPr>
          <w:trHeight w:val="237"/>
        </w:trPr>
        <w:tc>
          <w:tcPr>
            <w:tcW w:w="66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36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Decrease</w:t>
            </w:r>
          </w:p>
        </w:tc>
        <w:tc>
          <w:tcPr>
            <w:tcW w:w="2240" w:type="dxa"/>
            <w:vAlign w:val="bottom"/>
          </w:tcPr>
          <w:p>
            <w:pPr>
              <w:jc w:val="center"/>
              <w:spacing w:after="0"/>
              <w:rPr>
                <w:sz w:val="20"/>
                <w:szCs w:val="20"/>
                <w:color w:val="auto"/>
              </w:rPr>
            </w:pPr>
            <w:r>
              <w:rPr>
                <w:rFonts w:ascii="Arial" w:cs="Arial" w:eastAsia="Arial" w:hAnsi="Arial"/>
                <w:sz w:val="16"/>
                <w:szCs w:val="16"/>
                <w:color w:val="auto"/>
                <w:w w:val="87"/>
              </w:rPr>
              <w:t>Decrease</w:t>
            </w:r>
          </w:p>
        </w:tc>
      </w:tr>
      <w:tr>
        <w:trPr>
          <w:trHeight w:val="33"/>
        </w:trPr>
        <w:tc>
          <w:tcPr>
            <w:tcW w:w="66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37"/>
        </w:trPr>
        <w:tc>
          <w:tcPr>
            <w:tcW w:w="6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purchased intangibles</w:t>
            </w:r>
          </w:p>
        </w:tc>
        <w:tc>
          <w:tcPr>
            <w:tcW w:w="23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Decrease</w:t>
            </w:r>
          </w:p>
        </w:tc>
        <w:tc>
          <w:tcPr>
            <w:tcW w:w="2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Flat</w:t>
            </w:r>
          </w:p>
        </w:tc>
      </w:tr>
      <w:tr>
        <w:trPr>
          <w:trHeight w:val="33"/>
        </w:trPr>
        <w:tc>
          <w:tcPr>
            <w:tcW w:w="66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and Other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July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4"/>
                <w:szCs w:val="14"/>
                <w:b w:val="1"/>
                <w:bCs w:val="1"/>
                <w:color w:val="auto"/>
              </w:rPr>
              <w:t>Six Months Ended July 31,</w:t>
            </w:r>
          </w:p>
        </w:tc>
      </w:tr>
      <w:tr>
        <w:trPr>
          <w:trHeight w:val="263"/>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r>
      <w:tr>
        <w:trPr>
          <w:trHeight w:val="23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expense, net</w:t>
            </w:r>
          </w:p>
        </w:tc>
        <w:tc>
          <w:tcPr>
            <w:tcW w:w="880" w:type="dxa"/>
            <w:vAlign w:val="bottom"/>
            <w:tcBorders>
              <w:bottom w:val="single" w:sz="8" w:color="CCEEFF"/>
            </w:tcBorders>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Gain on foreign currency</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3.0</w:t>
            </w:r>
          </w:p>
        </w:tc>
      </w:tr>
      <w:tr>
        <w:trPr>
          <w:trHeight w:val="33"/>
        </w:trPr>
        <w:tc>
          <w:tcPr>
            <w:tcW w:w="5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gain on non-marketable equity securities, net</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4.7</w:t>
            </w:r>
          </w:p>
        </w:tc>
      </w:tr>
      <w:tr>
        <w:trPr>
          <w:trHeight w:val="33"/>
        </w:trPr>
        <w:tc>
          <w:tcPr>
            <w:tcW w:w="55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net</w:t>
            </w:r>
          </w:p>
        </w:tc>
        <w:tc>
          <w:tcPr>
            <w:tcW w:w="880" w:type="dxa"/>
            <w:vAlign w:val="bottom"/>
            <w:tcBorders>
              <w:bottom w:val="single" w:sz="8" w:color="CCEEFF"/>
            </w:tcBorders>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Interest and other expense, net, increased by $9.8 million and $33.7 million during the three and six months ended July 31, 2020, respectively, as compared to the same periods in the prior fiscal year. The increase in the three months ended July 31, 2020, as compared to the same period in the prior fiscal year was primarily due to an increase in negative adjustments, including impairments, on our non-marketable equity securities offset by an increase in mark-to-market gains on marketable securities and a decrease in interest expense as result of the payment in full of our term loan. The increase in the six months ended July 31, 2020, as compared to the same period in the prior fiscal year was primarily due to an increase in negative adjustments, including impairments, on our non-marketable equity securities and a decrease in mark-to-market gains on marketable securities offset by a decrease in interest expense as result of the payment in full of our term loan.</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and investment income fluctuates based on average cash, marketable securities, debt balances, average maturities and interest rates.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687" w:right="339" w:bottom="1440" w:gutter="0" w:footer="0" w:header="0"/>
        </w:sectPr>
      </w:pPr>
    </w:p>
    <w:bookmarkStart w:id="39" w:name="page40"/>
    <w:bookmarkEnd w:id="39"/>
    <w:p>
      <w:pPr>
        <w:ind w:firstLine="405"/>
        <w:spacing w:after="0" w:line="263"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240" w:firstLine="432"/>
        <w:spacing w:after="0" w:line="263"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4" w:lineRule="exact"/>
        <w:rPr>
          <w:sz w:val="20"/>
          <w:szCs w:val="20"/>
          <w:color w:val="auto"/>
        </w:rPr>
      </w:pPr>
    </w:p>
    <w:p>
      <w:pPr>
        <w:ind w:right="40" w:firstLine="432"/>
        <w:spacing w:after="0" w:line="296" w:lineRule="auto"/>
        <w:rPr>
          <w:sz w:val="20"/>
          <w:szCs w:val="20"/>
          <w:color w:val="auto"/>
        </w:rPr>
      </w:pPr>
      <w:r>
        <w:rPr>
          <w:rFonts w:ascii="Arial" w:cs="Arial" w:eastAsia="Arial" w:hAnsi="Arial"/>
          <w:sz w:val="16"/>
          <w:szCs w:val="16"/>
          <w:color w:val="auto"/>
        </w:rPr>
        <w:t>We had an income tax expense of $30.8 million, relative to pre-tax income of $129.0 million for the three months ended July 31, 2020, and an income tax expense of $26.3 million, relative to pre-tax income of $66.5 million for the three months ended July 31, 2019. We had an income tax expense of $54.8 million, relative to pre-tax income of $219.5 million for the six months ended July 31, 2020, and an income tax expense of $59.1 million, relative to pre-tax income of $75.1 million for the six months ended July 31, 2019. Income tax expense for the three and six months ended July 31, 2020, increased and decreased, respectively, as a result of the jurisdictional mix of year-to-date earnings relative to the worldwide annual effective tax rate.</w:t>
      </w:r>
    </w:p>
    <w:p>
      <w:pPr>
        <w:spacing w:after="0" w:line="161" w:lineRule="exact"/>
        <w:rPr>
          <w:sz w:val="20"/>
          <w:szCs w:val="20"/>
          <w:color w:val="auto"/>
        </w:rPr>
      </w:pPr>
    </w:p>
    <w:p>
      <w:pPr>
        <w:ind w:right="300" w:firstLine="432"/>
        <w:spacing w:after="0" w:line="263" w:lineRule="auto"/>
        <w:rPr>
          <w:sz w:val="20"/>
          <w:szCs w:val="20"/>
          <w:color w:val="auto"/>
        </w:rPr>
      </w:pPr>
      <w:r>
        <w:rPr>
          <w:rFonts w:ascii="Arial" w:cs="Arial" w:eastAsia="Arial" w:hAnsi="Arial"/>
          <w:sz w:val="18"/>
          <w:szCs w:val="18"/>
          <w:color w:val="auto"/>
        </w:rPr>
        <w:t>We regularly assess the need for a valuation allowance against our deferred tax assets. In making that assessment, we consider both positive and negative evidence related to the likelihood of realization of the deferred tax assets to determine, based on the weight of available evidence, whether it is more likely than not that some or all of the deferred tax assets will not be realized.</w:t>
      </w:r>
    </w:p>
    <w:p>
      <w:pPr>
        <w:spacing w:after="0" w:line="18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anticipate a significant increase in U.S. taxable income in fiscal 2021 due to current year increase in global earnings. We currently forecast the utilization of U.S. deferred tax assets to offset U.S. taxable income resulting from the inclusion of foreign earnings. While increased U.S. taxable income is considered positive evidence, we believe that the U.S. jurisdiction's cumulative losses should be given more weight and have maintained the valuation allowance on our U.S. deferred tax assets.</w:t>
      </w:r>
    </w:p>
    <w:p>
      <w:pPr>
        <w:spacing w:after="0" w:line="187"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As we continually strive to optimize our overall business model, tax planning strategies may become feasible and prudent allowing us to realize many of the deferred tax assets that are offset by a valuation allowance; therefore, we will continue to evaluate the ability to utilize the deferred tax assets each quarter, both in the U.S. and in foreign jurisdictions, based on all available evidence, both positive and negative.</w:t>
      </w:r>
    </w:p>
    <w:p>
      <w:pPr>
        <w:spacing w:after="0" w:line="165"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As of July 31, 2020, we had $222.4 million of gross unrecognized tax benefits, of which $204.7 million would reduce our valuation allowance, if recognized. The remaining $17.7 million would impact the effective tax rate, if recognized. It is possible that the amount of unrecognized tax benefits will change in the next twelve months; however, an estimate of the range of the possible change cannot be made at this time.</w:t>
      </w:r>
    </w:p>
    <w:p>
      <w:pPr>
        <w:spacing w:after="0" w:line="165" w:lineRule="exact"/>
        <w:rPr>
          <w:sz w:val="20"/>
          <w:szCs w:val="20"/>
          <w:color w:val="auto"/>
        </w:rPr>
      </w:pPr>
    </w:p>
    <w:p>
      <w:pPr>
        <w:ind w:right="140" w:firstLine="405"/>
        <w:spacing w:after="0" w:line="263" w:lineRule="auto"/>
        <w:rPr>
          <w:sz w:val="20"/>
          <w:szCs w:val="20"/>
          <w:color w:val="auto"/>
        </w:rPr>
      </w:pPr>
      <w:r>
        <w:rPr>
          <w:rFonts w:ascii="Arial" w:cs="Arial" w:eastAsia="Arial" w:hAnsi="Arial"/>
          <w:sz w:val="18"/>
          <w:szCs w:val="18"/>
          <w:color w:val="auto"/>
        </w:rPr>
        <w:t>We anticipate that the U.S. Department of Treasury will continue to interpret or issue guidance on how provisions of the U.S. Tax Cuts and Jobs Act ("Tax Act") will be applied or otherwise administered. As future guidance is issued, we may make adjustments to the amounts that we have previously recorded that may materially impact our financial statements.</w:t>
      </w:r>
    </w:p>
    <w:p>
      <w:pPr>
        <w:spacing w:after="0" w:line="184"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including impacts of the Tax Act. A significant amount of our earnings is generated by our Europe and Asia Pacific subsidiaries. Our future effective tax rates may be adversely affected to the extent earnings are lower than anticipated in countries where we have lower statutory tax rates.</w:t>
      </w:r>
    </w:p>
    <w:p>
      <w:pPr>
        <w:spacing w:after="0" w:line="176" w:lineRule="exact"/>
        <w:rPr>
          <w:sz w:val="20"/>
          <w:szCs w:val="20"/>
          <w:color w:val="auto"/>
        </w:rPr>
      </w:pPr>
    </w:p>
    <w:p>
      <w:pPr>
        <w:ind w:right="140" w:firstLine="405"/>
        <w:spacing w:after="0" w:line="271" w:lineRule="auto"/>
        <w:rPr>
          <w:sz w:val="20"/>
          <w:szCs w:val="20"/>
          <w:color w:val="auto"/>
        </w:rPr>
      </w:pPr>
      <w:r>
        <w:rPr>
          <w:rFonts w:ascii="Arial" w:cs="Arial" w:eastAsia="Arial" w:hAnsi="Arial"/>
          <w:sz w:val="17"/>
          <w:szCs w:val="17"/>
          <w:color w:val="auto"/>
        </w:rPr>
        <w:t>On March 27, 2020, the President of the United States signed into law the Coronavirus Aid, Relief and Economic Security Act (the "CARES Act"). The CARES Act, among other things, included certain income tax provisions for individuals and corporations; however, these benefits do not impact the Company's current tax provision due to the U.S. full valuation allowance. In addition to the CARES Act, California enacted Assembly Bill No. 85, suspending utilization of net operating losses and limiting R&amp;D credits utilization against California taxable income in excess of $5.0 million for the succeeding 3 years. The enactment of this state tax legislation will result in an increase in California taxes for Autodesk. In response to the impact of COVID-19, certain governmental agencies have provided employer wage and retirement subsidies or employment tax deferrals. Where Autodesk has availed itself of such subsidies or deferrals, we have accounted for the tax impact in our income tax provision. As of the second quarter of fiscal 2021, the Company continues to be able to reliably estimate forecasted earnings and tax by jurisdiction for the year.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557"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to our results determined under GAAP discussed above, we believe the following non-GAAP measures are useful to investors in evaluating our operating performance. For the three and six months ended July 31, 2020 and 2019, our gross profit, gross margin, income from operations, operating margin, net income and diluted net income per share on a GAAP and non-GAAP basis were as follows (in millions except for gross margin, operating margin, and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296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 July 31,</w:t>
            </w:r>
          </w:p>
        </w:tc>
        <w:tc>
          <w:tcPr>
            <w:tcW w:w="440" w:type="dxa"/>
            <w:vAlign w:val="bottom"/>
          </w:tcPr>
          <w:p>
            <w:pPr>
              <w:spacing w:after="0"/>
              <w:rPr>
                <w:sz w:val="16"/>
                <w:szCs w:val="16"/>
                <w:color w:val="auto"/>
              </w:rPr>
            </w:pPr>
          </w:p>
        </w:tc>
        <w:tc>
          <w:tcPr>
            <w:tcW w:w="24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Six Months Ended July 31,</w:t>
            </w:r>
          </w:p>
        </w:tc>
      </w:tr>
      <w:tr>
        <w:trPr>
          <w:trHeight w:val="263"/>
        </w:trPr>
        <w:tc>
          <w:tcPr>
            <w:tcW w:w="54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2019</w:t>
            </w:r>
          </w:p>
        </w:tc>
      </w:tr>
      <w:tr>
        <w:trPr>
          <w:trHeight w:val="196"/>
        </w:trPr>
        <w:tc>
          <w:tcPr>
            <w:tcW w:w="5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4"/>
              </w:rPr>
              <w:t>832.2</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717.3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1,636.0</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1,370.1</w:t>
            </w: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39"/>
              <w:spacing w:after="0"/>
              <w:rPr>
                <w:sz w:val="20"/>
                <w:szCs w:val="20"/>
                <w:color w:val="auto"/>
              </w:rPr>
            </w:pPr>
            <w:r>
              <w:rPr>
                <w:rFonts w:ascii="Arial" w:cs="Arial" w:eastAsia="Arial" w:hAnsi="Arial"/>
                <w:sz w:val="16"/>
                <w:szCs w:val="16"/>
                <w:color w:val="auto"/>
                <w:w w:val="84"/>
              </w:rPr>
              <w:t>845.5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730.7</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1,662.0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1,397.6</w:t>
            </w:r>
          </w:p>
        </w:tc>
      </w:tr>
      <w:tr>
        <w:trPr>
          <w:trHeight w:val="33"/>
        </w:trPr>
        <w:tc>
          <w:tcPr>
            <w:tcW w:w="5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8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8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93%</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33"/>
        </w:trPr>
        <w:tc>
          <w:tcPr>
            <w:tcW w:w="5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4"/>
              </w:rPr>
              <w:t>146.1</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276.7</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98.6</w:t>
            </w: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Non-GAAP income from operations</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39"/>
              <w:spacing w:after="0"/>
              <w:rPr>
                <w:sz w:val="20"/>
                <w:szCs w:val="20"/>
                <w:color w:val="auto"/>
              </w:rPr>
            </w:pPr>
            <w:r>
              <w:rPr>
                <w:rFonts w:ascii="Arial" w:cs="Arial" w:eastAsia="Arial" w:hAnsi="Arial"/>
                <w:sz w:val="16"/>
                <w:szCs w:val="16"/>
                <w:color w:val="auto"/>
                <w:w w:val="84"/>
              </w:rPr>
              <w:t>262.4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186.5</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510.2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318.4</w:t>
            </w:r>
          </w:p>
        </w:tc>
      </w:tr>
      <w:tr>
        <w:trPr>
          <w:trHeight w:val="33"/>
        </w:trPr>
        <w:tc>
          <w:tcPr>
            <w:tcW w:w="5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8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8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5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98.2</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164.7</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16.0</w:t>
            </w: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Non-GAAP net income</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39"/>
              <w:spacing w:after="0"/>
              <w:rPr>
                <w:sz w:val="20"/>
                <w:szCs w:val="20"/>
                <w:color w:val="auto"/>
              </w:rPr>
            </w:pPr>
            <w:r>
              <w:rPr>
                <w:rFonts w:ascii="Arial" w:cs="Arial" w:eastAsia="Arial" w:hAnsi="Arial"/>
                <w:sz w:val="16"/>
                <w:szCs w:val="16"/>
                <w:color w:val="auto"/>
                <w:w w:val="84"/>
              </w:rPr>
              <w:t>218.0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145.1</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406.4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244.1</w:t>
            </w:r>
          </w:p>
        </w:tc>
      </w:tr>
      <w:tr>
        <w:trPr>
          <w:trHeight w:val="33"/>
        </w:trPr>
        <w:tc>
          <w:tcPr>
            <w:tcW w:w="5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income per share</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0.44</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0.74</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0.07</w:t>
            </w: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Non-GAAP diluted net income per share</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39"/>
              <w:spacing w:after="0"/>
              <w:rPr>
                <w:sz w:val="20"/>
                <w:szCs w:val="20"/>
                <w:color w:val="auto"/>
              </w:rPr>
            </w:pPr>
            <w:r>
              <w:rPr>
                <w:rFonts w:ascii="Arial" w:cs="Arial" w:eastAsia="Arial" w:hAnsi="Arial"/>
                <w:sz w:val="16"/>
                <w:szCs w:val="16"/>
                <w:color w:val="auto"/>
              </w:rPr>
              <w:t>0.98</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1.83</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1.10</w:t>
            </w:r>
          </w:p>
        </w:tc>
      </w:tr>
    </w:tbl>
    <w:p>
      <w:pPr>
        <w:spacing w:after="0" w:line="235"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to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68"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769" w:right="339" w:bottom="1440" w:gutter="0" w:footer="0" w:header="0"/>
        </w:sectPr>
      </w:pPr>
    </w:p>
    <w:bookmarkStart w:id="41" w:name="page42"/>
    <w:bookmarkEnd w:id="41"/>
    <w:p>
      <w:pPr>
        <w:ind w:right="5140"/>
        <w:spacing w:after="0" w:line="569" w:lineRule="auto"/>
        <w:rPr>
          <w:sz w:val="20"/>
          <w:szCs w:val="20"/>
          <w:color w:val="auto"/>
        </w:rPr>
      </w:pPr>
      <w:r>
        <w:rPr>
          <w:rFonts w:ascii="Arial" w:cs="Arial" w:eastAsia="Arial" w:hAnsi="Arial"/>
          <w:sz w:val="16"/>
          <w:szCs w:val="16"/>
          <w:b w:val="1"/>
          <w:bCs w:val="1"/>
          <w:color w:val="auto"/>
        </w:rPr>
        <w:t xml:space="preserve">Reconciliation of GAAP Financial Measures to Non-GAAP Financial Measures </w:t>
      </w:r>
      <w:r>
        <w:rPr>
          <w:rFonts w:ascii="Arial" w:cs="Arial" w:eastAsia="Arial" w:hAnsi="Arial"/>
          <w:sz w:val="16"/>
          <w:szCs w:val="16"/>
          <w:color w:val="auto"/>
        </w:rPr>
        <w:t>(In millions except for gross margin, operating margin, and per share data):</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94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July 31,</w:t>
            </w:r>
          </w:p>
        </w:tc>
        <w:tc>
          <w:tcPr>
            <w:tcW w:w="220" w:type="dxa"/>
            <w:vAlign w:val="bottom"/>
          </w:tcPr>
          <w:p>
            <w:pPr>
              <w:spacing w:after="0"/>
              <w:rPr>
                <w:sz w:val="16"/>
                <w:szCs w:val="16"/>
                <w:color w:val="auto"/>
              </w:rPr>
            </w:pPr>
          </w:p>
        </w:tc>
        <w:tc>
          <w:tcPr>
            <w:tcW w:w="210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w w:val="99"/>
              </w:rPr>
              <w:t>Six Months Ended July 31,</w:t>
            </w:r>
          </w:p>
        </w:tc>
        <w:tc>
          <w:tcPr>
            <w:tcW w:w="0" w:type="dxa"/>
            <w:vAlign w:val="bottom"/>
          </w:tcPr>
          <w:p>
            <w:pPr>
              <w:spacing w:after="0"/>
              <w:rPr>
                <w:sz w:val="1"/>
                <w:szCs w:val="1"/>
                <w:color w:val="auto"/>
              </w:rPr>
            </w:pPr>
          </w:p>
        </w:tc>
      </w:tr>
      <w:tr>
        <w:trPr>
          <w:trHeight w:val="263"/>
        </w:trPr>
        <w:tc>
          <w:tcPr>
            <w:tcW w:w="59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(Unaudited)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820" w:type="dxa"/>
            <w:vAlign w:val="bottom"/>
            <w:tcBorders>
              <w:bottom w:val="single" w:sz="8" w:color="CCEEFF"/>
            </w:tcBorders>
            <w:shd w:val="clear" w:color="auto" w:fill="CCEEFF"/>
          </w:tcPr>
          <w:p>
            <w:pPr>
              <w:jc w:val="right"/>
              <w:ind w:right="64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832.2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717.3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1,636.0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1,370.1</w:t>
            </w:r>
          </w:p>
        </w:tc>
        <w:tc>
          <w:tcPr>
            <w:tcW w:w="0" w:type="dxa"/>
            <w:vAlign w:val="bottom"/>
          </w:tcPr>
          <w:p>
            <w:pPr>
              <w:spacing w:after="0"/>
              <w:rPr>
                <w:sz w:val="1"/>
                <w:szCs w:val="1"/>
                <w:color w:val="auto"/>
              </w:rPr>
            </w:pPr>
          </w:p>
        </w:tc>
      </w:tr>
      <w:tr>
        <w:trPr>
          <w:trHeight w:val="237"/>
        </w:trPr>
        <w:tc>
          <w:tcPr>
            <w:tcW w:w="59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82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37"/>
        </w:trPr>
        <w:tc>
          <w:tcPr>
            <w:tcW w:w="5920" w:type="dxa"/>
            <w:vAlign w:val="bottom"/>
          </w:tcPr>
          <w:p>
            <w:pPr>
              <w:ind w:left="380"/>
              <w:spacing w:after="0"/>
              <w:rPr>
                <w:sz w:val="20"/>
                <w:szCs w:val="20"/>
                <w:color w:val="auto"/>
              </w:rPr>
            </w:pPr>
            <w:r>
              <w:rPr>
                <w:rFonts w:ascii="Arial" w:cs="Arial" w:eastAsia="Arial" w:hAnsi="Arial"/>
                <w:sz w:val="16"/>
                <w:szCs w:val="16"/>
                <w:color w:val="auto"/>
              </w:rPr>
              <w:t>Acquisition-related costs</w:t>
            </w:r>
          </w:p>
        </w:tc>
        <w:tc>
          <w:tcPr>
            <w:tcW w:w="82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gross profit</w:t>
            </w:r>
          </w:p>
        </w:tc>
        <w:tc>
          <w:tcPr>
            <w:tcW w:w="820" w:type="dxa"/>
            <w:vAlign w:val="bottom"/>
            <w:tcBorders>
              <w:bottom w:val="single" w:sz="8" w:color="CCEEFF"/>
            </w:tcBorders>
            <w:shd w:val="clear" w:color="auto" w:fill="CCEEFF"/>
          </w:tcPr>
          <w:p>
            <w:pPr>
              <w:jc w:val="right"/>
              <w:ind w:right="64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845.5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730.7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1,662.0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1,397.6</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margin</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920" w:type="dxa"/>
            <w:vAlign w:val="bottom"/>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9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gross margin (1)</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Income from operations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920" w:type="dxa"/>
            <w:vAlign w:val="bottom"/>
            <w:vMerge w:val="continue"/>
          </w:tcPr>
          <w:p>
            <w:pPr>
              <w:spacing w:after="0"/>
              <w:rPr>
                <w:sz w:val="17"/>
                <w:szCs w:val="17"/>
                <w:color w:val="auto"/>
              </w:rPr>
            </w:pPr>
          </w:p>
        </w:tc>
        <w:tc>
          <w:tcPr>
            <w:tcW w:w="820" w:type="dxa"/>
            <w:vAlign w:val="bottom"/>
          </w:tcPr>
          <w:p>
            <w:pPr>
              <w:jc w:val="right"/>
              <w:ind w:right="64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w w:val="89"/>
              </w:rPr>
              <w:t>146.1</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276.7</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163.4</w:t>
            </w:r>
          </w:p>
        </w:tc>
        <w:tc>
          <w:tcPr>
            <w:tcW w:w="0" w:type="dxa"/>
            <w:vAlign w:val="bottom"/>
          </w:tcPr>
          <w:p>
            <w:pPr>
              <w:spacing w:after="0"/>
              <w:rPr>
                <w:sz w:val="1"/>
                <w:szCs w:val="1"/>
                <w:color w:val="auto"/>
              </w:rPr>
            </w:pPr>
          </w:p>
        </w:tc>
      </w:tr>
      <w:tr>
        <w:trPr>
          <w:trHeight w:val="237"/>
        </w:trPr>
        <w:tc>
          <w:tcPr>
            <w:tcW w:w="5920" w:type="dxa"/>
            <w:vAlign w:val="bottom"/>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82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37"/>
        </w:trPr>
        <w:tc>
          <w:tcPr>
            <w:tcW w:w="5920" w:type="dxa"/>
            <w:vAlign w:val="bottom"/>
          </w:tcPr>
          <w:p>
            <w:pPr>
              <w:ind w:left="380"/>
              <w:spacing w:after="0"/>
              <w:rPr>
                <w:sz w:val="20"/>
                <w:szCs w:val="20"/>
                <w:color w:val="auto"/>
              </w:rPr>
            </w:pPr>
            <w:r>
              <w:rPr>
                <w:rFonts w:ascii="Arial" w:cs="Arial" w:eastAsia="Arial" w:hAnsi="Arial"/>
                <w:sz w:val="16"/>
                <w:szCs w:val="16"/>
                <w:color w:val="auto"/>
              </w:rPr>
              <w:t>Acquisition-related costs</w:t>
            </w:r>
          </w:p>
        </w:tc>
        <w:tc>
          <w:tcPr>
            <w:tcW w:w="82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8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7"/>
        </w:trPr>
        <w:tc>
          <w:tcPr>
            <w:tcW w:w="5920" w:type="dxa"/>
            <w:vAlign w:val="bottom"/>
          </w:tcPr>
          <w:p>
            <w:pPr>
              <w:ind w:left="20"/>
              <w:spacing w:after="0"/>
              <w:rPr>
                <w:sz w:val="20"/>
                <w:szCs w:val="20"/>
                <w:color w:val="auto"/>
              </w:rPr>
            </w:pPr>
            <w:r>
              <w:rPr>
                <w:rFonts w:ascii="Arial" w:cs="Arial" w:eastAsia="Arial" w:hAnsi="Arial"/>
                <w:sz w:val="16"/>
                <w:szCs w:val="16"/>
                <w:color w:val="auto"/>
              </w:rPr>
              <w:t>Non-GAAP income from operations</w:t>
            </w:r>
          </w:p>
        </w:tc>
        <w:tc>
          <w:tcPr>
            <w:tcW w:w="820" w:type="dxa"/>
            <w:vAlign w:val="bottom"/>
            <w:tcBorders>
              <w:top w:val="single" w:sz="8" w:color="auto"/>
            </w:tcBorders>
          </w:tcPr>
          <w:p>
            <w:pPr>
              <w:jc w:val="right"/>
              <w:ind w:right="641"/>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262.4</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186.5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510.2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318.4</w:t>
            </w:r>
          </w:p>
        </w:tc>
        <w:tc>
          <w:tcPr>
            <w:tcW w:w="0" w:type="dxa"/>
            <w:vAlign w:val="bottom"/>
          </w:tcPr>
          <w:p>
            <w:pPr>
              <w:spacing w:after="0"/>
              <w:rPr>
                <w:sz w:val="1"/>
                <w:szCs w:val="1"/>
                <w:color w:val="auto"/>
              </w:rPr>
            </w:pPr>
          </w:p>
        </w:tc>
      </w:tr>
      <w:tr>
        <w:trPr>
          <w:trHeight w:val="73"/>
        </w:trPr>
        <w:tc>
          <w:tcPr>
            <w:tcW w:w="592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92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Operating margin</w:t>
            </w:r>
          </w:p>
        </w:tc>
        <w:tc>
          <w:tcPr>
            <w:tcW w:w="8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9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9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Acquisition-related costs</w:t>
            </w:r>
          </w:p>
        </w:tc>
        <w:tc>
          <w:tcPr>
            <w:tcW w:w="8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5920" w:type="dxa"/>
            <w:vAlign w:val="bottom"/>
          </w:tcPr>
          <w:p>
            <w:pPr>
              <w:ind w:left="20"/>
              <w:spacing w:after="0"/>
              <w:rPr>
                <w:sz w:val="20"/>
                <w:szCs w:val="20"/>
                <w:color w:val="auto"/>
              </w:rPr>
            </w:pPr>
            <w:r>
              <w:rPr>
                <w:rFonts w:ascii="Arial" w:cs="Arial" w:eastAsia="Arial" w:hAnsi="Arial"/>
                <w:sz w:val="16"/>
                <w:szCs w:val="16"/>
                <w:color w:val="auto"/>
              </w:rPr>
              <w:t>Non-GAAP operating margin (1)</w:t>
            </w:r>
          </w:p>
        </w:tc>
        <w:tc>
          <w:tcPr>
            <w:tcW w:w="8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73"/>
        </w:trPr>
        <w:tc>
          <w:tcPr>
            <w:tcW w:w="592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592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CCEEFF"/>
            </w:tcBorders>
            <w:shd w:val="clear" w:color="auto" w:fill="CCEEFF"/>
          </w:tcPr>
          <w:p>
            <w:pPr>
              <w:jc w:val="right"/>
              <w:ind w:right="64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164.7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37"/>
        </w:trPr>
        <w:tc>
          <w:tcPr>
            <w:tcW w:w="59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82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95.9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194.1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163.4</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37"/>
        </w:trPr>
        <w:tc>
          <w:tcPr>
            <w:tcW w:w="59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82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Acquisition-related costs</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37"/>
        </w:trPr>
        <w:tc>
          <w:tcPr>
            <w:tcW w:w="5920" w:type="dxa"/>
            <w:vAlign w:val="bottom"/>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82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(gain) on strategic investments and dispositions, net</w:t>
            </w: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5920" w:type="dxa"/>
            <w:vAlign w:val="bottom"/>
          </w:tcPr>
          <w:p>
            <w:pPr>
              <w:ind w:left="380"/>
              <w:spacing w:after="0"/>
              <w:rPr>
                <w:sz w:val="20"/>
                <w:szCs w:val="20"/>
                <w:color w:val="auto"/>
              </w:rPr>
            </w:pPr>
            <w:r>
              <w:rPr>
                <w:rFonts w:ascii="Arial" w:cs="Arial" w:eastAsia="Arial" w:hAnsi="Arial"/>
                <w:sz w:val="16"/>
                <w:szCs w:val="16"/>
                <w:color w:val="auto"/>
              </w:rPr>
              <w:t>Discrete tax benefit items</w:t>
            </w:r>
          </w:p>
        </w:tc>
        <w:tc>
          <w:tcPr>
            <w:tcW w:w="82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7"/>
        </w:trPr>
        <w:tc>
          <w:tcPr>
            <w:tcW w:w="5920" w:type="dxa"/>
            <w:vAlign w:val="bottom"/>
          </w:tcPr>
          <w:p>
            <w:pPr>
              <w:ind w:left="20"/>
              <w:spacing w:after="0"/>
              <w:rPr>
                <w:sz w:val="20"/>
                <w:szCs w:val="20"/>
                <w:color w:val="auto"/>
              </w:rPr>
            </w:pPr>
            <w:r>
              <w:rPr>
                <w:rFonts w:ascii="Arial" w:cs="Arial" w:eastAsia="Arial" w:hAnsi="Arial"/>
                <w:sz w:val="16"/>
                <w:szCs w:val="16"/>
                <w:color w:val="auto"/>
              </w:rPr>
              <w:t>Non-GAAP net income</w:t>
            </w:r>
          </w:p>
        </w:tc>
        <w:tc>
          <w:tcPr>
            <w:tcW w:w="820" w:type="dxa"/>
            <w:vAlign w:val="bottom"/>
            <w:tcBorders>
              <w:top w:val="single" w:sz="8" w:color="auto"/>
            </w:tcBorders>
          </w:tcPr>
          <w:p>
            <w:pPr>
              <w:jc w:val="right"/>
              <w:ind w:right="641"/>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218.0</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145.1</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406.4</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244.1</w:t>
            </w:r>
          </w:p>
        </w:tc>
        <w:tc>
          <w:tcPr>
            <w:tcW w:w="0" w:type="dxa"/>
            <w:vAlign w:val="bottom"/>
          </w:tcPr>
          <w:p>
            <w:pPr>
              <w:spacing w:after="0"/>
              <w:rPr>
                <w:sz w:val="1"/>
                <w:szCs w:val="1"/>
                <w:color w:val="auto"/>
              </w:rPr>
            </w:pPr>
          </w:p>
        </w:tc>
      </w:tr>
      <w:tr>
        <w:trPr>
          <w:trHeight w:val="33"/>
        </w:trPr>
        <w:tc>
          <w:tcPr>
            <w:tcW w:w="59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553" w:right="3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July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Six Months Ended July 31,</w:t>
            </w:r>
          </w:p>
        </w:tc>
      </w:tr>
      <w:tr>
        <w:trPr>
          <w:trHeight w:val="263"/>
        </w:trPr>
        <w:tc>
          <w:tcPr>
            <w:tcW w:w="55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r>
      <w:tr>
        <w:trPr>
          <w:trHeight w:val="196"/>
        </w:trPr>
        <w:tc>
          <w:tcPr>
            <w:tcW w:w="5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income per share</w:t>
            </w:r>
          </w:p>
        </w:tc>
        <w:tc>
          <w:tcPr>
            <w:tcW w:w="880" w:type="dxa"/>
            <w:vAlign w:val="bottom"/>
            <w:tcBorders>
              <w:bottom w:val="single" w:sz="8" w:color="CCEEFF"/>
            </w:tcBorders>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0.44</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0.07</w:t>
            </w: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jc w:val="right"/>
              <w:ind w:right="40"/>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0.87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0.74</w:t>
            </w:r>
          </w:p>
        </w:tc>
      </w:tr>
      <w:tr>
        <w:trPr>
          <w:trHeight w:val="33"/>
        </w:trPr>
        <w:tc>
          <w:tcPr>
            <w:tcW w:w="5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0.08</w:t>
            </w: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jc w:val="right"/>
              <w:ind w:right="4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0.09</w:t>
            </w:r>
          </w:p>
        </w:tc>
      </w:tr>
      <w:tr>
        <w:trPr>
          <w:trHeight w:val="33"/>
        </w:trPr>
        <w:tc>
          <w:tcPr>
            <w:tcW w:w="5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Acquisition-related costs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0.09</w:t>
            </w: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Loss (gain) on strategic investments and dispositions, net</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5"/>
              </w:rPr>
              <w:t>(0.01)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0.01</w:t>
            </w:r>
          </w:p>
        </w:tc>
      </w:tr>
      <w:tr>
        <w:trPr>
          <w:trHeight w:val="33"/>
        </w:trPr>
        <w:tc>
          <w:tcPr>
            <w:tcW w:w="5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provision items</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5520" w:type="dxa"/>
            <w:vAlign w:val="bottom"/>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5"/>
              </w:rPr>
              <w:t>(0.05)</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5"/>
              </w:rPr>
              <w:t>(0.04)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0.02</w:t>
            </w:r>
          </w:p>
        </w:tc>
      </w:tr>
      <w:tr>
        <w:trPr>
          <w:trHeight w:val="33"/>
        </w:trPr>
        <w:tc>
          <w:tcPr>
            <w:tcW w:w="55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diluted net income per share</w:t>
            </w:r>
          </w:p>
        </w:tc>
        <w:tc>
          <w:tcPr>
            <w:tcW w:w="880" w:type="dxa"/>
            <w:vAlign w:val="bottom"/>
            <w:tcBorders>
              <w:bottom w:val="single" w:sz="8" w:color="CCEEFF"/>
            </w:tcBorders>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0.98</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0.65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w:t>
            </w:r>
          </w:p>
        </w:tc>
      </w:tr>
      <w:tr>
        <w:trPr>
          <w:trHeight w:val="220"/>
        </w:trPr>
        <w:tc>
          <w:tcPr>
            <w:tcW w:w="5520" w:type="dxa"/>
            <w:vAlign w:val="bottom"/>
          </w:tcPr>
          <w:p>
            <w:pPr>
              <w:spacing w:after="0"/>
              <w:rPr>
                <w:sz w:val="20"/>
                <w:szCs w:val="20"/>
                <w:color w:val="auto"/>
              </w:rPr>
            </w:pPr>
            <w:r>
              <w:rPr>
                <w:rFonts w:ascii="Arial" w:cs="Arial" w:eastAsia="Arial" w:hAnsi="Arial"/>
                <w:sz w:val="18"/>
                <w:szCs w:val="18"/>
                <w:color w:val="auto"/>
              </w:rPr>
              <w:t>____________________</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ind w:left="420" w:hanging="412"/>
        <w:spacing w:after="0"/>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202"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Our non-GAAP financial measures may exclude the following, as applicable:</w:t>
      </w:r>
    </w:p>
    <w:p>
      <w:pPr>
        <w:spacing w:after="0" w:line="225"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6"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ind w:right="100" w:firstLine="391"/>
        <w:spacing w:after="0" w:line="257" w:lineRule="auto"/>
        <w:rPr>
          <w:sz w:val="20"/>
          <w:szCs w:val="20"/>
          <w:color w:val="auto"/>
        </w:rPr>
      </w:pPr>
      <w:r>
        <w:rPr>
          <w:rFonts w:ascii="Arial" w:cs="Arial" w:eastAsia="Arial" w:hAnsi="Arial"/>
          <w:sz w:val="18"/>
          <w:szCs w:val="18"/>
          <w:i w:val="1"/>
          <w:iCs w:val="1"/>
          <w:color w:val="auto"/>
        </w:rPr>
        <w:t xml:space="preserve">CEO transition costs. </w:t>
      </w:r>
      <w:r>
        <w:rPr>
          <w:rFonts w:ascii="Arial" w:cs="Arial" w:eastAsia="Arial" w:hAnsi="Arial"/>
          <w:sz w:val="18"/>
          <w:szCs w:val="18"/>
          <w:color w:val="auto"/>
        </w:rPr>
        <w:t>We exclude amounts paid to the Company's former CEOs upon departure under the terms of their transition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severance 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188" w:lineRule="exact"/>
        <w:rPr>
          <w:sz w:val="20"/>
          <w:szCs w:val="20"/>
          <w:color w:val="auto"/>
        </w:rPr>
      </w:pPr>
    </w:p>
    <w:p>
      <w:pPr>
        <w:jc w:val="both"/>
        <w:ind w:right="220" w:firstLine="405"/>
        <w:spacing w:after="0" w:line="263"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4"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i w:val="1"/>
          <w:iCs w:val="1"/>
          <w:color w:val="auto"/>
        </w:rPr>
        <w:t xml:space="preserve">Restructuring and other exit costs, net. </w:t>
      </w:r>
      <w:r>
        <w:rPr>
          <w:rFonts w:ascii="Arial" w:cs="Arial" w:eastAsia="Arial" w:hAnsi="Arial"/>
          <w:sz w:val="16"/>
          <w:szCs w:val="16"/>
          <w:color w:val="auto"/>
        </w:rPr>
        <w:t>These expenses are associated with realigning our business strategies based on current economic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57" w:lineRule="exact"/>
        <w:rPr>
          <w:sz w:val="20"/>
          <w:szCs w:val="20"/>
          <w:color w:val="auto"/>
        </w:rPr>
      </w:pPr>
    </w:p>
    <w:p>
      <w:pPr>
        <w:ind w:right="280" w:firstLine="405"/>
        <w:spacing w:after="0" w:line="296" w:lineRule="auto"/>
        <w:rPr>
          <w:sz w:val="20"/>
          <w:szCs w:val="20"/>
          <w:color w:val="auto"/>
        </w:rPr>
      </w:pPr>
      <w:r>
        <w:rPr>
          <w:rFonts w:ascii="Arial" w:cs="Arial" w:eastAsia="Arial" w:hAnsi="Arial"/>
          <w:sz w:val="16"/>
          <w:szCs w:val="16"/>
          <w:i w:val="1"/>
          <w:iCs w:val="1"/>
          <w:color w:val="auto"/>
        </w:rPr>
        <w:t xml:space="preserve">Acquisition-related costs. </w:t>
      </w:r>
      <w:r>
        <w:rPr>
          <w:rFonts w:ascii="Arial" w:cs="Arial" w:eastAsia="Arial" w:hAnsi="Arial"/>
          <w:sz w:val="16"/>
          <w:szCs w:val="16"/>
          <w:color w:val="auto"/>
        </w:rPr>
        <w:t>We exclude certain acquisition-related costs, including due diligence costs, professional fees in connection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certain financing costs, and certain integration-related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acquisition-related costs, may not be indicative of such future costs. We believe excluding acquisition-related costs facilitates the comparison of our financial results to the Company's historical operating results and to other companies in our industry.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778" w:right="339" w:bottom="1440" w:gutter="0" w:footer="0" w:header="0"/>
        </w:sectPr>
      </w:pPr>
    </w:p>
    <w:bookmarkStart w:id="43" w:name="page44"/>
    <w:bookmarkEnd w:id="43"/>
    <w:p>
      <w:pPr>
        <w:ind w:firstLine="405"/>
        <w:spacing w:after="0" w:line="273" w:lineRule="auto"/>
        <w:rPr>
          <w:sz w:val="20"/>
          <w:szCs w:val="20"/>
          <w:color w:val="auto"/>
        </w:rPr>
      </w:pPr>
      <w:r>
        <w:rPr>
          <w:rFonts w:ascii="Arial" w:cs="Arial" w:eastAsia="Arial" w:hAnsi="Arial"/>
          <w:sz w:val="17"/>
          <w:szCs w:val="17"/>
          <w:i w:val="1"/>
          <w:iCs w:val="1"/>
          <w:color w:val="auto"/>
        </w:rPr>
        <w:t xml:space="preserve">Loss (gain) on strategic investments and dispositions. </w:t>
      </w:r>
      <w:r>
        <w:rPr>
          <w:rFonts w:ascii="Arial" w:cs="Arial" w:eastAsia="Arial" w:hAnsi="Arial"/>
          <w:sz w:val="17"/>
          <w:szCs w:val="17"/>
          <w:color w:val="auto"/>
        </w:rPr>
        <w:t>We exclude gains and losses related to our strategic investments and dispositions from our non-GAAP measures primarily because management finds it useful to exclude these variable gains and losses on these investments and dispositions in assessing our financial results. Included, but not limited to, in these amounts are non-cash unrealized gains and losses on the derivative components, dividends received, realized gains and losses on the sales or losses on the impairment of these investments and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78"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i w:val="1"/>
          <w:iCs w:val="1"/>
          <w:color w:val="auto"/>
        </w:rPr>
        <w:t xml:space="preserve">Discrete tax provision items. </w:t>
      </w:r>
      <w:r>
        <w:rPr>
          <w:rFonts w:ascii="Arial" w:cs="Arial" w:eastAsia="Arial" w:hAnsi="Arial"/>
          <w:sz w:val="18"/>
          <w:szCs w:val="18"/>
          <w:color w:val="auto"/>
        </w:rPr>
        <w:t>We exclude the GAAP tax provision, including discrete items, from the non-GAAP measure of net (loss) income,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92"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i w:val="1"/>
          <w:iCs w:val="1"/>
          <w:color w:val="auto"/>
        </w:rPr>
        <w:t xml:space="preserve">Establishment (release) of a valuation allowance on certain net deferred tax assets. </w:t>
      </w:r>
      <w:r>
        <w:rPr>
          <w:rFonts w:ascii="Arial" w:cs="Arial" w:eastAsia="Arial" w:hAnsi="Arial"/>
          <w:sz w:val="18"/>
          <w:szCs w:val="18"/>
          <w:color w:val="auto"/>
        </w:rPr>
        <w:t>This is a non-cash charge to record or to release a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on certain deferred tax assets. As explained above, management finds it useful to exclude certain non-cash charges to assess the appropriate level of various cash expenses to assist in budgeting, planning and forecasting future periods.</w:t>
      </w:r>
    </w:p>
    <w:p>
      <w:pPr>
        <w:spacing w:after="0" w:line="184"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i w:val="1"/>
          <w:iCs w:val="1"/>
          <w:color w:val="auto"/>
        </w:rPr>
        <w:t xml:space="preserve">Income tax effects on the difference between GAAP and non-GAAP costs and expenses. </w:t>
      </w:r>
      <w:r>
        <w:rPr>
          <w:rFonts w:ascii="Arial" w:cs="Arial" w:eastAsia="Arial" w:hAnsi="Arial"/>
          <w:sz w:val="17"/>
          <w:szCs w:val="17"/>
          <w:color w:val="auto"/>
        </w:rPr>
        <w:t>The income tax effects that are excluded from the non-GAAP</w:t>
      </w:r>
      <w:r>
        <w:rPr>
          <w:rFonts w:ascii="Arial" w:cs="Arial" w:eastAsia="Arial" w:hAnsi="Arial"/>
          <w:sz w:val="17"/>
          <w:szCs w:val="17"/>
          <w:i w:val="1"/>
          <w:iCs w:val="1"/>
          <w:color w:val="auto"/>
        </w:rPr>
        <w:t xml:space="preserve"> </w:t>
      </w:r>
      <w:r>
        <w:rPr>
          <w:rFonts w:ascii="Arial" w:cs="Arial" w:eastAsia="Arial" w:hAnsi="Arial"/>
          <w:sz w:val="17"/>
          <w:szCs w:val="17"/>
          <w:color w:val="auto"/>
        </w:rPr>
        <w:t>measures relate to the tax impact on the difference between GAAP and non-GAAP expenses, primarily due to stock-based compensation, amortization of purchased intangibles and restructuring charges and other exit costs (benefits) for GAAP and non-GAAP measures.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60" w:firstLine="405"/>
        <w:spacing w:after="0" w:line="275" w:lineRule="auto"/>
        <w:rPr>
          <w:sz w:val="20"/>
          <w:szCs w:val="20"/>
          <w:color w:val="auto"/>
        </w:rPr>
      </w:pPr>
      <w:r>
        <w:rPr>
          <w:rFonts w:ascii="Arial" w:cs="Arial" w:eastAsia="Arial" w:hAnsi="Arial"/>
          <w:sz w:val="17"/>
          <w:szCs w:val="17"/>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Long-term cash requirements for items other than normal operating expenses are anticipated for the following: the acquisition of businesses, software products, or technologies complementary to our business; repayment of debt; common stock repurchases; and capital expenditures, including the purchase and implementation of internal-use software applications.</w:t>
      </w:r>
    </w:p>
    <w:p>
      <w:pPr>
        <w:spacing w:after="0" w:line="176"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At July 31, 2020, our principal sources of liquidity were cash, cash equivalents and marketable securities totaling $1.52 billion and net accounts receivable of $490.1 million.</w:t>
      </w:r>
    </w:p>
    <w:p>
      <w:pPr>
        <w:spacing w:after="0" w:line="170"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December 17, 2018, Autodesk entered into a Credit Agreement (the “Credit Agreement”) for an unsecured revolving loan facility in the aggregate principal amount of $650.0 million, with an option to request increases in the amount of the credit facility by up to an additional $350.0 million. The maturity date on the credit facility is December 2023. At July 31, 2020, Autodesk had no outstanding borrowings on this line of credit. As of September 2, 2020, we have no amounts outstanding under the credit facility. See Part I, Item 1, Note 13, "Borrowing Arrangements," in the Notes to Condensed Consolidated Financial Statements for further discussion on our covenant requirements. If we are unable to remain in compliance with the covenants under the Credit Agreement, we will not be able to draw on our credit facility.</w:t>
      </w:r>
    </w:p>
    <w:p>
      <w:pPr>
        <w:spacing w:after="0" w:line="192" w:lineRule="exact"/>
        <w:rPr>
          <w:sz w:val="20"/>
          <w:szCs w:val="20"/>
          <w:color w:val="auto"/>
        </w:rPr>
      </w:pPr>
    </w:p>
    <w:p>
      <w:pPr>
        <w:jc w:val="both"/>
        <w:ind w:right="100" w:firstLine="405"/>
        <w:spacing w:after="0" w:line="277" w:lineRule="auto"/>
        <w:rPr>
          <w:sz w:val="20"/>
          <w:szCs w:val="20"/>
          <w:color w:val="auto"/>
        </w:rPr>
      </w:pPr>
      <w:r>
        <w:rPr>
          <w:rFonts w:ascii="Arial" w:cs="Arial" w:eastAsia="Arial" w:hAnsi="Arial"/>
          <w:sz w:val="18"/>
          <w:szCs w:val="18"/>
          <w:color w:val="auto"/>
        </w:rPr>
        <w:t>As of July 31, 2020, we have $1.65 billion aggregate principal amount of notes outstanding. See Part I, Item 1, Note 13, "Borrowing Arrangements," in the Notes to Condensed Consolidated Financial Statements for further discussion.</w:t>
      </w:r>
    </w:p>
    <w:p>
      <w:pPr>
        <w:spacing w:after="0" w:line="170" w:lineRule="exact"/>
        <w:rPr>
          <w:sz w:val="20"/>
          <w:szCs w:val="20"/>
          <w:color w:val="auto"/>
        </w:rPr>
      </w:pPr>
    </w:p>
    <w:p>
      <w:pPr>
        <w:jc w:val="both"/>
        <w:ind w:right="100" w:firstLine="405"/>
        <w:spacing w:after="0" w:line="263"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$650.0 million line of credit.</w:t>
      </w:r>
    </w:p>
    <w:p>
      <w:pPr>
        <w:spacing w:after="0" w:line="18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Our cash, cash equivalents, and marketable securities balances are concentrated in a few locations around the world, with substantial amounts held outside of the United States. As of July 31, 2020, approximately 58% of our total cash or cash equivalents and marketable securities are located in foreign jurisdictions and that percentage will fluctuate subject to business needs. There are several factors that can impact our ability to utilize foreign cash balances, such as foreign exchange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557" w:right="359" w:bottom="1440" w:gutter="0" w:footer="0" w:header="0"/>
        </w:sectPr>
      </w:pPr>
    </w:p>
    <w:bookmarkStart w:id="44" w:name="page45"/>
    <w:bookmarkEnd w:id="44"/>
    <w:p>
      <w:pPr>
        <w:ind w:right="120"/>
        <w:spacing w:after="0" w:line="275" w:lineRule="auto"/>
        <w:rPr>
          <w:sz w:val="20"/>
          <w:szCs w:val="20"/>
          <w:color w:val="auto"/>
        </w:rPr>
      </w:pPr>
      <w:r>
        <w:rPr>
          <w:rFonts w:ascii="Arial" w:cs="Arial" w:eastAsia="Arial" w:hAnsi="Arial"/>
          <w:sz w:val="17"/>
          <w:szCs w:val="17"/>
          <w:color w:val="auto"/>
        </w:rPr>
        <w:t>restrictions, foreign regulatory restrictions or adverse tax costs. The Tax Act included a mandatory one-time tax on accumulated earnings of foreign subsidiaries and generally eliminated U.S. taxes on foreign subsidiary distributions in future periods. As a result, earnings in foreign jurisdictions are generally available for distribution to the U.S.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spacing w:after="0" w:line="176"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II, Item 1A titled “Risk Factors.” Additionally, as a result of the COVID-19 pandemic, we extended contract payment terms for up to 60 days for all customers and partners for new orders and renewals placed directly with Autodesk. This payment terms extension program began on March 16, 2020 and ended on August 7, 2020. We currently expect to have sufficient liquidity to manage through the COVID-19 pandemic but we will continue to monitor the impact of potential disruptions beyond our control. Based on our current business plan and revenue prospects, we believe that our existing cash and cash equivalents, our anticipated cash flows from operations and our available credit facility will be sufficient to meet our working capital and operating resource expenditure requirements for at least the next 12 months.</w:t>
      </w:r>
    </w:p>
    <w:p>
      <w:pPr>
        <w:spacing w:after="0" w:line="195" w:lineRule="exact"/>
        <w:rPr>
          <w:sz w:val="20"/>
          <w:szCs w:val="20"/>
          <w:color w:val="auto"/>
        </w:rPr>
      </w:pPr>
    </w:p>
    <w:p>
      <w:pPr>
        <w:jc w:val="both"/>
        <w:ind w:right="60" w:firstLine="405"/>
        <w:spacing w:after="0" w:line="263"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4"/>
                <w:szCs w:val="14"/>
                <w:b w:val="1"/>
                <w:bCs w:val="1"/>
                <w:color w:val="auto"/>
              </w:rPr>
              <w:t>Six Months Ended July 31,</w:t>
            </w:r>
          </w:p>
        </w:tc>
      </w:tr>
      <w:tr>
        <w:trPr>
          <w:trHeight w:val="263"/>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r>
      <w:tr>
        <w:trPr>
          <w:trHeight w:val="23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418.5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440.5</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3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(366.1)</w:t>
            </w:r>
          </w:p>
        </w:tc>
      </w:tr>
      <w:tr>
        <w:trPr>
          <w:trHeight w:val="33"/>
        </w:trPr>
        <w:tc>
          <w:tcPr>
            <w:tcW w:w="8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Net cash provided by operating activities of $418.5 million for the six months ended July 31, 2020, was primarily impacted by our net income adjusted for non-cash expenses, including stock-based compensation expense, depreciation, amortization and accretion expense, and (loss) gain on strategic investments, a source of working capital primarily from a decrease in accounts receivable partially offset by a use of working capital from a decrease in deferred revenue and other liabilities and an increase in prepaid and other assets from January 31, 2020, to July 31, 2020. Net cash provided by operating activities of $440.5 million for the six months ended July 31, 2019, was primarily impacted by our net income adjusted for non-cash expenses, including stock-based compensation expense, depreciation, amortization and accretion expense, a source of working capital from an increase in deferred revenue, and a decrease in accounts receivable from January 31, 2019, to July 31, 2019, partially offset by a use of working capital from a decrease in accounts payable and other liabilities.</w:t>
      </w:r>
    </w:p>
    <w:p>
      <w:pPr>
        <w:spacing w:after="0" w:line="19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Net cash used in investing activities was $111.8 million for the six months ended July 31, 2020, primarily due to purchases of non-marketable equity securities, capital expenditures and purchases of marketable securities. Net cash used in investing activities was $32.5 million for the six months ended July 31, 2019, and was primarily due to capital expenditures and purchases of marketable securities partially offset by the sale and maturities of marketable securities.</w:t>
      </w:r>
    </w:p>
    <w:p>
      <w:pPr>
        <w:spacing w:after="0" w:line="187" w:lineRule="exact"/>
        <w:rPr>
          <w:sz w:val="20"/>
          <w:szCs w:val="20"/>
          <w:color w:val="auto"/>
        </w:rPr>
      </w:pPr>
    </w:p>
    <w:p>
      <w:pPr>
        <w:ind w:right="80" w:firstLine="405"/>
        <w:spacing w:after="0" w:line="311" w:lineRule="auto"/>
        <w:rPr>
          <w:sz w:val="20"/>
          <w:szCs w:val="20"/>
          <w:color w:val="auto"/>
        </w:rPr>
      </w:pPr>
      <w:r>
        <w:rPr>
          <w:rFonts w:ascii="Arial" w:cs="Arial" w:eastAsia="Arial" w:hAnsi="Arial"/>
          <w:sz w:val="16"/>
          <w:szCs w:val="16"/>
          <w:color w:val="auto"/>
        </w:rPr>
        <w:t>At July 31, 2020, our short-term investment portfolio had an estimated fair value of $79.7 million and a cost basis of $69.4 million. The portfolio fair value primarily consists of short-term trading securities that were invested in a defined set of mutual funds as directed by the participants in our Deferred Compensation Plan (see Note 11, “Deferred Compensation,” in the Notes to the Condensed Consolidated Financial Statements for further discussion).</w:t>
      </w:r>
    </w:p>
    <w:p>
      <w:pPr>
        <w:spacing w:after="0" w:line="149"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Net cash used in financing activities was $642.6 million and $366.1 million for the six months ended July 31, 2020 and 2019, respectively, primary due to the repayment of debt and the repurchases of common stock. These cash outflows were offset in part by cash proceeds from the issuance of common stock.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55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64"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following table provides information about the repurchase of common stock in open-market transactions during the three months ended July 31, 2020:</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10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w:t>
            </w:r>
          </w:p>
        </w:tc>
        <w:tc>
          <w:tcPr>
            <w:tcW w:w="2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 Announced</w:t>
            </w:r>
          </w:p>
        </w:tc>
        <w:tc>
          <w:tcPr>
            <w:tcW w:w="10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(Shares in thousands)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9"/>
              </w:rPr>
              <w:t>Paid per Share</w:t>
            </w:r>
          </w:p>
        </w:tc>
        <w:tc>
          <w:tcPr>
            <w:tcW w:w="10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 (1)</w:t>
            </w:r>
          </w:p>
        </w:tc>
        <w:tc>
          <w:tcPr>
            <w:tcW w:w="10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(2)</w:t>
            </w:r>
          </w:p>
        </w:tc>
        <w:tc>
          <w:tcPr>
            <w:tcW w:w="0" w:type="dxa"/>
            <w:vAlign w:val="bottom"/>
          </w:tcPr>
          <w:p>
            <w:pPr>
              <w:spacing w:after="0"/>
              <w:rPr>
                <w:sz w:val="1"/>
                <w:szCs w:val="1"/>
                <w:color w:val="auto"/>
              </w:rPr>
            </w:pPr>
          </w:p>
        </w:tc>
      </w:tr>
      <w:tr>
        <w:trPr>
          <w:trHeight w:val="236"/>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1 - May 31</w:t>
            </w:r>
          </w:p>
        </w:tc>
        <w:tc>
          <w:tcPr>
            <w:tcW w:w="14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10.0</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174.42</w:t>
            </w:r>
          </w:p>
        </w:tc>
        <w:tc>
          <w:tcPr>
            <w:tcW w:w="10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10.0</w:t>
            </w:r>
          </w:p>
        </w:tc>
        <w:tc>
          <w:tcPr>
            <w:tcW w:w="2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13,479.0</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June 1 - June 30</w:t>
            </w: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320" w:type="dxa"/>
            <w:vAlign w:val="bottom"/>
            <w:gridSpan w:val="2"/>
          </w:tcPr>
          <w:p>
            <w:pPr>
              <w:jc w:val="right"/>
              <w:ind w:right="28"/>
              <w:spacing w:after="0"/>
              <w:rPr>
                <w:sz w:val="20"/>
                <w:szCs w:val="20"/>
                <w:color w:val="auto"/>
              </w:rPr>
            </w:pPr>
            <w:r>
              <w:rPr>
                <w:rFonts w:ascii="Arial" w:cs="Arial" w:eastAsia="Arial" w:hAnsi="Arial"/>
                <w:sz w:val="16"/>
                <w:szCs w:val="16"/>
                <w:color w:val="auto"/>
              </w:rPr>
              <w:t>13,479.0</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1 - July 31</w:t>
            </w:r>
          </w:p>
        </w:tc>
        <w:tc>
          <w:tcPr>
            <w:tcW w:w="14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232.70</w:t>
            </w:r>
          </w:p>
        </w:tc>
        <w:tc>
          <w:tcPr>
            <w:tcW w:w="10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26.0</w:t>
            </w:r>
          </w:p>
        </w:tc>
        <w:tc>
          <w:tcPr>
            <w:tcW w:w="2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13,453.0</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6"/>
                <w:szCs w:val="16"/>
                <w:color w:val="auto"/>
              </w:rPr>
              <w:t>Total</w:t>
            </w:r>
          </w:p>
        </w:tc>
        <w:tc>
          <w:tcPr>
            <w:tcW w:w="14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36.0</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216.84</w:t>
            </w:r>
          </w:p>
        </w:tc>
        <w:tc>
          <w:tcPr>
            <w:tcW w:w="100" w:type="dxa"/>
            <w:vAlign w:val="bottom"/>
          </w:tcPr>
          <w:p>
            <w:pPr>
              <w:spacing w:after="0"/>
              <w:rPr>
                <w:sz w:val="21"/>
                <w:szCs w:val="21"/>
                <w:color w:val="auto"/>
              </w:rPr>
            </w:pPr>
          </w:p>
        </w:tc>
        <w:tc>
          <w:tcPr>
            <w:tcW w:w="22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represents shares purchased in open-market transactions under the stock repurchase plan approved by the Board of Directors.</w:t>
      </w:r>
    </w:p>
    <w:p>
      <w:pPr>
        <w:spacing w:after="0" w:line="9" w:lineRule="exact"/>
        <w:rPr>
          <w:rFonts w:ascii="Arial" w:cs="Arial" w:eastAsia="Arial" w:hAnsi="Arial"/>
          <w:sz w:val="16"/>
          <w:szCs w:val="16"/>
          <w:color w:val="auto"/>
        </w:rPr>
      </w:pPr>
    </w:p>
    <w:p>
      <w:pPr>
        <w:ind w:left="420" w:right="80" w:hanging="412"/>
        <w:spacing w:after="0" w:line="328" w:lineRule="auto"/>
        <w:tabs>
          <w:tab w:leader="none" w:pos="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amounts correspond to the plan approved by the Board of Directors in September 2016 that authorized the repurchase of 30.0 million shares. The plan does not have a fixed expiration date. See Note 16, “Stockholders' Equity (Deficit),” in the Notes to the Condensed Consolidated Financial Statements for further discussion.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July 31, 2020, we did not have any significant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Billings: </w:t>
      </w:r>
      <w:r>
        <w:rPr>
          <w:rFonts w:ascii="Arial" w:cs="Arial" w:eastAsia="Arial" w:hAnsi="Arial"/>
          <w:sz w:val="18"/>
          <w:szCs w:val="18"/>
          <w:color w:val="auto"/>
        </w:rPr>
        <w:t>Total revenue plus the net change in deferred revenue from the beginning to the end of the period.</w:t>
      </w:r>
    </w:p>
    <w:p>
      <w:pPr>
        <w:spacing w:after="0" w:line="225"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i w:val="1"/>
          <w:iCs w:val="1"/>
          <w:color w:val="auto"/>
        </w:rPr>
        <w:t xml:space="preserve">Cloud Service Offerings: </w:t>
      </w:r>
      <w:r>
        <w:rPr>
          <w:rFonts w:ascii="Arial" w:cs="Arial" w:eastAsia="Arial" w:hAnsi="Arial"/>
          <w:sz w:val="16"/>
          <w:szCs w:val="16"/>
          <w:color w:val="auto"/>
        </w:rPr>
        <w:t>Represents individual term-based offerings deployed through web browser technologies or in a hybrid software and cloud</w:t>
      </w:r>
      <w:r>
        <w:rPr>
          <w:rFonts w:ascii="Arial" w:cs="Arial" w:eastAsia="Arial" w:hAnsi="Arial"/>
          <w:sz w:val="16"/>
          <w:szCs w:val="16"/>
          <w:i w:val="1"/>
          <w:iCs w:val="1"/>
          <w:color w:val="auto"/>
        </w:rPr>
        <w:t xml:space="preserve"> </w:t>
      </w:r>
      <w:r>
        <w:rPr>
          <w:rFonts w:ascii="Arial" w:cs="Arial" w:eastAsia="Arial" w:hAnsi="Arial"/>
          <w:sz w:val="16"/>
          <w:szCs w:val="16"/>
          <w:color w:val="auto"/>
        </w:rPr>
        <w:t>configuration. Cloud service offerings that are bundled with other product offerings are not captured as a separate cloud service offering.</w:t>
      </w:r>
    </w:p>
    <w:p>
      <w:pPr>
        <w:spacing w:after="0" w:line="12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i w:val="1"/>
          <w:iCs w:val="1"/>
          <w:color w:val="auto"/>
        </w:rPr>
        <w:t xml:space="preserve">Constant Currency (CC) Growth Rates: </w:t>
      </w:r>
      <w:r>
        <w:rPr>
          <w:rFonts w:ascii="Arial" w:cs="Arial" w:eastAsia="Arial" w:hAnsi="Arial"/>
          <w:sz w:val="17"/>
          <w:szCs w:val="17"/>
          <w:color w:val="auto"/>
        </w:rPr>
        <w:t>We attempt to represent the changes in the underlying business operations by eliminating fluctuations caused by</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17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 xml:space="preserve">Enterprise Business Agreements (EBAs): </w:t>
      </w:r>
      <w:r>
        <w:rPr>
          <w:rFonts w:ascii="Arial" w:cs="Arial" w:eastAsia="Arial" w:hAnsi="Arial"/>
          <w:sz w:val="18"/>
          <w:szCs w:val="18"/>
          <w:color w:val="auto"/>
        </w:rPr>
        <w:t>Represents programs providing enterprise customers with token-based access to a broad pool of Autodesk</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over a defined contract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Cash flow from operating activities minus capital expenditures.</w:t>
      </w:r>
    </w:p>
    <w:p>
      <w:pPr>
        <w:spacing w:after="0" w:line="22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i w:val="1"/>
          <w:iCs w:val="1"/>
          <w:color w:val="auto"/>
        </w:rPr>
        <w:t xml:space="preserve">Industry Collections: </w:t>
      </w:r>
      <w:r>
        <w:rPr>
          <w:rFonts w:ascii="Arial" w:cs="Arial" w:eastAsia="Arial" w:hAnsi="Arial"/>
          <w:sz w:val="18"/>
          <w:szCs w:val="18"/>
          <w:color w:val="auto"/>
        </w:rPr>
        <w:t>Autodesk Industry Collections are a combination of products and services that target a specific user objective and support a set of</w:t>
      </w:r>
      <w:r>
        <w:rPr>
          <w:rFonts w:ascii="Arial" w:cs="Arial" w:eastAsia="Arial" w:hAnsi="Arial"/>
          <w:sz w:val="18"/>
          <w:szCs w:val="18"/>
          <w:i w:val="1"/>
          <w:iCs w:val="1"/>
          <w:color w:val="auto"/>
        </w:rPr>
        <w:t xml:space="preserve"> </w:t>
      </w:r>
      <w:r>
        <w:rPr>
          <w:rFonts w:ascii="Arial" w:cs="Arial" w:eastAsia="Arial" w:hAnsi="Arial"/>
          <w:sz w:val="18"/>
          <w:szCs w:val="18"/>
          <w:color w:val="auto"/>
        </w:rPr>
        <w:t>workflows for that objective. Our Industry Collections consist of: Autodesk Architecture, Engineering and Construction Collection, Autodesk Product Design &amp; Manufacturing Collection, and Autodesk Media and Entertainment Collection.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769" w:right="339" w:bottom="1440" w:gutter="0" w:footer="0" w:header="0"/>
        </w:sectPr>
      </w:pPr>
    </w:p>
    <w:bookmarkStart w:id="46" w:name="page47"/>
    <w:bookmarkEnd w:id="46"/>
    <w:p>
      <w:pPr>
        <w:ind w:right="80"/>
        <w:spacing w:after="0" w:line="259" w:lineRule="auto"/>
        <w:rPr>
          <w:sz w:val="20"/>
          <w:szCs w:val="20"/>
          <w:color w:val="auto"/>
        </w:rPr>
      </w:pPr>
      <w:r>
        <w:rPr>
          <w:rFonts w:ascii="Arial" w:cs="Arial" w:eastAsia="Arial" w:hAnsi="Arial"/>
          <w:sz w:val="18"/>
          <w:szCs w:val="18"/>
          <w:i w:val="1"/>
          <w:iCs w:val="1"/>
          <w:color w:val="auto"/>
        </w:rPr>
        <w:t xml:space="preserve">Maintenance Plan: </w:t>
      </w:r>
      <w:r>
        <w:rPr>
          <w:rFonts w:ascii="Arial" w:cs="Arial" w:eastAsia="Arial" w:hAnsi="Arial"/>
          <w:sz w:val="18"/>
          <w:szCs w:val="18"/>
          <w:color w:val="auto"/>
        </w:rPr>
        <w:t>Our maintenance plans provide our customers with a cost effective and predictable budgetary option to obtain the productivity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one year.</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Net Revenue Retention Rate (NR3): </w:t>
      </w:r>
      <w:r>
        <w:rPr>
          <w:rFonts w:ascii="Arial" w:cs="Arial" w:eastAsia="Arial" w:hAnsi="Arial"/>
          <w:sz w:val="16"/>
          <w:szCs w:val="16"/>
          <w:color w:val="auto"/>
        </w:rPr>
        <w:t>Measures the year-over-year change in subscription and maintenance revenue for the population of customers that</w:t>
      </w:r>
      <w:r>
        <w:rPr>
          <w:rFonts w:ascii="Arial" w:cs="Arial" w:eastAsia="Arial" w:hAnsi="Arial"/>
          <w:sz w:val="16"/>
          <w:szCs w:val="16"/>
          <w:i w:val="1"/>
          <w:iCs w:val="1"/>
          <w:color w:val="auto"/>
        </w:rPr>
        <w:t xml:space="preserve"> </w:t>
      </w:r>
      <w:r>
        <w:rPr>
          <w:rFonts w:ascii="Arial" w:cs="Arial" w:eastAsia="Arial" w:hAnsi="Arial"/>
          <w:sz w:val="16"/>
          <w:szCs w:val="16"/>
          <w:color w:val="auto"/>
        </w:rPr>
        <w:t>existed one year ago (“base customers”). Net revenue retention rate is calculated by dividing the current quarter subscription and maintenance revenue related to base customers by the total corresponding quarter subscription and maintenance revenue from one year ago. Subscription and maintenance revenue is based on USD reported revenue, and fluctuations caused by changes in foreign currency exchange rates and hedge gains or losses have not been eliminated. Subscription and maintenance revenue related to acquired companies, one year after acquisition, has been captured as existing customers until such data conforms to the calculation methodology. This may cause variability in the comparison. Beginning with the first quarter of fiscal 2021, Autodesk modified its definition of NR3 to the definition above. The effect of this change is not material for the periods presented.</w:t>
      </w:r>
    </w:p>
    <w:p>
      <w:pPr>
        <w:spacing w:after="0" w:line="16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 xml:space="preserve">Other Revenue: </w:t>
      </w:r>
      <w:r>
        <w:rPr>
          <w:rFonts w:ascii="Arial" w:cs="Arial" w:eastAsia="Arial" w:hAnsi="Arial"/>
          <w:sz w:val="16"/>
          <w:szCs w:val="16"/>
          <w:color w:val="auto"/>
        </w:rPr>
        <w:t>Consists of revenue from consulting, training and other services, and is recognized over time as the services are performed. Other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also includes software license revenue from the sale of products that do not incorporate substantial cloud services and is recognized up front.</w:t>
      </w:r>
    </w:p>
    <w:p>
      <w:pPr>
        <w:spacing w:after="0" w:line="12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i w:val="1"/>
          <w:iCs w:val="1"/>
          <w:color w:val="auto"/>
        </w:rPr>
        <w:t xml:space="preserve">Product Subscription: </w:t>
      </w:r>
      <w:r>
        <w:rPr>
          <w:rFonts w:ascii="Arial" w:cs="Arial" w:eastAsia="Arial" w:hAnsi="Arial"/>
          <w:sz w:val="18"/>
          <w:szCs w:val="18"/>
          <w:color w:val="auto"/>
        </w:rPr>
        <w:t>Provides customers the most flexible, cost-effective way to access and manage 3D design, engineering, and entertainment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tools. Our product subscriptions currently represent a hybrid of desktop and SaaS functionality, which provides a device-independent, collaborative design workflow for designers and their stakeholders.</w:t>
      </w:r>
    </w:p>
    <w:p>
      <w:pPr>
        <w:spacing w:after="0" w:line="18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Recurring Revenue: </w:t>
      </w:r>
      <w:r>
        <w:rPr>
          <w:rFonts w:ascii="Arial" w:cs="Arial" w:eastAsia="Arial" w:hAnsi="Arial"/>
          <w:sz w:val="18"/>
          <w:szCs w:val="18"/>
          <w:color w:val="auto"/>
        </w:rPr>
        <w:t>Consists of the revenue for the period from our traditional maintenance plans and revenue from our subscription plan offerings. It</w:t>
      </w:r>
      <w:r>
        <w:rPr>
          <w:rFonts w:ascii="Arial" w:cs="Arial" w:eastAsia="Arial" w:hAnsi="Arial"/>
          <w:sz w:val="18"/>
          <w:szCs w:val="18"/>
          <w:i w:val="1"/>
          <w:iCs w:val="1"/>
          <w:color w:val="auto"/>
        </w:rPr>
        <w:t xml:space="preserve"> </w:t>
      </w:r>
      <w:r>
        <w:rPr>
          <w:rFonts w:ascii="Arial" w:cs="Arial" w:eastAsia="Arial" w:hAnsi="Arial"/>
          <w:sz w:val="18"/>
          <w:szCs w:val="18"/>
          <w:color w:val="auto"/>
        </w:rPr>
        <w:t>excludes subscription revenue related to consumer product offerings, select Creative Finishing product offerings, education offerings, and third-party products. Recurring revenue acquired with the acquisition of a business is captured when total subscriptions are captured in our systems and may cause variability in the comparison of this calculation.</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Remaining Performance Obligations (RPO): </w:t>
      </w:r>
      <w:r>
        <w:rPr>
          <w:rFonts w:ascii="Arial" w:cs="Arial" w:eastAsia="Arial" w:hAnsi="Arial"/>
          <w:sz w:val="18"/>
          <w:szCs w:val="18"/>
          <w:color w:val="auto"/>
        </w:rPr>
        <w:t>The sum of total short-term, long-term, and unbilled deferred revenue. Current remaining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is the amount of revenue we expect to recognize in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Spend</w:t>
      </w:r>
      <w:r>
        <w:rPr>
          <w:rFonts w:ascii="Arial" w:cs="Arial" w:eastAsia="Arial" w:hAnsi="Arial"/>
          <w:sz w:val="18"/>
          <w:szCs w:val="18"/>
          <w:color w:val="auto"/>
        </w:rPr>
        <w:t>: The sum of cost of revenue and operating expenses.</w:t>
      </w:r>
    </w:p>
    <w:p>
      <w:pPr>
        <w:spacing w:after="0" w:line="225" w:lineRule="exact"/>
        <w:rPr>
          <w:sz w:val="20"/>
          <w:szCs w:val="20"/>
          <w:color w:val="auto"/>
        </w:rPr>
      </w:pPr>
    </w:p>
    <w:p>
      <w:pPr>
        <w:ind w:right="600"/>
        <w:spacing w:after="0" w:line="311" w:lineRule="auto"/>
        <w:rPr>
          <w:sz w:val="20"/>
          <w:szCs w:val="20"/>
          <w:color w:val="auto"/>
        </w:rPr>
      </w:pPr>
      <w:r>
        <w:rPr>
          <w:rFonts w:ascii="Arial" w:cs="Arial" w:eastAsia="Arial" w:hAnsi="Arial"/>
          <w:sz w:val="16"/>
          <w:szCs w:val="16"/>
          <w:i w:val="1"/>
          <w:iCs w:val="1"/>
          <w:color w:val="auto"/>
        </w:rPr>
        <w:t xml:space="preserve">Subscription Plan: </w:t>
      </w:r>
      <w:r>
        <w:rPr>
          <w:rFonts w:ascii="Arial" w:cs="Arial" w:eastAsia="Arial" w:hAnsi="Arial"/>
          <w:sz w:val="16"/>
          <w:szCs w:val="16"/>
          <w:color w:val="auto"/>
        </w:rPr>
        <w:t>Comprises our term-based product subscriptions, cloud service offerings, and EBAs. Subscriptions represent a combined hybrid</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of 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Subscription Revenue: </w:t>
      </w:r>
      <w:r>
        <w:rPr>
          <w:rFonts w:ascii="Arial" w:cs="Arial" w:eastAsia="Arial" w:hAnsi="Arial"/>
          <w:sz w:val="18"/>
          <w:szCs w:val="18"/>
          <w:color w:val="auto"/>
        </w:rPr>
        <w:t>Includes subscription fees from product subscriptions, cloud service offerings, and EBAs.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Unbilled Deferred Revenue: </w:t>
      </w:r>
      <w:r>
        <w:rPr>
          <w:rFonts w:ascii="Arial" w:cs="Arial" w:eastAsia="Arial" w:hAnsi="Arial"/>
          <w:sz w:val="18"/>
          <w:szCs w:val="18"/>
          <w:color w:val="auto"/>
        </w:rPr>
        <w:t>Unbilled deferred revenue represents contractually stated or committed orders under early renewal and multi-year billing plans</w:t>
      </w:r>
      <w:r>
        <w:rPr>
          <w:rFonts w:ascii="Arial" w:cs="Arial" w:eastAsia="Arial" w:hAnsi="Arial"/>
          <w:sz w:val="18"/>
          <w:szCs w:val="18"/>
          <w:i w:val="1"/>
          <w:iCs w:val="1"/>
          <w:color w:val="auto"/>
        </w:rPr>
        <w:t xml:space="preserve"> </w:t>
      </w:r>
      <w:r>
        <w:rPr>
          <w:rFonts w:ascii="Arial" w:cs="Arial" w:eastAsia="Arial" w:hAnsi="Arial"/>
          <w:sz w:val="18"/>
          <w:szCs w:val="18"/>
          <w:color w:val="auto"/>
        </w:rPr>
        <w:t>for subscription, services and maintenance for which the associated deferred revenue has not been recognized. Under FASB Accounting Standards Codification ("ASC") Topic 606, unbilled deferred revenue is not included as a receivable or deferred revenue on our Condensed Consolidated Balance Sheet.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557" w:right="359" w:bottom="1440" w:gutter="0" w:footer="0" w:header="0"/>
        </w:sectPr>
      </w:pPr>
    </w:p>
    <w:bookmarkStart w:id="47" w:name="page48"/>
    <w:bookmarkEnd w:id="47"/>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220" w:firstLine="432"/>
        <w:spacing w:after="0" w:line="270"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July 31, 2020, and January 31, 2020, we had open cash flow and balance sheet hedge contracts with future settlements generally within one to twelve months. Contracts were primarily denominated in euros, Japanese yen, British pounds, Canadian dollars, Australian dollars, Singapore dollars, Swiss francs, Swedish krona, and Czech koruna. We do not enter into foreign exchange derivative instruments for trading or speculative purposes. The notional amount of our option and forward contracts was $1.36 billion and $1.72 billion at July 31, 2020, and January 31, 2020, respectively.</w:t>
      </w:r>
    </w:p>
    <w:p>
      <w:pPr>
        <w:spacing w:after="0" w:line="18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July 31, 2020, indicated that a hypothetical 10% appreciation of the U.S. dollar from its value at July 31, 2020, and January 31, 2020, would increase the fair value of our foreign currency contracts by $78.8 million and $158.8 million, respectively. A hypothetical 10% depreciation of the dollar from its value at July 31, 2020, and January 31, 2020, would decrease the fair value of our foreign currency contracts by $134.8 million and $119.2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Interest rate movements affect both the interest income we earn on our short-term investments and the market value of certain longer-term securities. At July 31, 2020, we had $830.5 million of cash equivalents and marketable securities, including $79.7 million classified as short-term marketable securities. If interest rates were to move up or down by 50 or 100 basis points over a twelve-month period, the market value change of our marketable securities would not have a material impact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Note 5, "Financial Instruments," for further discussion regarding our privately held investments.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 (i) 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553" w:right="359" w:bottom="1440" w:gutter="0" w:footer="0" w:header="0"/>
        </w:sectPr>
      </w:pPr>
    </w:p>
    <w:bookmarkStart w:id="48" w:name="page49"/>
    <w:bookmarkEnd w:id="48"/>
    <w:p>
      <w:pPr>
        <w:ind w:firstLine="405"/>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60" w:firstLine="391"/>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during the three months ended July 31, 2020, that have materially affected, or are reasonably likely to materially affect, our internal control over financial reporting.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557" w:right="3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are involved in a variety of claims, suits, investigations, inquiries and proceedings in the normal course of business activities including claims of alleged infringement of intellectual property rights, commercial, employment, tax, prosecution of unauthorized use,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We operate in a rapidly changing environment that involves significant risks, any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industries, business and financial results.</w:t>
      </w:r>
    </w:p>
    <w:p>
      <w:pPr>
        <w:spacing w:after="0" w:line="225" w:lineRule="exact"/>
        <w:rPr>
          <w:sz w:val="20"/>
          <w:szCs w:val="20"/>
          <w:color w:val="auto"/>
        </w:rPr>
      </w:pPr>
    </w:p>
    <w:p>
      <w:pPr>
        <w:ind w:firstLine="391"/>
        <w:spacing w:after="0" w:line="268" w:lineRule="auto"/>
        <w:rPr>
          <w:sz w:val="20"/>
          <w:szCs w:val="20"/>
          <w:color w:val="auto"/>
        </w:rPr>
      </w:pPr>
      <w:r>
        <w:rPr>
          <w:rFonts w:ascii="Arial" w:cs="Arial" w:eastAsia="Arial" w:hAnsi="Arial"/>
          <w:sz w:val="17"/>
          <w:szCs w:val="17"/>
          <w:color w:val="auto"/>
        </w:rPr>
        <w:t>Our overall performance depends largely upon domestic and worldwide economic and political conditions. The United States and other international economies have experienced cyclical downturns from time to time in which economic activity was impacted by falling demand for a variety of goods and services, restricted credit, poor liquidity, decreased government spending, reduced corporate profitability, volatility in credit, equity and foreign exchange markets, bankruptcies and overall uncertainty with respect to the economy. These economic conditions can occur abruptly. For example, the recent Coronavirus disease (COVID-19) pandemic has caused additional uncertainty in the global economy, and an economic downturn or recession in the United States or in other countries around the world may occur or may have already occurred and continue. The extent to which COVID-19 may impact our financial condition or results of operations is currently uncertain and will depend on developments such as the impact on our customers, vendors, distributors and resellers, and well as other factors, including: the full duration and the extent of the pandemic; actions taken by governments, businesses and consumers in response to the pandemic; speed and timing of economic recovery, including in particular geographies; our billings and renewal rates including new business close rates, rate of multi-year contracts, pace of closing larger transactions, and new unit volume growth; and effect of the pandemic on margins and cash flow. All of these factors continue to evolve and remain uncertain at this time, and some of these factors are not within our control. Due to our subscription-based business model, the effect of COVID-19 may not be fully reflected in our results of operations until future periods, if at all. If economic growth in countries where we do business slows or if such countries experience further economic recessions, customers may delay or reduce technology 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180" w:lineRule="exact"/>
        <w:rPr>
          <w:sz w:val="20"/>
          <w:szCs w:val="20"/>
          <w:color w:val="auto"/>
        </w:rPr>
      </w:pPr>
    </w:p>
    <w:p>
      <w:pPr>
        <w:ind w:right="20" w:firstLine="391"/>
        <w:spacing w:after="0" w:line="296" w:lineRule="auto"/>
        <w:rPr>
          <w:sz w:val="20"/>
          <w:szCs w:val="20"/>
          <w:color w:val="auto"/>
        </w:rPr>
      </w:pPr>
      <w:r>
        <w:rPr>
          <w:rFonts w:ascii="Arial" w:cs="Arial" w:eastAsia="Arial" w:hAnsi="Arial"/>
          <w:sz w:val="16"/>
          <w:szCs w:val="16"/>
          <w:color w:val="212529"/>
        </w:rPr>
        <w:t xml:space="preserve">As described elsewhere in this Risk Factors section, we are dependent on international revenue and operations and are subject to related risks of conducting business globally. </w:t>
      </w:r>
      <w:r>
        <w:rPr>
          <w:rFonts w:ascii="Arial" w:cs="Arial" w:eastAsia="Arial" w:hAnsi="Arial"/>
          <w:sz w:val="16"/>
          <w:szCs w:val="16"/>
          <w:color w:val="000000"/>
        </w:rPr>
        <w:t>Geopolitical trends toward nationalism and protectionism and the weakening or dissolution of international trade pacts may</w:t>
      </w:r>
      <w:r>
        <w:rPr>
          <w:rFonts w:ascii="Arial" w:cs="Arial" w:eastAsia="Arial" w:hAnsi="Arial"/>
          <w:sz w:val="16"/>
          <w:szCs w:val="16"/>
          <w:color w:val="212529"/>
        </w:rPr>
        <w:t xml:space="preserve"> </w:t>
      </w:r>
      <w:r>
        <w:rPr>
          <w:rFonts w:ascii="Arial" w:cs="Arial" w:eastAsia="Arial" w:hAnsi="Arial"/>
          <w:sz w:val="16"/>
          <w:szCs w:val="16"/>
          <w:color w:val="000000"/>
        </w:rPr>
        <w:t>increase the cost of, or otherwise interfere with, conducting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 any of the countries in which we do business could harm our business, results of operations and financial condition.</w:t>
      </w:r>
    </w:p>
    <w:p>
      <w:pPr>
        <w:spacing w:after="0" w:line="161" w:lineRule="exact"/>
        <w:rPr>
          <w:sz w:val="20"/>
          <w:szCs w:val="20"/>
          <w:color w:val="auto"/>
        </w:rPr>
      </w:pPr>
    </w:p>
    <w:p>
      <w:pPr>
        <w:ind w:right="340" w:firstLine="391"/>
        <w:spacing w:after="0" w:line="311" w:lineRule="auto"/>
        <w:rPr>
          <w:sz w:val="20"/>
          <w:szCs w:val="20"/>
          <w:color w:val="auto"/>
        </w:rPr>
      </w:pPr>
      <w:r>
        <w:rPr>
          <w:rFonts w:ascii="Arial" w:cs="Arial" w:eastAsia="Arial" w:hAnsi="Arial"/>
          <w:sz w:val="16"/>
          <w:szCs w:val="16"/>
          <w:color w:val="auto"/>
        </w:rPr>
        <w:t>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Any of these events could harm our business, results of operations and financial condition.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553" w:right="339" w:bottom="1440" w:gutter="0" w:footer="0" w:header="0"/>
        </w:sectPr>
      </w:pPr>
    </w:p>
    <w:bookmarkStart w:id="50" w:name="page51"/>
    <w:bookmarkEnd w:id="50"/>
    <w:p>
      <w:pPr>
        <w:ind w:right="12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70"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Rapid technological changes, as well as changes in customer requirements and preferences, characterize the software industry. Just as the transition from mainframes to personal computers transformed the industry over 30 years ago, the software industry has undergone a transition from developing and selling perpetual licenses and on-premises products to subscriptions and cloud enabled technologies. Customers are also reconsidering how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In addition, we frequently introduce new business models or methods that require a considerable investment of technical and financial resources such as our introduction of flexible subscription and service offerings. For example, in fiscal 2021, we are transitioning multi-subscription plans to named-user plans. It is uncertain whether these strategies, including our product and pricing changes, will prove successful or whether we will be able to develop the necessary infrastructure and business models more quickly than our competitors. We are making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our software or the manner in which we provide such products, or if we are not able to adapt our business model to meet our customers' requirements, our business, financial condition or results of operations may be adversely impacted.</w:t>
      </w:r>
    </w:p>
    <w:p>
      <w:pPr>
        <w:spacing w:after="0" w:line="186" w:lineRule="exact"/>
        <w:rPr>
          <w:sz w:val="20"/>
          <w:szCs w:val="20"/>
          <w:color w:val="auto"/>
        </w:rPr>
      </w:pPr>
    </w:p>
    <w:p>
      <w:pPr>
        <w:ind w:right="80" w:firstLine="432"/>
        <w:spacing w:after="0" w:line="296" w:lineRule="auto"/>
        <w:rPr>
          <w:sz w:val="20"/>
          <w:szCs w:val="20"/>
          <w:color w:val="auto"/>
        </w:rPr>
      </w:pPr>
      <w:r>
        <w:rPr>
          <w:rFonts w:ascii="Arial" w:cs="Arial" w:eastAsia="Arial" w:hAnsi="Arial"/>
          <w:sz w:val="16"/>
          <w:szCs w:val="16"/>
          <w:color w:val="auto"/>
        </w:rPr>
        <w:t>In particular, a critical component of our growth strategy is to have customers of our AutoCAD and AutoCAD LT products expand their portfolios to include our other offerings and cloud-based functionality. We want customers using individual Autodesk products to expand their portfolio with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w:t>
      </w:r>
    </w:p>
    <w:p>
      <w:pPr>
        <w:spacing w:after="0" w:line="16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7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i w:val="1"/>
          <w:iCs w:val="1"/>
          <w:color w:val="auto"/>
        </w:rPr>
        <w:t>The effect of the novel coronavirus COVID-19 on Autodesk’s business is currently unknown but it may adversely affect our business and results of operations</w:t>
      </w:r>
      <w:r>
        <w:rPr>
          <w:rFonts w:ascii="Arial" w:cs="Arial" w:eastAsia="Arial" w:hAnsi="Arial"/>
          <w:sz w:val="18"/>
          <w:szCs w:val="18"/>
          <w:color w:val="auto"/>
        </w:rPr>
        <w:t>.</w:t>
      </w:r>
    </w:p>
    <w:p>
      <w:pPr>
        <w:spacing w:after="0" w:line="170"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are continuing to conduct business during the COVID-19 pandemic with substantial modifications to employee travel, employee work locations, and virtualization, postponement or cancellation of certain sales and marketing events, among other modifications. We have observed other companies as well as many governments taking precautionary and preemptive actions to address COVID-19, and they may take further actions that alter their normal business operations.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 It is not clear what the potential effects of any such alterations or modifications may have on our business, including the effects on our customers and prospects, or on our financial results.</w:t>
      </w:r>
    </w:p>
    <w:p>
      <w:pPr>
        <w:spacing w:after="0" w:line="195" w:lineRule="exact"/>
        <w:rPr>
          <w:sz w:val="20"/>
          <w:szCs w:val="20"/>
          <w:color w:val="auto"/>
        </w:rPr>
      </w:pPr>
    </w:p>
    <w:p>
      <w:pPr>
        <w:ind w:right="20" w:firstLine="391"/>
        <w:spacing w:after="0" w:line="272" w:lineRule="auto"/>
        <w:rPr>
          <w:sz w:val="20"/>
          <w:szCs w:val="20"/>
          <w:color w:val="auto"/>
        </w:rPr>
      </w:pPr>
      <w:r>
        <w:rPr>
          <w:rFonts w:ascii="Arial" w:cs="Arial" w:eastAsia="Arial" w:hAnsi="Arial"/>
          <w:sz w:val="17"/>
          <w:szCs w:val="17"/>
          <w:color w:val="auto"/>
        </w:rPr>
        <w:t>In particular, if we are not able to retain current customers and attract new business, including multi-year contracts, or if customer renewal rates decline or fluctuate, it could have a material adverse effect upon our business and results of operations. To support our customers, during the six months ended July 31, 2020, among other things, we extended payment terms to 60 days through the beginning of August 2020, offered free commercial use of our cloud collaboration products through June 2020, delayed the transition from multi-user licenses to named-user licenses from May to August 2020 to minimize disruption and deferred a 20% maintenance price increase from May to August 2020. These actions are affecting our cash flow, and if these actions as well as our other sales and marketing activities are not successful in retaining current customers and in closing new business, they could have a material adverse effect upon our business and results of operations.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557" w:right="339" w:bottom="1440" w:gutter="0" w:footer="0" w:header="0"/>
        </w:sectPr>
      </w:pPr>
    </w:p>
    <w:bookmarkStart w:id="51" w:name="page52"/>
    <w:bookmarkEnd w:id="51"/>
    <w:p>
      <w:pPr>
        <w:ind w:firstLine="648"/>
        <w:spacing w:after="0" w:line="301" w:lineRule="auto"/>
        <w:rPr>
          <w:sz w:val="20"/>
          <w:szCs w:val="20"/>
          <w:color w:val="auto"/>
        </w:rPr>
      </w:pPr>
      <w:r>
        <w:rPr>
          <w:rFonts w:ascii="Arial" w:cs="Arial" w:eastAsia="Arial" w:hAnsi="Arial"/>
          <w:sz w:val="16"/>
          <w:szCs w:val="16"/>
          <w:color w:val="auto"/>
        </w:rPr>
        <w:t>Given the evolving business environment as a result of COVID-19, we are actively managing our spending, reducing travel and entertainment expense, monitoring our hiring rate, shifting to virtual events, and rationalizing our marketing spend. We will continue to invest in critical areas such as R&amp;D, construction, and digitizing the company to ensure our future success as we come out of the pandemic. If we are not able to successfully manage our spending and investment it could have a material adverse effect on our cash balances, business and results of operations.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suffer as a result of risks, costs, charges and integration risks associated with strategic acquisitions and investments.</w:t>
      </w:r>
    </w:p>
    <w:p>
      <w:pPr>
        <w:spacing w:after="0" w:line="225" w:lineRule="exact"/>
        <w:rPr>
          <w:sz w:val="20"/>
          <w:szCs w:val="20"/>
          <w:color w:val="auto"/>
        </w:rPr>
      </w:pPr>
    </w:p>
    <w:p>
      <w:pPr>
        <w:ind w:right="60" w:firstLine="391"/>
        <w:spacing w:after="0" w:line="275" w:lineRule="auto"/>
        <w:rPr>
          <w:sz w:val="20"/>
          <w:szCs w:val="20"/>
          <w:color w:val="auto"/>
        </w:rPr>
      </w:pPr>
      <w:r>
        <w:rPr>
          <w:rFonts w:ascii="Arial" w:cs="Arial" w:eastAsia="Arial" w:hAnsi="Arial"/>
          <w:sz w:val="17"/>
          <w:szCs w:val="17"/>
          <w:color w:val="auto"/>
        </w:rPr>
        <w:t>We regularly acquire or invest in businesses, software solutions and technologies that are complementary to our business through acquisitions, strategic alliances or equity or debt investments. The risks associated with such acquisitions include, among others, the difficulty of assimilating solutions,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solution does not identify significant problems;</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significantly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additional exposure to fluctuations in currency exchange rates; and</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impact on relationships with existing customers, vendors, and distributors as business partners as a result of acquiring another business.</w:t>
      </w:r>
    </w:p>
    <w:p>
      <w:pPr>
        <w:spacing w:after="0" w:line="170" w:lineRule="exact"/>
        <w:rPr>
          <w:sz w:val="20"/>
          <w:szCs w:val="20"/>
          <w:color w:val="auto"/>
        </w:rPr>
      </w:pPr>
    </w:p>
    <w:p>
      <w:pPr>
        <w:ind w:right="60" w:firstLine="432"/>
        <w:spacing w:after="0" w:line="275"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7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46"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We are dependent on our international operations for a significant portion of our revenue. International net revenue represented 66% of our net revenue for both the six months ended July 31, 2020 and 2019. Our international revenue, including that from emerging economies, is subject to general economic and political conditions in foreign markets, including conditions in foreign markets resulting from economic and political conditions in the U.S., as well as country specific conditions related to COVID-19, including varied speed of recovery in different geographies.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80"/>
          </w:cols>
          <w:pgMar w:left="320" w:top="557" w:right="399" w:bottom="1440" w:gutter="0" w:footer="0" w:header="0"/>
        </w:sectPr>
      </w:pPr>
    </w:p>
    <w:bookmarkStart w:id="52" w:name="page53"/>
    <w:bookmarkEnd w:id="52"/>
    <w:p>
      <w:pPr>
        <w:jc w:val="both"/>
        <w:ind w:right="820" w:firstLine="405"/>
        <w:spacing w:after="0" w:line="342" w:lineRule="auto"/>
        <w:rPr>
          <w:sz w:val="20"/>
          <w:szCs w:val="20"/>
          <w:color w:val="auto"/>
        </w:rPr>
      </w:pPr>
      <w:r>
        <w:rPr>
          <w:rFonts w:ascii="Arial" w:cs="Arial" w:eastAsia="Arial" w:hAnsi="Arial"/>
          <w:sz w:val="16"/>
          <w:szCs w:val="16"/>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Risks inherent in our international operations include:</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fluctuating currency exchange rates, including devaluations, currency controls and inflation, and risks related to any hedging activities we undertake;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purchase patterns as compared to the developed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enforcement by the U.S. under the Foreign Corrupt Practices Act, and adoption of stricter anti-corruption laws in certain countries, including the United Kingdom;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 and foreign tax law changes impacting how multinational companies are taxed and the complexities of tax reporting;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 regarding the management of and access to data and public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possible future limitations upon foreign owned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225" w:lineRule="exact"/>
        <w:rPr>
          <w:rFonts w:ascii="Arial" w:cs="Arial" w:eastAsia="Arial" w:hAnsi="Arial"/>
          <w:sz w:val="18"/>
          <w:szCs w:val="18"/>
          <w:color w:val="auto"/>
        </w:rPr>
      </w:pPr>
    </w:p>
    <w:p>
      <w:pPr>
        <w:ind w:left="420" w:right="120" w:hanging="88"/>
        <w:spacing w:after="0" w:line="500" w:lineRule="auto"/>
        <w:tabs>
          <w:tab w:leader="none" w:pos="663"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factors beyond our control, including popular uprisings, terrorism, war, natural disasters, and diseases and pandemics, such as COVID-19. Some of our business partners also have international operations and are subject to the risks described above.</w:t>
      </w:r>
    </w:p>
    <w:p>
      <w:pPr>
        <w:spacing w:after="0" w:line="2"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"Brexit" vote has exacerbated and may further exacerbate many of the risks and uncertainties described above. The United Kingdom officially left the European Union pursuant to Brexit on January 31, 2020, with a transitional period set to end on December 31, 2020. The withdrawal of the United Kingdom from the European Union could, among other potential outcomes, adversely affect the tax, tax treaty, banking, operational, legal and regulatory regimes to which our businesses in the region are subject. The withdrawal could also, among other potential outcomes, create currency volatility, disrupt the free movement of goods, services and people between the United Kingdom and the European Union and significantly disrupt trade between the United Kingdom and the European Union and other parties. While the United Kingdom left the European Union as of January 31, 2020, it has until December 31, 2020, to negotiate a new trade agreement addressing customs and trade matters.</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557" w:right="439" w:bottom="1440" w:gutter="0" w:footer="0" w:header="0"/>
        </w:sectPr>
      </w:pPr>
    </w:p>
    <w:bookmarkStart w:id="53" w:name="page54"/>
    <w:bookmarkEnd w:id="53"/>
    <w:p>
      <w:pPr>
        <w:ind w:right="20"/>
        <w:spacing w:after="0" w:line="277" w:lineRule="auto"/>
        <w:rPr>
          <w:sz w:val="20"/>
          <w:szCs w:val="20"/>
          <w:color w:val="auto"/>
        </w:rPr>
      </w:pPr>
      <w:r>
        <w:rPr>
          <w:rFonts w:ascii="Arial" w:cs="Arial" w:eastAsia="Arial" w:hAnsi="Arial"/>
          <w:sz w:val="18"/>
          <w:szCs w:val="18"/>
          <w:color w:val="auto"/>
        </w:rPr>
        <w:t>Further, uncertainty around these and related issues could lead to adverse effects on the United Kingdom economy, the European Union economies, and the other economies in which we operate.</w:t>
      </w:r>
    </w:p>
    <w:p>
      <w:pPr>
        <w:spacing w:after="0" w:line="170"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In addition, the current U.S. administration has instituted or proposed changes to foreign trade policy including the negotiation or termination of trade agreements, the imposition of tariffs on products imported from certain countries, economic sanctions on individuals, corporations or countries and other government regulations affecting trade between the United States and other countries in which we do business. New or increased tariffs and other changes in U.S. trade policy could trigger retaliatory actions by affected countries, and certain foreign governments, including the Chinese government, have instituted or are considering imposing trade sanctions on certain U.S. manufactured goods. The escalation of protectionist or retaliatory trade measures in either the United States or any other countries in which we do business, such as a change in tariff structures, export compliance or other trade policies, may increase the cost of, or otherwise interfere with, conducting our business.</w:t>
      </w:r>
    </w:p>
    <w:p>
      <w:pPr>
        <w:spacing w:after="0" w:line="17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Even if we are able to successfully manage the risks of international operations, our business may be adversely affected if our business partners are not able to successfully manage these risks.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Security incidents may compromise the integrity of our or our customers’ offerings, services, data or intellectual property, harm our reputation, damage our competitiveness, create additional liability and adversely impact our financial results.</w:t>
      </w:r>
    </w:p>
    <w:p>
      <w:pPr>
        <w:spacing w:after="0" w:line="13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As we digitize Autodesk and use cloud and web-based technologies to leverage customer data to deliver the total customer experience, we are exposed to increased security risks and the potential for unauthorized access to, or improper use of, our and our customers' information. Like other software offerings and systems, ours are vulnerable to security incidents. We devote resources to maintain the security and integrity of our systems, offerings, services and applications (online, mobile and desktop). We accomplish this by enhancing security features, conducting penetration tests, code hardening, releasing security vulnerability updates and accelerating our incident response time. Despite these efforts, we may not prevent security incidents, and we may face delays or other difficulties in identifying or responding to security incidents.</w:t>
      </w:r>
    </w:p>
    <w:p>
      <w:pPr>
        <w:spacing w:after="0" w:line="137"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Hackers regularly have targeted our systems, offerings, services and applications, and we expect them to do so in the future. Security incidents could disrupt the proper functioning of our systems, solutions or services; cause errors in the output of our customers' work; allow unauthorized access to sensitive data or intellectual property, including proprietary or confidential information of ours or our customers; or cause other destructive outcomes.</w:t>
      </w:r>
    </w:p>
    <w:p>
      <w:pPr>
        <w:spacing w:after="0" w:line="108"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risk of a security incident,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malicious file uploads, backdoor trojans and distributed denial of service (DDoS) attacks. In addition, third parties may attempt to fraudulently induce our employees, vendors, partners or users to disclose information to gain access to our data or our users’ data and there is the risk of employee, contractor, or vendor error or malfeasance. Despite efforts to create security barriers to such threats, it is impossible for us to entirely eliminate these risks.</w:t>
      </w:r>
    </w:p>
    <w:p>
      <w:pPr>
        <w:spacing w:after="0" w:line="13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If any of the foregoing security incidents were to occur or to be perceived to have occurred, our reputation may suffer, our competitive position may be diminished, customers may stop paying for our solutions and services, we could be required to expend significant capital and other resources to evaluate and alleviate the security incident and in an effort to prevent further or additional incidents, and we could face regulatory inquiry, lawsuits and potential liability.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breach, and our financial performance could be negatively impacted.</w:t>
      </w:r>
    </w:p>
    <w:p>
      <w:pPr>
        <w:spacing w:after="0" w:line="13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cannot assure you that any limitations of liability provisions in our contracts would be enforceable or adequate or would otherwise protect us from any liabilities or damages with respect to any particular claim relating to a security breach or other security incident. We also cannot be sure that our existing insurance coverage will continue to be available on acceptable terms or will be available in sufficient amounts to cover one or more large claims related to a security breach,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557"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Increasing regulatory focus on privacy issues and expanding laws may impact our business or expose us to increased liability.</w:t>
      </w:r>
    </w:p>
    <w:p>
      <w:pPr>
        <w:spacing w:after="0" w:line="22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Our strategy to digitize Autodesk involves increasing our use of cloud and web-based technologies and applications to leverage customer data to improve our offerings for the benefit of our customers. To accomplish this strategy, we must collect and otherwise process customer data, which may include personal data. Federal, state and foreign government privacy and data security laws apply to the treatment of personal data. Governments, regulators, the plaintiffs’ bar, privacy advocates and customers have increased their focus on how companies collect, process, use, store, share and transmit personal data.</w:t>
      </w:r>
    </w:p>
    <w:p>
      <w:pPr>
        <w:spacing w:after="0" w:line="147"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The General Data Protection Regulation ("GDPR") is applicable in all European Union member states and introduced new data protection requirements in the European Union and substantial fines for non-compliance. We have modified our privacy practices to comply with GDPR. We have self-certified under the EU-U.S. Privacy Shield program and make use of model contractual clauses approved by the European Commission in relation to the transfer of personal data from the European Union to the United States. The Privacy Shield and the European Commission’s model contractual clauses are currently the subject of legal challenges in the European Union, however, and it is unclear whether these will serve as appropriate means for us to transfer personal data from the European Union to the United States. We have also self-certified to the Swiss-U.S. Privacy Shield program in relation to the transfer of personal data from Switzerland to the United States. This Privacy Shield program also may no longer be valid due to possible legal challenges. Additionally, in June 2016, the United Kingdom voted to leave the European Union, which could also lead to further legislative and regulatory changes with regard to personal data. The United Kingdom Data Protection Act that substantially implements the GDPR became law in May 2018. It remains unclear, however, how United Kingdom data protection laws or regulations will develop in the medium to longer term and how data transfers to and from the United Kingdom will be regulated at the time, if any, that Brexit is effectuated.</w:t>
      </w:r>
    </w:p>
    <w:p>
      <w:pPr>
        <w:spacing w:after="0" w:line="14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addition, in June 2018, California enacted the California Consumer Privacy Act (the "CCPA"), which took effect in January 2020. The CCPA, among other things, gives California residents expanded rights to access and delete their personal information, opt out of certain personal information sharing, and receive detailed information about how their personal information is used. The CCPA was amended in September 2018 and November 2019, and modifications were proposed in February 2020. It is unclear whether further modifications will be made to this law. Additionally, in October 2019, the California Department of Justice published a notice of proposed rulemaking action with respect to draft regulations to implement the CCPA. We cannot yet predict the impact of the CCPA on our business or operations, but it may require us to modify our data processing practices and policies and to incur substantial costs and expenses in order to comply.</w:t>
      </w:r>
    </w:p>
    <w:p>
      <w:pPr>
        <w:spacing w:after="0" w:line="154" w:lineRule="exact"/>
        <w:rPr>
          <w:sz w:val="20"/>
          <w:szCs w:val="20"/>
          <w:color w:val="auto"/>
        </w:rPr>
      </w:pPr>
    </w:p>
    <w:p>
      <w:pPr>
        <w:ind w:right="100" w:firstLine="391"/>
        <w:spacing w:after="0" w:line="273" w:lineRule="auto"/>
        <w:rPr>
          <w:sz w:val="20"/>
          <w:szCs w:val="20"/>
          <w:color w:val="auto"/>
        </w:rPr>
      </w:pPr>
      <w:r>
        <w:rPr>
          <w:rFonts w:ascii="Arial" w:cs="Arial" w:eastAsia="Arial" w:hAnsi="Arial"/>
          <w:sz w:val="17"/>
          <w:szCs w:val="17"/>
          <w:color w:val="auto"/>
        </w:rPr>
        <w:t xml:space="preserve">The GDPR, CCPA and other state and global laws and regulations increased our responsibility and potential liability in relation to personal data, and we have and will continue to put in place additional processes and programs to demonstrate compliance. New privacy laws and regulations are under development at the U.S. Federal and state level and many international jurisdictions. Any actual or perceived failure to comply with the GDPR, the CCPA or other data privacy laws </w:t>
      </w:r>
      <w:r>
        <w:rPr>
          <w:rFonts w:ascii="Arial" w:cs="Arial" w:eastAsia="Arial" w:hAnsi="Arial"/>
          <w:sz w:val="17"/>
          <w:szCs w:val="17"/>
          <w:color w:val="212529"/>
        </w:rPr>
        <w:t>or regulations, or related contractual or other obligations, or any perceived privacy rights violation, could lead to investigations,</w:t>
      </w:r>
      <w:r>
        <w:rPr>
          <w:rFonts w:ascii="Arial" w:cs="Arial" w:eastAsia="Arial" w:hAnsi="Arial"/>
          <w:sz w:val="17"/>
          <w:szCs w:val="17"/>
          <w:color w:val="auto"/>
        </w:rPr>
        <w:t xml:space="preserve"> </w:t>
      </w:r>
      <w:r>
        <w:rPr>
          <w:rFonts w:ascii="Arial" w:cs="Arial" w:eastAsia="Arial" w:hAnsi="Arial"/>
          <w:sz w:val="17"/>
          <w:szCs w:val="17"/>
          <w:color w:val="212529"/>
        </w:rPr>
        <w:t>claims, and proceedings by governmental entities and private parties, damages for contract breach, and other significant costs, penalties, and other liabilities, as well as harm to our reputation and market position</w:t>
      </w:r>
      <w:r>
        <w:rPr>
          <w:rFonts w:ascii="Arial" w:cs="Arial" w:eastAsia="Arial" w:hAnsi="Arial"/>
          <w:sz w:val="17"/>
          <w:szCs w:val="17"/>
          <w:color w:val="000000"/>
        </w:rPr>
        <w:t>.</w:t>
      </w:r>
    </w:p>
    <w:p>
      <w:pPr>
        <w:spacing w:after="0" w:line="137" w:lineRule="exact"/>
        <w:rPr>
          <w:sz w:val="20"/>
          <w:szCs w:val="20"/>
          <w:color w:val="auto"/>
        </w:rPr>
      </w:pPr>
    </w:p>
    <w:p>
      <w:pPr>
        <w:ind w:right="140" w:firstLine="391"/>
        <w:spacing w:after="0" w:line="275" w:lineRule="auto"/>
        <w:rPr>
          <w:sz w:val="20"/>
          <w:szCs w:val="20"/>
          <w:color w:val="auto"/>
        </w:rPr>
      </w:pPr>
      <w:r>
        <w:rPr>
          <w:rFonts w:ascii="Arial" w:cs="Arial" w:eastAsia="Arial" w:hAnsi="Arial"/>
          <w:sz w:val="17"/>
          <w:szCs w:val="17"/>
          <w:color w:val="auto"/>
        </w:rPr>
        <w:t>Additionally, we store customer information and content and if our customers fail to comply with contractual obligations or applicable laws, it could result in litigation or reputational harm to us. The GDPR, CCPA and other laws and self-regulatory codes may affect our ability to reach current and prospective customers, to understand how our offerings and services are being used, to respond to customer requests allowed under the laws, and to implement our new business models effectively. These new laws and regulations would similarly affect our competitors as well as our customers. These requirements could impact demand for our offerings and services and result in more onerous contract obligations.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773" w:right="359" w:bottom="1440" w:gutter="0" w:footer="0" w:header="0"/>
        </w:sectPr>
      </w:pPr>
    </w:p>
    <w:bookmarkStart w:id="55" w:name="page56"/>
    <w:bookmarkEnd w:id="55"/>
    <w:p>
      <w:pPr>
        <w:ind w:right="140"/>
        <w:spacing w:after="0" w:line="277" w:lineRule="auto"/>
        <w:rPr>
          <w:sz w:val="20"/>
          <w:szCs w:val="20"/>
          <w:color w:val="auto"/>
        </w:rPr>
      </w:pPr>
      <w:r>
        <w:rPr>
          <w:rFonts w:ascii="Arial" w:cs="Arial" w:eastAsia="Arial" w:hAnsi="Arial"/>
          <w:sz w:val="18"/>
          <w:szCs w:val="18"/>
          <w:i w:val="1"/>
          <w:iCs w:val="1"/>
          <w:color w:val="auto"/>
        </w:rPr>
        <w:t>We rely on third parties to provide us with a number of operational and technical services; third-party security incidents could expose us to liability, harm our reputation, damage our competitiveness and adversely impact our financial performance.</w:t>
      </w:r>
    </w:p>
    <w:p>
      <w:pPr>
        <w:spacing w:after="0" w:line="17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rely on third parties, such as Amazon Web Services, to provide us with operational and technical services. These third parties may have access to our systems, provide hosting services, or otherwise process data about us or our customers, employees, or partners. Any third-party security incident could compromise the integrity of, or availability or result in the theft of, data. In addition, our operations, or the operations of our customers or partners, could be negatively affected in the event of a security breach, and could be subject to the loss or theft of confidential or proprietary information, including source code. Unauthorized access to data and other confidential or 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and potential liability, and our financial performance could be negatively impacted.</w:t>
      </w:r>
    </w:p>
    <w:p>
      <w:pPr>
        <w:spacing w:after="0" w:line="1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Delays in service from third-party service providers could expose us to liability, harm our reputation, damage our competitiveness and adversely impact our financial performance.</w:t>
      </w:r>
    </w:p>
    <w:p>
      <w:pPr>
        <w:spacing w:after="0" w:line="170"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From time to time, we may rely on a single or limited number of suppliers, or upon suppliers in a single country, for the provision of services and materials that we use in the operation of our business and production of our solutions. The inability of such third parties to satisfy our requirements could disrupt our business operations or make it more difficult for us to implement our business strategy. If any of these situations were to occur, our reputation could be harmed, we could be subject to third-party liability, including under data protection and privacy laws in certain jurisdictions, and our financial performance could be negatively impacted.</w:t>
      </w:r>
    </w:p>
    <w:p>
      <w:pPr>
        <w:spacing w:after="0" w:line="18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i w:val="1"/>
          <w:iCs w:val="1"/>
          <w:color w:val="auto"/>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spacing w:after="0" w:line="184" w:lineRule="exact"/>
        <w:rPr>
          <w:sz w:val="20"/>
          <w:szCs w:val="20"/>
          <w:color w:val="auto"/>
        </w:rPr>
      </w:pPr>
    </w:p>
    <w:p>
      <w:pPr>
        <w:ind w:right="320" w:firstLine="391"/>
        <w:spacing w:after="0" w:line="301" w:lineRule="auto"/>
        <w:rPr>
          <w:sz w:val="20"/>
          <w:szCs w:val="20"/>
          <w:color w:val="auto"/>
        </w:rPr>
      </w:pPr>
      <w:r>
        <w:rPr>
          <w:rFonts w:ascii="Arial" w:cs="Arial" w:eastAsia="Arial" w:hAnsi="Arial"/>
          <w:sz w:val="16"/>
          <w:szCs w:val="16"/>
          <w:color w:val="auto"/>
        </w:rPr>
        <w:t>We rely on our network and data center infrastructure, technology systems and our websites for our development, marketing, operational, support, sales, accounting and financial reporting activities. We continually invest resources to update and improve these systems in order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w:t>
      </w:r>
    </w:p>
    <w:p>
      <w:pPr>
        <w:spacing w:after="0" w:line="157" w:lineRule="exact"/>
        <w:rPr>
          <w:sz w:val="20"/>
          <w:szCs w:val="20"/>
          <w:color w:val="auto"/>
        </w:rPr>
      </w:pPr>
    </w:p>
    <w:p>
      <w:pPr>
        <w:ind w:right="160" w:firstLine="391"/>
        <w:spacing w:after="0" w:line="259" w:lineRule="auto"/>
        <w:rPr>
          <w:sz w:val="20"/>
          <w:szCs w:val="20"/>
          <w:color w:val="auto"/>
        </w:rPr>
      </w:pPr>
      <w:r>
        <w:rPr>
          <w:rFonts w:ascii="Arial" w:cs="Arial" w:eastAsia="Arial" w:hAnsi="Arial"/>
          <w:sz w:val="18"/>
          <w:szCs w:val="18"/>
          <w:color w:val="auto"/>
        </w:rPr>
        <w:t>Such improvements are often complex, costly and time consuming. In addition, such improvements can be challenging to integrate with our existing technology systems, or may uncover problems with our existing technology systems. Unsuccessful implementation of hardware or software updates and improvements could result in disruption in our business operations, loss of customers, loss of revenue, errors in our accounting and financial reporting or damage to our reputation, all of which could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predict subscription renewal rates and their impact on our future revenue and operating results.</w:t>
      </w:r>
    </w:p>
    <w:p>
      <w:pPr>
        <w:spacing w:after="0" w:line="225" w:lineRule="exact"/>
        <w:rPr>
          <w:sz w:val="20"/>
          <w:szCs w:val="20"/>
          <w:color w:val="auto"/>
        </w:rPr>
      </w:pPr>
    </w:p>
    <w:p>
      <w:pPr>
        <w:ind w:right="40" w:firstLine="391"/>
        <w:spacing w:after="0" w:line="257" w:lineRule="auto"/>
        <w:rPr>
          <w:sz w:val="20"/>
          <w:szCs w:val="20"/>
          <w:color w:val="auto"/>
        </w:rPr>
      </w:pPr>
      <w:r>
        <w:rPr>
          <w:rFonts w:ascii="Arial" w:cs="Arial" w:eastAsia="Arial" w:hAnsi="Arial"/>
          <w:sz w:val="18"/>
          <w:szCs w:val="18"/>
          <w:color w:val="auto"/>
        </w:rPr>
        <w:t>Our customers are not obligated to renew their subscriptions for our offerings, and they may elect not to renew. We cannot assure renewal rates, or the mix of subscriptions renewals. Customer renewal rates may decline or fluctuate due to a number of factors, including offering pricing, competitive offerings, customer satisfaction, and reductions in customer spending levels, customer activity or number of users due to economic downturns, including as a result of the current COVID-19 pandemic, or financial markets uncertainty. If our customers do not renew their subscriptions or if they renew on less favorable terms, our revenues may decline.</w:t>
      </w:r>
    </w:p>
    <w:p>
      <w:pPr>
        <w:spacing w:after="0" w:line="18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170" w:lineRule="exact"/>
        <w:rPr>
          <w:sz w:val="20"/>
          <w:szCs w:val="20"/>
          <w:color w:val="auto"/>
        </w:rPr>
      </w:pPr>
    </w:p>
    <w:p>
      <w:pPr>
        <w:ind w:right="400" w:firstLine="391"/>
        <w:spacing w:after="0" w:line="301" w:lineRule="auto"/>
        <w:rPr>
          <w:sz w:val="20"/>
          <w:szCs w:val="20"/>
          <w:color w:val="auto"/>
        </w:rPr>
      </w:pPr>
      <w:r>
        <w:rPr>
          <w:rFonts w:ascii="Arial" w:cs="Arial" w:eastAsia="Arial" w:hAnsi="Arial"/>
          <w:sz w:val="16"/>
          <w:szCs w:val="16"/>
          <w:color w:val="auto"/>
        </w:rPr>
        <w:t>The software solutions that we offer are complex and, despite extensive testing and quality control, may contain errors, defects or vulnerabilities. Some errors, defects and vulnerabilities in our software solutions may only be discovered after they have been released. Any errors, defects or vulnerabilities could result in the need for corrective releases to our software solutions, damage to our reputation, loss of revenue, an increase in subscription cancellations or lack of market acceptance of our offerings, any of which would likely harm our business and financial performance.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55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firstLine="391"/>
        <w:spacing w:after="0" w:line="269" w:lineRule="auto"/>
        <w:rPr>
          <w:sz w:val="20"/>
          <w:szCs w:val="20"/>
          <w:color w:val="auto"/>
        </w:rPr>
      </w:pPr>
      <w:r>
        <w:rPr>
          <w:rFonts w:ascii="Arial" w:cs="Arial" w:eastAsia="Arial" w:hAnsi="Arial"/>
          <w:sz w:val="17"/>
          <w:szCs w:val="17"/>
          <w:color w:val="auto"/>
        </w:rPr>
        <w:t xml:space="preserve">The software industry has limited barriers to entry, and the availability of computing devices with continually expanding performance at progressively lower prices contributes to the ease of market entry. The software industry has undergone a transition from developing and selling perpetual licenses and on-premises products to </w:t>
      </w:r>
      <w:r>
        <w:rPr>
          <w:rFonts w:ascii="Arial" w:cs="Arial" w:eastAsia="Arial" w:hAnsi="Arial"/>
          <w:sz w:val="17"/>
          <w:szCs w:val="17"/>
          <w:color w:val="212529"/>
        </w:rPr>
        <w:t>subscriptions and cloud-enabled technologies</w:t>
      </w:r>
      <w:r>
        <w:rPr>
          <w:rFonts w:ascii="Arial" w:cs="Arial" w:eastAsia="Arial" w:hAnsi="Arial"/>
          <w:sz w:val="17"/>
          <w:szCs w:val="17"/>
          <w:color w:val="auto"/>
        </w:rPr>
        <w:t>.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offerings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We are subject to governmental export and import controls that could impair our ability to compete in international markets or subject us to liability if we violate the controls</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offerings are subject to U.S. export controls and economic sanctions laws and regulations that prohibit the delivery of certain solutions and services without the required export authorizations or export to locations, governments, and persons targeted by U.S. sanctions. While we have processes in place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18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 Violations of U.S. sanctions or export control laws can result in fines or penalties.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Because we conduct a substantial portion of our business outside the U.S., we face exposure to adverse movements in foreign currency exchange rates. These exposures may change over time as business practices evolve and economic conditions change. Our exposure to adverse movements in foreign currency exchange rates could have a material adverse impact on our financial results and cash flows.</w:t>
      </w:r>
    </w:p>
    <w:p>
      <w:pPr>
        <w:spacing w:after="0" w:line="16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7"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In addition, Brexit may contribute to volatility in foreign exchange markets with respect to the British Pound and Euro,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557" w:right="339" w:bottom="1440" w:gutter="0" w:footer="0" w:header="0"/>
        </w:sectPr>
      </w:pPr>
    </w:p>
    <w:bookmarkStart w:id="57" w:name="page58"/>
    <w:bookmarkEnd w:id="57"/>
    <w:p>
      <w:pPr>
        <w:ind w:right="340"/>
        <w:spacing w:after="0" w:line="263"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our ability to generate revenue will be adversely affected. If our distribution channel suffers financial losses, becomes financially unstable or insolvent, or is not provided the right mix of incentives to sell our subscriptions, our ability to generate revenue will be adversely affected.</w:t>
      </w:r>
    </w:p>
    <w:p>
      <w:pPr>
        <w:spacing w:after="0" w:line="184"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We sell our software products both directly to end-users and through a network of distributors and resellers. For both the six months ended July 31, 2020 and 2019, approximately 70% of our revenue was derived from indirect channel sales through distributors and resellers and we expect that the majority of our revenue will continue to be derived from indirect channel sales in the near future. Our ability to effectively distribute our solutions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81"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 xml:space="preserve">We rely significantly upon major distributors and resellers in both the U.S. and international regions, including the distributors Tech Data and Ingram Micro. Tech Data accounted for 38% and 35% of our total net revenue for the six months ended July 31, 2020 and 2019, respectively, and Ingram Micro accounted for 10% of our total net revenue for both six months ended July 31, 2020 and 2019. Should any of our agreements with Tech Data and Ingram Micro be terminated for any reason, we believe the resellers and end users who currently purchase our products through Tech Data and Ingram Micro would be able to continue to do so under substantially the same terms from one of our many other distributors without substantial disruption to our revenue. Consequently, we believe our business is not substantially dependent on either Tech Data or Ingram Micro. However, if either distributor were to experience a significant disruption with its business, or if our relationship with either of them were to significantly deteriorate, it is possible that our ability to sell to end users would be, at least temporarily, negatively impacted. This could in turn negatively impact our financial results. </w:t>
      </w:r>
      <w:r>
        <w:rPr>
          <w:rFonts w:ascii="Arial" w:cs="Arial" w:eastAsia="Arial" w:hAnsi="Arial"/>
          <w:sz w:val="17"/>
          <w:szCs w:val="17"/>
          <w:color w:val="212529"/>
        </w:rPr>
        <w:t>For example, on</w:t>
      </w:r>
      <w:r>
        <w:rPr>
          <w:rFonts w:ascii="Arial" w:cs="Arial" w:eastAsia="Arial" w:hAnsi="Arial"/>
          <w:sz w:val="17"/>
          <w:szCs w:val="17"/>
          <w:color w:val="auto"/>
        </w:rPr>
        <w:t xml:space="preserve"> </w:t>
      </w:r>
      <w:r>
        <w:rPr>
          <w:rFonts w:ascii="Arial" w:cs="Arial" w:eastAsia="Arial" w:hAnsi="Arial"/>
          <w:sz w:val="17"/>
          <w:szCs w:val="17"/>
          <w:color w:val="212529"/>
        </w:rPr>
        <w:t>November 13, 2019, Tech Data announced that it had entered into a definitive agreement to be acquired by an affiliate of funds managed by affiliates of Apollo Global Management, a global alternative investment manager (collectively, “Apollo”), and Apollo announced the close of the acquisition of Tech Data on June 30, 2020. If there is any reseller and end user uncertainty caused by Apollo’s acquisition of Tech Data, our ability to sell to these resellers and end users could be, at least temporarily, negatively impacted.</w:t>
      </w:r>
    </w:p>
    <w:p>
      <w:pPr>
        <w:spacing w:after="0" w:line="179" w:lineRule="exact"/>
        <w:rPr>
          <w:sz w:val="20"/>
          <w:szCs w:val="20"/>
          <w:color w:val="auto"/>
        </w:rPr>
      </w:pPr>
    </w:p>
    <w:p>
      <w:pPr>
        <w:ind w:right="20" w:firstLine="391"/>
        <w:spacing w:after="0" w:line="291" w:lineRule="auto"/>
        <w:rPr>
          <w:sz w:val="20"/>
          <w:szCs w:val="20"/>
          <w:color w:val="auto"/>
        </w:rPr>
      </w:pPr>
      <w:r>
        <w:rPr>
          <w:rFonts w:ascii="Arial" w:cs="Arial" w:eastAsia="Arial" w:hAnsi="Arial"/>
          <w:sz w:val="16"/>
          <w:szCs w:val="16"/>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move to competitive products, or may not have the skills or ability to support customers.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Our financial results, key metrics and other operating metrics fluctuate within each quarter and from quarter to quarter making our future revenue and financial results difficult to predict.</w:t>
      </w:r>
    </w:p>
    <w:p>
      <w:pPr>
        <w:spacing w:after="0" w:line="170"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Our quarterly financial results, key metrics and other operating metrics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 Item 1A, some of the factors that could cause our financial results, key metrics and other operating metrics to fluctuate include:</w:t>
      </w:r>
    </w:p>
    <w:p>
      <w:pPr>
        <w:spacing w:after="0" w:line="171"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market, economic, business, and political conditions in Europe, APAC, and emerging economies, including from an economic downturn or recession in the United States or in other countries around the world;</w:t>
      </w:r>
    </w:p>
    <w:p>
      <w:pPr>
        <w:spacing w:after="0" w:line="170"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produce sufficient revenue, billings, subscription, profitability and cash flow growth, including as a result of the current COVID-19 pandemic;</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557" w:right="339" w:bottom="1440" w:gutter="0" w:footer="0" w:header="0"/>
        </w:sectPr>
      </w:pPr>
    </w:p>
    <w:bookmarkStart w:id="58" w:name="page59"/>
    <w:bookmarkEnd w:id="58"/>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manage spend;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subscription mix, pricing pressure or changes in subscription pricing;</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of new business or sales initiatives;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security breaches, related reputational harm, and potential financial penalties to customers and government entities;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timing of additional investments in our technologies or deployment of our services;</w:t>
      </w:r>
    </w:p>
    <w:p>
      <w:pPr>
        <w:spacing w:after="0" w:line="225" w:lineRule="exact"/>
        <w:rPr>
          <w:rFonts w:ascii="Arial" w:cs="Arial" w:eastAsia="Arial" w:hAnsi="Arial"/>
          <w:sz w:val="18"/>
          <w:szCs w:val="18"/>
          <w:color w:val="auto"/>
        </w:rPr>
      </w:pPr>
    </w:p>
    <w:p>
      <w:pPr>
        <w:ind w:left="328" w:right="160" w:hanging="328"/>
        <w:spacing w:after="0" w:line="277"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Securities Exchange Commission or other rule-making bodies;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rFonts w:ascii="Arial" w:cs="Arial" w:eastAsia="Arial" w:hAnsi="Arial"/>
          <w:sz w:val="18"/>
          <w:szCs w:val="18"/>
          <w:color w:val="auto"/>
        </w:rPr>
      </w:pPr>
    </w:p>
    <w:p>
      <w:pPr>
        <w:ind w:left="328" w:right="600" w:hanging="328"/>
        <w:spacing w:after="0" w:line="277"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governments around the world to adopt fiscal policies, meet their financial and debt obligations, and to finance infrastructure projects;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25"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rapidly adapt to technological and customer preference changes, including those related to cloud computing, mobile devices and new computing platforms;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subscriptions;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cloud functionality-related expenses;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timing of releases and retirements of offerings;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tax laws, tax or accounting rules and regulations, such as increased use of fair value measures;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effectively implement and maintain our copyright legalization programs, especially in developing countries;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868"/>
          </w:cols>
          <w:pgMar w:left="652" w:top="557" w:right="379" w:bottom="1440" w:gutter="0" w:footer="0" w:header="0"/>
        </w:sectPr>
      </w:pPr>
    </w:p>
    <w:bookmarkStart w:id="59" w:name="page60"/>
    <w:bookmarkEnd w:id="59"/>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catastrophic events, natural disasters, or public health situations, such as pandemics and epidemics, including COVID-19;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compliance costs;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w:t>
      </w:r>
    </w:p>
    <w:p>
      <w:pPr>
        <w:spacing w:after="0" w:line="225" w:lineRule="exact"/>
        <w:rPr>
          <w:sz w:val="20"/>
          <w:szCs w:val="20"/>
          <w:color w:val="auto"/>
        </w:rPr>
      </w:pPr>
    </w:p>
    <w:p>
      <w:pPr>
        <w:ind w:right="120" w:firstLine="391"/>
        <w:spacing w:after="0" w:line="263"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184" w:lineRule="exact"/>
        <w:rPr>
          <w:sz w:val="20"/>
          <w:szCs w:val="20"/>
          <w:color w:val="auto"/>
        </w:rPr>
      </w:pPr>
    </w:p>
    <w:p>
      <w:pPr>
        <w:ind w:right="60" w:firstLine="391"/>
        <w:spacing w:after="0" w:line="263"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solutions, including our AutoCAD-based software products and collections, if these offerings are not successful, our revenue will be adversely affected.</w:t>
      </w:r>
    </w:p>
    <w:p>
      <w:pPr>
        <w:spacing w:after="0" w:line="170"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the six months ended July 31, 2020 and 2019, combined revenue from our AutoCAD and AutoCAD LT family products, not including collections having AutoCAD or AutoCAD LT as a component, represented 30% and 29% of our total net revenue,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service obligations may adversely affect our financial condition and cash flows from operations.</w:t>
      </w:r>
    </w:p>
    <w:p>
      <w:pPr>
        <w:spacing w:after="0" w:line="225" w:lineRule="exact"/>
        <w:rPr>
          <w:sz w:val="20"/>
          <w:szCs w:val="20"/>
          <w:color w:val="auto"/>
        </w:rPr>
      </w:pPr>
    </w:p>
    <w:p>
      <w:pPr>
        <w:ind w:right="40" w:firstLine="391"/>
        <w:spacing w:after="0" w:line="259" w:lineRule="auto"/>
        <w:rPr>
          <w:sz w:val="20"/>
          <w:szCs w:val="20"/>
          <w:color w:val="auto"/>
        </w:rPr>
      </w:pPr>
      <w:r>
        <w:rPr>
          <w:rFonts w:ascii="Arial" w:cs="Arial" w:eastAsia="Arial" w:hAnsi="Arial"/>
          <w:sz w:val="18"/>
          <w:szCs w:val="18"/>
          <w:color w:val="auto"/>
        </w:rPr>
        <w:t>We have $1.6 billion of debt, consisting of notes due at various times from December 2022 to January 2030, as described in Part 2, Item 8. We also entered into a credit agreement that provides for an unsecured revolving loan facility in the aggregate principal amount of $650.0 million, with an option to be increased up to $1.0 billion, as described in Part 2, Item 8. Maintenance of our indebtedness, contractual restrictions, and additional issuances of indebtedness could:</w:t>
      </w:r>
    </w:p>
    <w:p>
      <w:pPr>
        <w:spacing w:after="0" w:line="18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cause us to dedicate a substantial portion of our cash flows from operations towards debt service obligations and principal repayments;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impair our ability to obtain future financing for working capital, capital expenditures, acquisitions, general corporate or other purposes; and</w:t>
      </w:r>
    </w:p>
    <w:p>
      <w:pPr>
        <w:spacing w:after="0" w:line="236" w:lineRule="exact"/>
        <w:rPr>
          <w:rFonts w:ascii="Arial" w:cs="Arial" w:eastAsia="Arial" w:hAnsi="Arial"/>
          <w:sz w:val="17"/>
          <w:szCs w:val="17"/>
          <w:color w:val="auto"/>
        </w:rPr>
      </w:pPr>
    </w:p>
    <w:p>
      <w:pPr>
        <w:ind w:left="660" w:right="4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spacing w:after="0" w:line="184"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We are required to comply with the covenants set forth in our credit agreement. If we breach any of the covenants and do not obtain a waiver from the note holders or lenders, then, subject to applicable cure periods, we would not be able to incur additional indebtedness under the credit agreement described in Part 2, Item 8 and any outstanding indebtedness under the credit agreement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credit agreement could increase.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773" w:right="35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Downgrades in our credit ratings could also restrict our ability to obtain additional financing in the future and could affect the terms of any such financing.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right="100" w:firstLine="432"/>
        <w:spacing w:after="0" w:line="296" w:lineRule="auto"/>
        <w:rPr>
          <w:sz w:val="20"/>
          <w:szCs w:val="20"/>
          <w:color w:val="auto"/>
        </w:rPr>
      </w:pPr>
      <w:r>
        <w:rPr>
          <w:rFonts w:ascii="Arial" w:cs="Arial" w:eastAsia="Arial" w:hAnsi="Arial"/>
          <w:sz w:val="16"/>
          <w:szCs w:val="16"/>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or have obtained and used information that we regard as proprietary. Policing unauthorized use of our software is time-consuming and costly. We are unable to measure the extent to which unauthorized use of our software exists and we expect that unauthorized use of software will remain a persistent problem, particularly in emerging economies. Furthermore, our means of protecting our proprietary rights may not be adequate.</w:t>
      </w:r>
    </w:p>
    <w:p>
      <w:pPr>
        <w:spacing w:after="0" w:line="16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employees,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As more software patents are granted worldwide, the number of offerings and competitors in our industries grows and the functionality of products in different industries overlaps, we expect that software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delays or require us to enter into royalty or licensing agreements. In addition, such royalty or license agreements, if required, may not be available on acceptable terms, if at all, which would likely harm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rely on software from third parties, and a failure to properly manage our use of third-party software could result in increased costs or loss of revenue.</w:t>
      </w:r>
    </w:p>
    <w:p>
      <w:pPr>
        <w:spacing w:after="0" w:line="248"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Many of our products are designed to include software licensed from third parties. Such third-party software includes software licensed from commercial suppliers and software licensed under public open source licenses. We have internal processes to manage our use of such third-party software. However, if we fail to adequately manage our use of third-party software, then we may be subject to copyright infringement or other third-party claims. If we are non-compliant with a license for commercial software, then we may be required to pay penalties or undergo costly audits pursuant to the license agreement. In the case of open-source software licensed under certain “copyleft” licenses, the license itself may require, or a court-imposed remedy for non-compliant use of the open source software may require, that proprietary portions of our own software be publicly disclosed or licensed. This could result in a loss of intellectual property rights, increased costs, damage to our reputation and/or a loss of revenue.</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As part of our effort to accommodate our customers' needs and demands and the rapid evolution of technology, we from time to time evolve our business and sales initiatives such as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557" w:right="359" w:bottom="1440" w:gutter="0" w:footer="0" w:header="0"/>
        </w:sectPr>
      </w:pPr>
    </w:p>
    <w:bookmarkStart w:id="61" w:name="page62"/>
    <w:bookmarkEnd w:id="61"/>
    <w:p>
      <w:pPr>
        <w:ind w:right="340"/>
        <w:spacing w:after="0" w:line="277" w:lineRule="auto"/>
        <w:rPr>
          <w:sz w:val="20"/>
          <w:szCs w:val="20"/>
          <w:color w:val="auto"/>
        </w:rPr>
      </w:pPr>
      <w:r>
        <w:rPr>
          <w:rFonts w:ascii="Arial" w:cs="Arial" w:eastAsia="Arial" w:hAnsi="Arial"/>
          <w:sz w:val="18"/>
          <w:szCs w:val="18"/>
          <w:i w:val="1"/>
          <w:iCs w:val="1"/>
          <w:color w:val="auto"/>
        </w:rPr>
        <w:t>Net revenue, billings, earnings, cash flow or subscriptions shortfalls or the volatility of the market generally may cause the market price of our stock to decline.</w:t>
      </w:r>
    </w:p>
    <w:p>
      <w:pPr>
        <w:spacing w:after="0" w:line="170" w:lineRule="exact"/>
        <w:rPr>
          <w:sz w:val="20"/>
          <w:szCs w:val="20"/>
          <w:color w:val="auto"/>
        </w:rPr>
      </w:pPr>
    </w:p>
    <w:p>
      <w:pPr>
        <w:ind w:right="6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 Item 1A and the following:</w:t>
      </w:r>
    </w:p>
    <w:p>
      <w:pPr>
        <w:spacing w:after="0" w:line="146" w:lineRule="exact"/>
        <w:rPr>
          <w:sz w:val="20"/>
          <w:szCs w:val="20"/>
          <w:color w:val="auto"/>
        </w:rPr>
      </w:pPr>
    </w:p>
    <w:p>
      <w:pPr>
        <w:ind w:left="66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shortfalls in our expected financial results, including net revenue, billings, earnings and cash flow or key performance metrics, such as subscriptions, including as a result of the current COVID-19 pandemic, </w:t>
      </w:r>
      <w:r>
        <w:rPr>
          <w:rFonts w:ascii="Arial" w:cs="Arial" w:eastAsia="Arial" w:hAnsi="Arial"/>
          <w:sz w:val="18"/>
          <w:szCs w:val="18"/>
          <w:color w:val="212529"/>
        </w:rPr>
        <w:t>and how those results compare to securities analyst expectations, including</w:t>
      </w:r>
      <w:r>
        <w:rPr>
          <w:rFonts w:ascii="Arial" w:cs="Arial" w:eastAsia="Arial" w:hAnsi="Arial"/>
          <w:sz w:val="18"/>
          <w:szCs w:val="18"/>
          <w:color w:val="auto"/>
        </w:rPr>
        <w:t xml:space="preserve"> </w:t>
      </w:r>
      <w:r>
        <w:rPr>
          <w:rFonts w:ascii="Arial" w:cs="Arial" w:eastAsia="Arial" w:hAnsi="Arial"/>
          <w:sz w:val="18"/>
          <w:szCs w:val="18"/>
          <w:color w:val="212529"/>
        </w:rPr>
        <w:t>whether those results fail to meet, exceed, or significantly exceed securities analyst expectations</w:t>
      </w:r>
      <w:r>
        <w:rPr>
          <w:rFonts w:ascii="Arial" w:cs="Arial" w:eastAsia="Arial" w:hAnsi="Arial"/>
          <w:sz w:val="18"/>
          <w:szCs w:val="18"/>
          <w:color w:val="000000"/>
        </w:rPr>
        <w: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 including from an economic downturn or recession in the United States or in other countries around the world;</w:t>
      </w:r>
    </w:p>
    <w:p>
      <w:pPr>
        <w:spacing w:after="0" w:line="170" w:lineRule="exact"/>
        <w:rPr>
          <w:rFonts w:ascii="Arial" w:cs="Arial" w:eastAsia="Arial" w:hAnsi="Arial"/>
          <w:sz w:val="18"/>
          <w:szCs w:val="18"/>
          <w:color w:val="auto"/>
        </w:rPr>
      </w:pPr>
    </w:p>
    <w:p>
      <w:pPr>
        <w:ind w:left="660" w:right="1040" w:hanging="328"/>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212529"/>
        </w:rPr>
        <w:t xml:space="preserve">changes in forward-looking estimates of future results, how those estimates compare to securities analyst expectations, </w:t>
      </w:r>
      <w:r>
        <w:rPr>
          <w:rFonts w:ascii="Arial" w:cs="Arial" w:eastAsia="Arial" w:hAnsi="Arial"/>
          <w:sz w:val="16"/>
          <w:szCs w:val="16"/>
          <w:color w:val="000000"/>
        </w:rPr>
        <w:t>or changes in</w:t>
      </w:r>
      <w:r>
        <w:rPr>
          <w:rFonts w:ascii="Arial" w:cs="Arial" w:eastAsia="Arial" w:hAnsi="Arial"/>
          <w:sz w:val="16"/>
          <w:szCs w:val="16"/>
          <w:color w:val="212529"/>
        </w:rPr>
        <w:t xml:space="preserve"> </w:t>
      </w:r>
      <w:r>
        <w:rPr>
          <w:rFonts w:ascii="Arial" w:cs="Arial" w:eastAsia="Arial" w:hAnsi="Arial"/>
          <w:sz w:val="16"/>
          <w:szCs w:val="16"/>
          <w:color w:val="000000"/>
        </w:rPr>
        <w:t>recommendations or confusion on the part of analysts and investors about the short-term and long-term impact to our business;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announcement of new offerings or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170"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i w:val="1"/>
          <w:iCs w:val="1"/>
          <w:color w:val="auto"/>
        </w:rPr>
        <w:t>Our investment portfolio consists of a variety of investment vehicles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4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557" w:right="339" w:bottom="1440" w:gutter="0" w:footer="0" w:header="0"/>
        </w:sectPr>
      </w:pPr>
    </w:p>
    <w:bookmarkStart w:id="62" w:name="page63"/>
    <w:bookmarkEnd w:id="62"/>
    <w:p>
      <w:pPr>
        <w:ind w:right="40" w:firstLine="432"/>
        <w:spacing w:after="0" w:line="275" w:lineRule="auto"/>
        <w:rPr>
          <w:sz w:val="20"/>
          <w:szCs w:val="20"/>
          <w:color w:val="auto"/>
        </w:rPr>
      </w:pPr>
      <w:r>
        <w:rPr>
          <w:rFonts w:ascii="Arial" w:cs="Arial" w:eastAsia="Arial" w:hAnsi="Arial"/>
          <w:sz w:val="17"/>
          <w:szCs w:val="17"/>
          <w:color w:val="auto"/>
        </w:rPr>
        <w:t>From time to time we make direct investments in privately held companies. Privately held company investments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76" w:lineRule="exact"/>
        <w:rPr>
          <w:sz w:val="20"/>
          <w:szCs w:val="20"/>
          <w:color w:val="auto"/>
        </w:rPr>
      </w:pPr>
    </w:p>
    <w:p>
      <w:pPr>
        <w:ind w:right="200" w:firstLine="432"/>
        <w:spacing w:after="0" w:line="311" w:lineRule="auto"/>
        <w:rPr>
          <w:sz w:val="20"/>
          <w:szCs w:val="20"/>
          <w:color w:val="auto"/>
        </w:rPr>
      </w:pPr>
      <w:r>
        <w:rPr>
          <w:rFonts w:ascii="Arial" w:cs="Arial" w:eastAsia="Arial" w:hAnsi="Arial"/>
          <w:sz w:val="16"/>
          <w:szCs w:val="16"/>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4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84"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tax rules and regulations, and uncertainties in interpretation and application, could materially affect our tax obligations and effective tax rate.</w:t>
      </w:r>
    </w:p>
    <w:p>
      <w:pPr>
        <w:spacing w:after="0" w:line="24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primarily based on our expected geographic mix of earnings, statutory rates, intercompany arrangements, including the manner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92"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Tax laws in the United States and in foreign tax jurisdictions are dynamic and subject to change as new laws are passed and new interpretations of the law are issued or applied. For example, the U.S. government enacted significant tax law changes in December 2017, the U.S. Tax Cuts and Jobs Act ("Tax Act"), which impacted our tax obligations and effective tax rate beginning in our fiscal 2018 tax year and significant tax legislation was included in the March 2020 CARES Act. Due to the complexity and varying interpretations of the Tax Act and the CARES Act, the U.S. Department of Treasury and other standard-setting bodies have been issuing and will continue to issue regulations and interpretative guidance that could significantly impact how we will apply the law and the ultimate impact to our results of operations from both the Tax Act and the CARES Act, including for our prior tax years.</w:t>
      </w:r>
    </w:p>
    <w:p>
      <w:pPr>
        <w:spacing w:after="0" w:line="164"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Increasingly, governmental tax authorities are scrutinizing existing corporate tax regulatory and legal regimes. Many countries in the European Union, as well as other countries and organizations such as the Organization for Economic Cooperation and Development, are actively considering new taxing regimes and changes to existing tax laws that are contrary to the way in which we have interpreted and historically applied the rules and regulations in our tax returns filed in such jurisdictions. If U.S. or other foreign tax authorities change applicable tax laws or successfully challenge how or where our profits are currently recognized, our overall taxes could increase, and our business, financial condition or results of operations may be adversely impacted.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773"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way we conduct our business. Further, such changes could potentially affect our reporting of transactions completed before such changes are effective.</w:t>
      </w:r>
    </w:p>
    <w:p>
      <w:pPr>
        <w:spacing w:after="0" w:line="165"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241"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color w:val="auto"/>
        </w:rPr>
        <w:t>Pursuant to Section 404 of the Sarbanes-Oxley Act of 2002,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7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If our management or independent registered public accounting firm identifies one or more material weaknesses in our internal control over financial reporting, we would be unable to assert that such internal control over financial reporting is effective. If we are unable to assert that our internal control over financial reporting is effective (or if our independent registered public accounting firm is unable to express an opinion that our internal controls are effective), we could lose investor confidence in the accuracy and completeness of our financial reports, which could have an adverse effect on our business and stock price.</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160" w:firstLine="432"/>
        <w:spacing w:after="0" w:line="291" w:lineRule="auto"/>
        <w:rPr>
          <w:sz w:val="20"/>
          <w:szCs w:val="20"/>
          <w:color w:val="auto"/>
        </w:rPr>
      </w:pPr>
      <w:r>
        <w:rPr>
          <w:rFonts w:ascii="Arial" w:cs="Arial" w:eastAsia="Arial" w:hAnsi="Arial"/>
          <w:sz w:val="16"/>
          <w:szCs w:val="16"/>
          <w:color w:val="auto"/>
        </w:rPr>
        <w:t>We make assumptions, judgments and estimates for a number of items, including revenue recognition for our hybrid desktop software and cloud service subscriptions,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We rely on third-party technologies and if we are unable to use or integrate these technologies, our solutions and service development may be delayed and our financial results negatively impacted.</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delays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third-party developers could adversely impact our business.</w:t>
      </w:r>
    </w:p>
    <w:p>
      <w:pPr>
        <w:spacing w:after="0" w:line="225" w:lineRule="exact"/>
        <w:rPr>
          <w:sz w:val="20"/>
          <w:szCs w:val="20"/>
          <w:color w:val="auto"/>
        </w:rPr>
      </w:pPr>
    </w:p>
    <w:p>
      <w:pPr>
        <w:ind w:right="100" w:firstLine="432"/>
        <w:spacing w:after="0" w:line="263"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4" w:lineRule="exact"/>
        <w:rPr>
          <w:sz w:val="20"/>
          <w:szCs w:val="20"/>
          <w:color w:val="auto"/>
        </w:rPr>
      </w:pPr>
    </w:p>
    <w:p>
      <w:pPr>
        <w:ind w:right="520" w:firstLine="432"/>
        <w:spacing w:after="0" w:line="263"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557" w:right="359" w:bottom="1440" w:gutter="0" w:footer="0" w:header="0"/>
        </w:sectPr>
      </w:pPr>
    </w:p>
    <w:bookmarkStart w:id="64" w:name="page65"/>
    <w:bookmarkEnd w:id="64"/>
    <w:p>
      <w:pPr>
        <w:ind w:right="100"/>
        <w:spacing w:after="0" w:line="277" w:lineRule="auto"/>
        <w:rPr>
          <w:sz w:val="20"/>
          <w:szCs w:val="20"/>
          <w:color w:val="auto"/>
        </w:rPr>
      </w:pPr>
      <w:r>
        <w:rPr>
          <w:rFonts w:ascii="Arial" w:cs="Arial" w:eastAsia="Arial" w:hAnsi="Arial"/>
          <w:sz w:val="18"/>
          <w:szCs w:val="18"/>
          <w:color w:val="auto"/>
        </w:rPr>
        <w:t>In particular markets, such disruptions have in the past, and would likely in the future, negatively impact these third-party developers and end users, which could harm our business.</w:t>
      </w:r>
    </w:p>
    <w:p>
      <w:pPr>
        <w:spacing w:after="0" w:line="170" w:lineRule="exact"/>
        <w:rPr>
          <w:sz w:val="20"/>
          <w:szCs w:val="20"/>
          <w:color w:val="auto"/>
        </w:rPr>
      </w:pPr>
    </w:p>
    <w:p>
      <w:pPr>
        <w:ind w:right="160" w:firstLine="432"/>
        <w:spacing w:after="0" w:line="263"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has certain additional risks such as effective integration into existing products, adequate transfer of technology know-how and ownership and protection of transferred intellectual property.</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solutions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right="160" w:firstLine="405"/>
        <w:spacing w:after="0" w:line="290" w:lineRule="auto"/>
        <w:rPr>
          <w:sz w:val="20"/>
          <w:szCs w:val="20"/>
          <w:color w:val="auto"/>
        </w:rPr>
      </w:pPr>
      <w:r>
        <w:rPr>
          <w:rFonts w:ascii="Arial" w:cs="Arial" w:eastAsia="Arial" w:hAnsi="Arial"/>
          <w:sz w:val="16"/>
          <w:szCs w:val="16"/>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or business interruption from epidemic or pandemic diseases, or the fear of such events,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70" w:lineRule="exact"/>
        <w:rPr>
          <w:sz w:val="20"/>
          <w:szCs w:val="20"/>
          <w:color w:val="auto"/>
        </w:rPr>
      </w:pPr>
    </w:p>
    <w:p>
      <w:pPr>
        <w:ind w:firstLine="391"/>
        <w:spacing w:after="0" w:line="269" w:lineRule="auto"/>
        <w:rPr>
          <w:sz w:val="20"/>
          <w:szCs w:val="20"/>
          <w:color w:val="auto"/>
        </w:rPr>
      </w:pPr>
      <w:r>
        <w:rPr>
          <w:rFonts w:ascii="Arial" w:cs="Arial" w:eastAsia="Arial" w:hAnsi="Arial"/>
          <w:sz w:val="17"/>
          <w:szCs w:val="17"/>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as the case may be, and our results of operations would be adversely affected.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 We have a full valuation allowance against our U.S., Canada and Netherlands deferred tax assets. Changes in the amount of the U.S. and foreign jurisdictions valuation allowance could also result in a material non-cash expense or benefit in the period in which the valuation allowance is adjusted and our results of operations could be materially affected. We will continue to perform these tests on our worldwide deferred tax assets and any future adjustments to the realizability of our deferred tax assets may have a material effect on our financial condition and results of operations.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July 31, 2020.</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557" w:right="339" w:bottom="1440" w:gutter="0" w:footer="0" w:header="0"/>
        </w:sectPr>
      </w:pPr>
    </w:p>
    <w:bookmarkStart w:id="65" w:name="page66"/>
    <w:bookmarkEnd w:id="65"/>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filed or incorporated by reference as part of this Form 10-Q.</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840" w:type="dxa"/>
            <w:vAlign w:val="bottom"/>
          </w:tcPr>
          <w:p>
            <w:pPr>
              <w:spacing w:after="0"/>
              <w:rPr>
                <w:sz w:val="17"/>
                <w:szCs w:val="17"/>
                <w:color w:val="auto"/>
              </w:rPr>
            </w:pPr>
          </w:p>
        </w:tc>
        <w:tc>
          <w:tcPr>
            <w:tcW w:w="7880" w:type="dxa"/>
            <w:vAlign w:val="bottom"/>
            <w:gridSpan w:val="2"/>
          </w:tcPr>
          <w:p>
            <w:pPr>
              <w:ind w:left="2740"/>
              <w:spacing w:after="0"/>
              <w:rPr>
                <w:sz w:val="20"/>
                <w:szCs w:val="20"/>
                <w:color w:val="auto"/>
              </w:rPr>
            </w:pPr>
            <w:r>
              <w:rPr>
                <w:rFonts w:ascii="Arial" w:cs="Arial" w:eastAsia="Arial" w:hAnsi="Arial"/>
                <w:sz w:val="16"/>
                <w:szCs w:val="16"/>
                <w:color w:val="auto"/>
              </w:rPr>
              <w:t>Description</w:t>
            </w:r>
          </w:p>
        </w:tc>
      </w:tr>
      <w:tr>
        <w:trPr>
          <w:trHeight w:val="487"/>
        </w:trPr>
        <w:tc>
          <w:tcPr>
            <w:tcW w:w="7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31.1</w:t>
            </w:r>
          </w:p>
        </w:tc>
        <w:tc>
          <w:tcPr>
            <w:tcW w:w="540" w:type="dxa"/>
            <w:vAlign w:val="bottom"/>
          </w:tcPr>
          <w:p>
            <w:pPr>
              <w:spacing w:after="0"/>
              <w:rPr>
                <w:sz w:val="24"/>
                <w:szCs w:val="24"/>
                <w:color w:val="auto"/>
              </w:rPr>
            </w:pPr>
          </w:p>
        </w:tc>
        <w:tc>
          <w:tcPr>
            <w:tcW w:w="9720" w:type="dxa"/>
            <w:vAlign w:val="bottom"/>
            <w:gridSpan w:val="3"/>
          </w:tcPr>
          <w:p>
            <w:pPr>
              <w:spacing w:after="0"/>
              <w:rPr>
                <w:rFonts w:ascii="Arial" w:cs="Arial" w:eastAsia="Arial" w:hAnsi="Arial"/>
                <w:sz w:val="16"/>
                <w:szCs w:val="16"/>
                <w:u w:val="single" w:color="auto"/>
                <w:color w:val="0000FF"/>
              </w:rPr>
            </w:pPr>
            <w:hyperlink w:anchor="page68">
              <w:r>
                <w:rPr>
                  <w:rFonts w:ascii="Arial" w:cs="Arial" w:eastAsia="Arial" w:hAnsi="Arial"/>
                  <w:sz w:val="16"/>
                  <w:szCs w:val="16"/>
                  <w:u w:val="single" w:color="auto"/>
                  <w:color w:val="0000FF"/>
                </w:rPr>
                <w:t>Certification of Chief Executive Officer pursuant to Rule 13a-14(a) of the Securities Exchange Act of 1934</w:t>
              </w:r>
            </w:hyperlink>
          </w:p>
        </w:tc>
      </w:tr>
      <w:tr>
        <w:trPr>
          <w:trHeight w:val="446"/>
        </w:trPr>
        <w:tc>
          <w:tcPr>
            <w:tcW w:w="700" w:type="dxa"/>
            <w:vAlign w:val="bottom"/>
          </w:tcPr>
          <w:p>
            <w:pPr>
              <w:spacing w:after="0"/>
              <w:rPr>
                <w:sz w:val="20"/>
                <w:szCs w:val="20"/>
                <w:color w:val="auto"/>
              </w:rPr>
            </w:pPr>
            <w:r>
              <w:rPr>
                <w:rFonts w:ascii="Arial" w:cs="Arial" w:eastAsia="Arial" w:hAnsi="Arial"/>
                <w:sz w:val="16"/>
                <w:szCs w:val="16"/>
                <w:color w:val="auto"/>
              </w:rPr>
              <w:t>31.2</w:t>
            </w:r>
          </w:p>
        </w:tc>
        <w:tc>
          <w:tcPr>
            <w:tcW w:w="540" w:type="dxa"/>
            <w:vAlign w:val="bottom"/>
          </w:tcPr>
          <w:p>
            <w:pPr>
              <w:spacing w:after="0"/>
              <w:rPr>
                <w:sz w:val="24"/>
                <w:szCs w:val="24"/>
                <w:color w:val="auto"/>
              </w:rPr>
            </w:pPr>
          </w:p>
        </w:tc>
        <w:tc>
          <w:tcPr>
            <w:tcW w:w="9720" w:type="dxa"/>
            <w:vAlign w:val="bottom"/>
            <w:gridSpan w:val="3"/>
          </w:tcPr>
          <w:p>
            <w:pPr>
              <w:spacing w:after="0"/>
              <w:rPr>
                <w:rFonts w:ascii="Arial" w:cs="Arial" w:eastAsia="Arial" w:hAnsi="Arial"/>
                <w:sz w:val="16"/>
                <w:szCs w:val="16"/>
                <w:u w:val="single" w:color="auto"/>
                <w:color w:val="0000FF"/>
              </w:rPr>
            </w:pPr>
            <w:hyperlink w:anchor="page69">
              <w:r>
                <w:rPr>
                  <w:rFonts w:ascii="Arial" w:cs="Arial" w:eastAsia="Arial" w:hAnsi="Arial"/>
                  <w:sz w:val="16"/>
                  <w:szCs w:val="16"/>
                  <w:u w:val="single" w:color="auto"/>
                  <w:color w:val="0000FF"/>
                </w:rPr>
                <w:t>Certification of Chief Financial Officer pursuant to Rule 13a-14(a) of the Securities Exchange Act of 1934</w:t>
              </w:r>
            </w:hyperlink>
          </w:p>
        </w:tc>
      </w:tr>
      <w:tr>
        <w:trPr>
          <w:trHeight w:val="398"/>
        </w:trPr>
        <w:tc>
          <w:tcPr>
            <w:tcW w:w="1240" w:type="dxa"/>
            <w:vAlign w:val="bottom"/>
            <w:gridSpan w:val="2"/>
          </w:tcPr>
          <w:p>
            <w:pPr>
              <w:spacing w:after="0"/>
              <w:rPr>
                <w:sz w:val="20"/>
                <w:szCs w:val="20"/>
                <w:color w:val="auto"/>
              </w:rPr>
            </w:pPr>
            <w:r>
              <w:rPr>
                <w:rFonts w:ascii="Arial" w:cs="Arial" w:eastAsia="Arial" w:hAnsi="Arial"/>
                <w:sz w:val="16"/>
                <w:szCs w:val="16"/>
                <w:color w:val="auto"/>
              </w:rPr>
              <w:t>32.1 †</w:t>
            </w:r>
          </w:p>
        </w:tc>
        <w:tc>
          <w:tcPr>
            <w:tcW w:w="9720" w:type="dxa"/>
            <w:vAlign w:val="bottom"/>
            <w:gridSpan w:val="3"/>
          </w:tcPr>
          <w:p>
            <w:pPr>
              <w:spacing w:after="0"/>
              <w:rPr>
                <w:rFonts w:ascii="Arial" w:cs="Arial" w:eastAsia="Arial" w:hAnsi="Arial"/>
                <w:sz w:val="16"/>
                <w:szCs w:val="16"/>
                <w:color w:val="0000FF"/>
                <w:w w:val="94"/>
              </w:rPr>
            </w:pPr>
            <w:hyperlink w:anchor="page70">
              <w:r>
                <w:rPr>
                  <w:rFonts w:ascii="Arial" w:cs="Arial" w:eastAsia="Arial" w:hAnsi="Arial"/>
                  <w:sz w:val="16"/>
                  <w:szCs w:val="16"/>
                  <w:color w:val="0000FF"/>
                  <w:w w:val="94"/>
                </w:rPr>
                <w:t>Certification of Chief Executive Officer and Chief Financial Officer pursuant to 18 U.S.C. Section 1350, as adopted pursuant to Section 906 of the</w:t>
              </w:r>
            </w:hyperlink>
          </w:p>
        </w:tc>
      </w:tr>
      <w:tr>
        <w:trPr>
          <w:trHeight w:val="183"/>
        </w:trPr>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500" w:type="dxa"/>
            <w:vAlign w:val="bottom"/>
            <w:tcBorders>
              <w:top w:val="single" w:sz="8" w:color="0000FF"/>
            </w:tcBorders>
            <w:gridSpan w:val="2"/>
          </w:tcPr>
          <w:p>
            <w:pPr>
              <w:spacing w:after="0" w:line="183" w:lineRule="exact"/>
              <w:rPr>
                <w:rFonts w:ascii="Arial" w:cs="Arial" w:eastAsia="Arial" w:hAnsi="Arial"/>
                <w:sz w:val="16"/>
                <w:szCs w:val="16"/>
                <w:color w:val="0000FF"/>
              </w:rPr>
            </w:pPr>
            <w:hyperlink w:anchor="page70">
              <w:r>
                <w:rPr>
                  <w:rFonts w:ascii="Arial" w:cs="Arial" w:eastAsia="Arial" w:hAnsi="Arial"/>
                  <w:sz w:val="16"/>
                  <w:szCs w:val="16"/>
                  <w:color w:val="0000FF"/>
                </w:rPr>
                <w:t>Sarbanes-Oxley Act of 2002</w:t>
              </w:r>
            </w:hyperlink>
          </w:p>
        </w:tc>
        <w:tc>
          <w:tcPr>
            <w:tcW w:w="220" w:type="dxa"/>
            <w:vAlign w:val="bottom"/>
          </w:tcPr>
          <w:p>
            <w:pPr>
              <w:spacing w:after="0"/>
              <w:rPr>
                <w:sz w:val="15"/>
                <w:szCs w:val="15"/>
                <w:color w:val="auto"/>
              </w:rPr>
            </w:pPr>
          </w:p>
        </w:tc>
      </w:tr>
      <w:tr>
        <w:trPr>
          <w:trHeight w:val="20"/>
        </w:trPr>
        <w:tc>
          <w:tcPr>
            <w:tcW w:w="1240" w:type="dxa"/>
            <w:vAlign w:val="bottom"/>
            <w:gridSpan w:val="2"/>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r>
      <w:tr>
        <w:trPr>
          <w:trHeight w:val="389"/>
        </w:trPr>
        <w:tc>
          <w:tcPr>
            <w:tcW w:w="1240" w:type="dxa"/>
            <w:vAlign w:val="bottom"/>
            <w:gridSpan w:val="2"/>
          </w:tcPr>
          <w:p>
            <w:pPr>
              <w:spacing w:after="0"/>
              <w:rPr>
                <w:sz w:val="20"/>
                <w:szCs w:val="20"/>
                <w:color w:val="auto"/>
              </w:rPr>
            </w:pPr>
            <w:r>
              <w:rPr>
                <w:rFonts w:ascii="Arial" w:cs="Arial" w:eastAsia="Arial" w:hAnsi="Arial"/>
                <w:sz w:val="16"/>
                <w:szCs w:val="16"/>
                <w:color w:val="auto"/>
              </w:rPr>
              <w:t>101.INS ††</w:t>
            </w:r>
          </w:p>
        </w:tc>
        <w:tc>
          <w:tcPr>
            <w:tcW w:w="9720" w:type="dxa"/>
            <w:vAlign w:val="bottom"/>
            <w:gridSpan w:val="3"/>
          </w:tcPr>
          <w:p>
            <w:pPr>
              <w:spacing w:after="0"/>
              <w:rPr>
                <w:sz w:val="20"/>
                <w:szCs w:val="20"/>
                <w:color w:val="auto"/>
              </w:rPr>
            </w:pPr>
            <w:r>
              <w:rPr>
                <w:rFonts w:ascii="Arial" w:cs="Arial" w:eastAsia="Arial" w:hAnsi="Arial"/>
                <w:sz w:val="16"/>
                <w:szCs w:val="16"/>
                <w:color w:val="auto"/>
                <w:w w:val="91"/>
              </w:rPr>
              <w:t>XBRL Instance Document - the instance document does not appear in the Interactive Data File because its XBRL tags are embedded within the Inline</w:t>
            </w:r>
          </w:p>
        </w:tc>
      </w:tr>
      <w:tr>
        <w:trPr>
          <w:trHeight w:val="206"/>
        </w:trPr>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20" w:type="dxa"/>
            <w:vAlign w:val="bottom"/>
            <w:gridSpan w:val="3"/>
          </w:tcPr>
          <w:p>
            <w:pPr>
              <w:spacing w:after="0"/>
              <w:rPr>
                <w:sz w:val="20"/>
                <w:szCs w:val="20"/>
                <w:color w:val="auto"/>
              </w:rPr>
            </w:pPr>
            <w:r>
              <w:rPr>
                <w:rFonts w:ascii="Arial" w:cs="Arial" w:eastAsia="Arial" w:hAnsi="Arial"/>
                <w:sz w:val="16"/>
                <w:szCs w:val="16"/>
                <w:color w:val="auto"/>
              </w:rPr>
              <w:t>XBRL document</w:t>
            </w:r>
          </w:p>
        </w:tc>
      </w:tr>
      <w:tr>
        <w:trPr>
          <w:trHeight w:val="378"/>
        </w:trPr>
        <w:tc>
          <w:tcPr>
            <w:tcW w:w="1240" w:type="dxa"/>
            <w:vAlign w:val="bottom"/>
            <w:gridSpan w:val="2"/>
          </w:tcPr>
          <w:p>
            <w:pPr>
              <w:spacing w:after="0"/>
              <w:rPr>
                <w:sz w:val="20"/>
                <w:szCs w:val="20"/>
                <w:color w:val="auto"/>
              </w:rPr>
            </w:pPr>
            <w:r>
              <w:rPr>
                <w:rFonts w:ascii="Arial" w:cs="Arial" w:eastAsia="Arial" w:hAnsi="Arial"/>
                <w:sz w:val="16"/>
                <w:szCs w:val="16"/>
                <w:color w:val="auto"/>
              </w:rPr>
              <w:t>101.SCH ††</w:t>
            </w:r>
          </w:p>
        </w:tc>
        <w:tc>
          <w:tcPr>
            <w:tcW w:w="9720" w:type="dxa"/>
            <w:vAlign w:val="bottom"/>
            <w:gridSpan w:val="3"/>
          </w:tcPr>
          <w:p>
            <w:pPr>
              <w:spacing w:after="0"/>
              <w:rPr>
                <w:sz w:val="20"/>
                <w:szCs w:val="20"/>
                <w:color w:val="auto"/>
              </w:rPr>
            </w:pPr>
            <w:r>
              <w:rPr>
                <w:rFonts w:ascii="Arial" w:cs="Arial" w:eastAsia="Arial" w:hAnsi="Arial"/>
                <w:sz w:val="16"/>
                <w:szCs w:val="16"/>
                <w:color w:val="auto"/>
              </w:rPr>
              <w:t>XBRL Taxonomy Extension Schema</w:t>
            </w:r>
          </w:p>
        </w:tc>
      </w:tr>
      <w:tr>
        <w:trPr>
          <w:trHeight w:val="391"/>
        </w:trPr>
        <w:tc>
          <w:tcPr>
            <w:tcW w:w="1240" w:type="dxa"/>
            <w:vAlign w:val="bottom"/>
            <w:gridSpan w:val="2"/>
          </w:tcPr>
          <w:p>
            <w:pPr>
              <w:spacing w:after="0"/>
              <w:rPr>
                <w:sz w:val="20"/>
                <w:szCs w:val="20"/>
                <w:color w:val="auto"/>
              </w:rPr>
            </w:pPr>
            <w:r>
              <w:rPr>
                <w:rFonts w:ascii="Arial" w:cs="Arial" w:eastAsia="Arial" w:hAnsi="Arial"/>
                <w:sz w:val="16"/>
                <w:szCs w:val="16"/>
                <w:color w:val="auto"/>
              </w:rPr>
              <w:t>101.CAL ††</w:t>
            </w:r>
          </w:p>
        </w:tc>
        <w:tc>
          <w:tcPr>
            <w:tcW w:w="9720" w:type="dxa"/>
            <w:vAlign w:val="bottom"/>
            <w:gridSpan w:val="3"/>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392"/>
        </w:trPr>
        <w:tc>
          <w:tcPr>
            <w:tcW w:w="1240" w:type="dxa"/>
            <w:vAlign w:val="bottom"/>
            <w:gridSpan w:val="2"/>
          </w:tcPr>
          <w:p>
            <w:pPr>
              <w:spacing w:after="0"/>
              <w:rPr>
                <w:sz w:val="20"/>
                <w:szCs w:val="20"/>
                <w:color w:val="auto"/>
              </w:rPr>
            </w:pPr>
            <w:r>
              <w:rPr>
                <w:rFonts w:ascii="Arial" w:cs="Arial" w:eastAsia="Arial" w:hAnsi="Arial"/>
                <w:sz w:val="16"/>
                <w:szCs w:val="16"/>
                <w:color w:val="auto"/>
              </w:rPr>
              <w:t>101.DEF ††</w:t>
            </w:r>
          </w:p>
        </w:tc>
        <w:tc>
          <w:tcPr>
            <w:tcW w:w="9720" w:type="dxa"/>
            <w:vAlign w:val="bottom"/>
            <w:gridSpan w:val="3"/>
          </w:tcPr>
          <w:p>
            <w:pPr>
              <w:spacing w:after="0"/>
              <w:rPr>
                <w:sz w:val="20"/>
                <w:szCs w:val="20"/>
                <w:color w:val="auto"/>
              </w:rPr>
            </w:pPr>
            <w:r>
              <w:rPr>
                <w:rFonts w:ascii="Arial" w:cs="Arial" w:eastAsia="Arial" w:hAnsi="Arial"/>
                <w:sz w:val="16"/>
                <w:szCs w:val="16"/>
                <w:color w:val="auto"/>
              </w:rPr>
              <w:t>XBRL Taxonomy Definition Linkbase</w:t>
            </w:r>
          </w:p>
        </w:tc>
      </w:tr>
      <w:tr>
        <w:trPr>
          <w:trHeight w:val="392"/>
        </w:trPr>
        <w:tc>
          <w:tcPr>
            <w:tcW w:w="1240" w:type="dxa"/>
            <w:vAlign w:val="bottom"/>
            <w:gridSpan w:val="2"/>
          </w:tcPr>
          <w:p>
            <w:pPr>
              <w:spacing w:after="0"/>
              <w:rPr>
                <w:sz w:val="20"/>
                <w:szCs w:val="20"/>
                <w:color w:val="auto"/>
              </w:rPr>
            </w:pPr>
            <w:r>
              <w:rPr>
                <w:rFonts w:ascii="Arial" w:cs="Arial" w:eastAsia="Arial" w:hAnsi="Arial"/>
                <w:sz w:val="16"/>
                <w:szCs w:val="16"/>
                <w:color w:val="auto"/>
              </w:rPr>
              <w:t>101.LAB ††</w:t>
            </w:r>
          </w:p>
        </w:tc>
        <w:tc>
          <w:tcPr>
            <w:tcW w:w="9720" w:type="dxa"/>
            <w:vAlign w:val="bottom"/>
            <w:gridSpan w:val="3"/>
          </w:tcPr>
          <w:p>
            <w:pPr>
              <w:spacing w:after="0"/>
              <w:rPr>
                <w:sz w:val="20"/>
                <w:szCs w:val="20"/>
                <w:color w:val="auto"/>
              </w:rPr>
            </w:pPr>
            <w:r>
              <w:rPr>
                <w:rFonts w:ascii="Arial" w:cs="Arial" w:eastAsia="Arial" w:hAnsi="Arial"/>
                <w:sz w:val="16"/>
                <w:szCs w:val="16"/>
                <w:color w:val="auto"/>
              </w:rPr>
              <w:t>XBRL Taxonomy Extension Label Linkbase</w:t>
            </w:r>
          </w:p>
        </w:tc>
      </w:tr>
      <w:tr>
        <w:trPr>
          <w:trHeight w:val="391"/>
        </w:trPr>
        <w:tc>
          <w:tcPr>
            <w:tcW w:w="1240" w:type="dxa"/>
            <w:vAlign w:val="bottom"/>
            <w:gridSpan w:val="2"/>
          </w:tcPr>
          <w:p>
            <w:pPr>
              <w:spacing w:after="0"/>
              <w:rPr>
                <w:sz w:val="20"/>
                <w:szCs w:val="20"/>
                <w:color w:val="auto"/>
              </w:rPr>
            </w:pPr>
            <w:r>
              <w:rPr>
                <w:rFonts w:ascii="Arial" w:cs="Arial" w:eastAsia="Arial" w:hAnsi="Arial"/>
                <w:sz w:val="16"/>
                <w:szCs w:val="16"/>
                <w:color w:val="auto"/>
              </w:rPr>
              <w:t>101.PRE ††</w:t>
            </w:r>
          </w:p>
        </w:tc>
        <w:tc>
          <w:tcPr>
            <w:tcW w:w="9720" w:type="dxa"/>
            <w:vAlign w:val="bottom"/>
            <w:gridSpan w:val="3"/>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405"/>
        </w:trPr>
        <w:tc>
          <w:tcPr>
            <w:tcW w:w="1240" w:type="dxa"/>
            <w:vAlign w:val="bottom"/>
            <w:gridSpan w:val="2"/>
          </w:tcPr>
          <w:p>
            <w:pPr>
              <w:spacing w:after="0"/>
              <w:rPr>
                <w:sz w:val="20"/>
                <w:szCs w:val="20"/>
                <w:color w:val="auto"/>
              </w:rPr>
            </w:pPr>
            <w:r>
              <w:rPr>
                <w:rFonts w:ascii="Arial" w:cs="Arial" w:eastAsia="Arial" w:hAnsi="Arial"/>
                <w:sz w:val="16"/>
                <w:szCs w:val="16"/>
                <w:color w:val="auto"/>
              </w:rPr>
              <w:t>104 ††</w:t>
            </w:r>
          </w:p>
        </w:tc>
        <w:tc>
          <w:tcPr>
            <w:tcW w:w="972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374" w:lineRule="exact"/>
        <w:rPr>
          <w:sz w:val="20"/>
          <w:szCs w:val="20"/>
          <w:color w:val="auto"/>
        </w:rPr>
      </w:pPr>
    </w:p>
    <w:p>
      <w:pPr>
        <w:ind w:left="720" w:hanging="685"/>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73" w:lineRule="exact"/>
        <w:rPr>
          <w:sz w:val="20"/>
          <w:szCs w:val="20"/>
          <w:color w:val="auto"/>
        </w:rPr>
      </w:pPr>
    </w:p>
    <w:p>
      <w:pPr>
        <w:ind w:left="720" w:hanging="685"/>
        <w:spacing w:after="0" w:line="335" w:lineRule="auto"/>
        <w:tabs>
          <w:tab w:leader="none" w:pos="7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0" w:lineRule="exact"/>
        <w:rPr>
          <w:rFonts w:ascii="Arial" w:cs="Arial" w:eastAsia="Arial" w:hAnsi="Arial"/>
          <w:sz w:val="16"/>
          <w:szCs w:val="16"/>
          <w:color w:val="auto"/>
        </w:rPr>
      </w:pPr>
    </w:p>
    <w:p>
      <w:pPr>
        <w:spacing w:after="0" w:line="27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66</w:t>
      </w:r>
    </w:p>
    <w:p>
      <w:pPr>
        <w:sectPr>
          <w:pgSz w:w="11900" w:h="16838" w:orient="portrait"/>
          <w:cols w:equalWidth="0" w:num="1">
            <w:col w:w="11200"/>
          </w:cols>
          <w:pgMar w:left="320" w:top="769" w:right="379" w:bottom="1440" w:gutter="0" w:footer="0" w:header="0"/>
        </w:sectPr>
      </w:pPr>
    </w:p>
    <w:bookmarkStart w:id="66" w:name="page67"/>
    <w:bookmarkEnd w:id="66"/>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jc w:val="center"/>
        <w:ind w:left="5520"/>
        <w:spacing w:after="0"/>
        <w:rPr>
          <w:sz w:val="20"/>
          <w:szCs w:val="20"/>
          <w:color w:val="auto"/>
        </w:rPr>
      </w:pPr>
      <w:r>
        <w:rPr>
          <w:rFonts w:ascii="Arial" w:cs="Arial" w:eastAsia="Arial" w:hAnsi="Arial"/>
          <w:sz w:val="18"/>
          <w:szCs w:val="18"/>
          <w:color w:val="auto"/>
        </w:rPr>
        <w:t>/s/ STEPHEN W. HOPE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31750</wp:posOffset>
            </wp:positionV>
            <wp:extent cx="36175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48" w:lineRule="exact"/>
        <w:rPr>
          <w:sz w:val="20"/>
          <w:szCs w:val="20"/>
          <w:color w:val="auto"/>
        </w:rPr>
      </w:pPr>
    </w:p>
    <w:p>
      <w:pPr>
        <w:jc w:val="center"/>
        <w:ind w:left="5520"/>
        <w:spacing w:after="0"/>
        <w:rPr>
          <w:sz w:val="20"/>
          <w:szCs w:val="20"/>
          <w:color w:val="auto"/>
        </w:rPr>
      </w:pPr>
      <w:r>
        <w:rPr>
          <w:rFonts w:ascii="Arial" w:cs="Arial" w:eastAsia="Arial" w:hAnsi="Arial"/>
          <w:sz w:val="14"/>
          <w:szCs w:val="14"/>
          <w:b w:val="1"/>
          <w:bCs w:val="1"/>
          <w:color w:val="auto"/>
        </w:rPr>
        <w:t>Stephen W. Hope</w:t>
      </w:r>
    </w:p>
    <w:p>
      <w:pPr>
        <w:spacing w:after="0" w:line="42" w:lineRule="exact"/>
        <w:rPr>
          <w:sz w:val="20"/>
          <w:szCs w:val="20"/>
          <w:color w:val="auto"/>
        </w:rPr>
      </w:pPr>
    </w:p>
    <w:p>
      <w:pPr>
        <w:jc w:val="center"/>
        <w:ind w:left="5520"/>
        <w:spacing w:after="0"/>
        <w:rPr>
          <w:sz w:val="20"/>
          <w:szCs w:val="20"/>
          <w:color w:val="auto"/>
        </w:rPr>
      </w:pPr>
      <w:r>
        <w:rPr>
          <w:rFonts w:ascii="Arial" w:cs="Arial" w:eastAsia="Arial" w:hAnsi="Arial"/>
          <w:sz w:val="14"/>
          <w:szCs w:val="14"/>
          <w:b w:val="1"/>
          <w:bCs w:val="1"/>
          <w:color w:val="auto"/>
        </w:rPr>
        <w:t>Vice President and Chief Accounting Officer</w:t>
      </w:r>
    </w:p>
    <w:p>
      <w:pPr>
        <w:spacing w:after="0" w:line="42" w:lineRule="exact"/>
        <w:rPr>
          <w:sz w:val="20"/>
          <w:szCs w:val="20"/>
          <w:color w:val="auto"/>
        </w:rPr>
      </w:pPr>
    </w:p>
    <w:p>
      <w:pPr>
        <w:jc w:val="center"/>
        <w:ind w:left="552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5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720"/>
          </w:cols>
          <w:pgMar w:left="320" w:top="553" w:right="8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Anagnost, certify that:</w:t>
      </w:r>
    </w:p>
    <w:p>
      <w:pPr>
        <w:spacing w:after="0" w:line="17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 2020</w:t>
      </w:r>
    </w:p>
    <w:p>
      <w:pPr>
        <w:spacing w:after="0" w:line="252" w:lineRule="exact"/>
        <w:rPr>
          <w:sz w:val="20"/>
          <w:szCs w:val="20"/>
          <w:color w:val="auto"/>
        </w:rPr>
      </w:pPr>
    </w:p>
    <w:p>
      <w:pPr>
        <w:ind w:left="7540"/>
        <w:spacing w:after="0"/>
        <w:tabs>
          <w:tab w:leader="none" w:pos="78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31375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57" w:lineRule="exact"/>
        <w:rPr>
          <w:sz w:val="20"/>
          <w:szCs w:val="20"/>
          <w:color w:val="auto"/>
        </w:rPr>
      </w:pPr>
    </w:p>
    <w:p>
      <w:pPr>
        <w:ind w:left="8140"/>
        <w:spacing w:after="0"/>
        <w:rPr>
          <w:sz w:val="20"/>
          <w:szCs w:val="20"/>
          <w:color w:val="auto"/>
        </w:rPr>
      </w:pPr>
      <w:r>
        <w:rPr>
          <w:rFonts w:ascii="Arial" w:cs="Arial" w:eastAsia="Arial" w:hAnsi="Arial"/>
          <w:sz w:val="16"/>
          <w:szCs w:val="16"/>
          <w:b w:val="1"/>
          <w:bCs w:val="1"/>
          <w:color w:val="auto"/>
        </w:rPr>
        <w:t>Andrew Anagnost</w:t>
      </w:r>
    </w:p>
    <w:p>
      <w:pPr>
        <w:spacing w:after="0" w:line="73" w:lineRule="exact"/>
        <w:rPr>
          <w:sz w:val="20"/>
          <w:szCs w:val="20"/>
          <w:color w:val="auto"/>
        </w:rPr>
      </w:pPr>
    </w:p>
    <w:p>
      <w:pPr>
        <w:ind w:left="74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78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240"/>
          </w:cols>
          <w:pgMar w:left="320" w:top="634"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 2020</w:t>
      </w:r>
    </w:p>
    <w:p>
      <w:pPr>
        <w:spacing w:after="0" w:line="252"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31750</wp:posOffset>
            </wp:positionV>
            <wp:extent cx="36347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57" w:lineRule="exact"/>
        <w:rPr>
          <w:sz w:val="20"/>
          <w:szCs w:val="20"/>
          <w:color w:val="auto"/>
        </w:rPr>
      </w:pPr>
    </w:p>
    <w:p>
      <w:pPr>
        <w:ind w:left="7840"/>
        <w:spacing w:after="0"/>
        <w:rPr>
          <w:sz w:val="20"/>
          <w:szCs w:val="20"/>
          <w:color w:val="auto"/>
        </w:rPr>
      </w:pPr>
      <w:r>
        <w:rPr>
          <w:rFonts w:ascii="Arial" w:cs="Arial" w:eastAsia="Arial" w:hAnsi="Arial"/>
          <w:sz w:val="16"/>
          <w:szCs w:val="16"/>
          <w:b w:val="1"/>
          <w:bCs w:val="1"/>
          <w:color w:val="auto"/>
        </w:rPr>
        <w:t>R. Scott Herren</w:t>
      </w:r>
    </w:p>
    <w:p>
      <w:pPr>
        <w:spacing w:after="0" w:line="73" w:lineRule="exact"/>
        <w:rPr>
          <w:sz w:val="20"/>
          <w:szCs w:val="20"/>
          <w:color w:val="auto"/>
        </w:rPr>
      </w:pPr>
    </w:p>
    <w:p>
      <w:pPr>
        <w:ind w:left="666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26" w:lineRule="exact"/>
        <w:rPr>
          <w:sz w:val="20"/>
          <w:szCs w:val="20"/>
          <w:color w:val="auto"/>
        </w:rPr>
      </w:pPr>
    </w:p>
    <w:p>
      <w:pPr>
        <w:ind w:left="7400"/>
        <w:spacing w:after="0"/>
        <w:rPr>
          <w:sz w:val="20"/>
          <w:szCs w:val="20"/>
          <w:color w:val="auto"/>
        </w:rPr>
      </w:pPr>
      <w:r>
        <w:rPr>
          <w:rFonts w:ascii="Arial" w:cs="Arial" w:eastAsia="Arial" w:hAnsi="Arial"/>
          <w:sz w:val="16"/>
          <w:szCs w:val="16"/>
          <w:b w:val="1"/>
          <w:bCs w:val="1"/>
          <w:color w:val="auto"/>
        </w:rPr>
        <w:t>(Principal Financial Officer)</w:t>
      </w:r>
    </w:p>
    <w:p>
      <w:pPr>
        <w:sectPr>
          <w:pgSz w:w="11900" w:h="16838" w:orient="portrait"/>
          <w:cols w:equalWidth="0" w:num="1">
            <w:col w:w="11240"/>
          </w:cols>
          <w:pgMar w:left="320" w:top="63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4"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Based on my knowledge, I, Andrew Anagnost, certify, pursuant to 18 U.S.C. Section 1350, as adopted pursuant to Section 906 of the Sarbanes-Oxley Act of 2002, that the Quarterly Report of Autodesk, Inc. on Form 10-Q for the quarterly period ended July 31, 2020,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 2020</w:t>
      </w:r>
    </w:p>
    <w:p>
      <w:pPr>
        <w:spacing w:after="0" w:line="252" w:lineRule="exact"/>
        <w:rPr>
          <w:sz w:val="20"/>
          <w:szCs w:val="20"/>
          <w:color w:val="auto"/>
        </w:rPr>
      </w:pPr>
    </w:p>
    <w:p>
      <w:pPr>
        <w:ind w:left="7300"/>
        <w:spacing w:after="0"/>
        <w:tabs>
          <w:tab w:leader="none" w:pos="76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31750</wp:posOffset>
            </wp:positionV>
            <wp:extent cx="34201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57"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Andrew Anagnost</w:t>
      </w:r>
    </w:p>
    <w:p>
      <w:pPr>
        <w:spacing w:after="0" w:line="86"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86"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(Principal Executive Officer)</w:t>
      </w:r>
    </w:p>
    <w:p>
      <w:pPr>
        <w:spacing w:after="0" w:line="34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Quarterly Report of Autodesk, Inc. on Form 10-Q for the quarterly period ended July 31, 2020,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 2020</w:t>
      </w:r>
    </w:p>
    <w:p>
      <w:pPr>
        <w:spacing w:after="0" w:line="25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31750</wp:posOffset>
            </wp:positionV>
            <wp:extent cx="34201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57"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R. Scott Herren</w:t>
      </w:r>
    </w:p>
    <w:p>
      <w:pPr>
        <w:spacing w:after="0" w:line="86"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86" w:lineRule="exact"/>
        <w:rPr>
          <w:sz w:val="20"/>
          <w:szCs w:val="20"/>
          <w:color w:val="auto"/>
        </w:rPr>
      </w:pPr>
    </w:p>
    <w:p>
      <w:pPr>
        <w:jc w:val="center"/>
        <w:ind w:left="5840"/>
        <w:spacing w:after="0"/>
        <w:rPr>
          <w:sz w:val="20"/>
          <w:szCs w:val="20"/>
          <w:color w:val="auto"/>
        </w:rPr>
      </w:pPr>
      <w:r>
        <w:rPr>
          <w:rFonts w:ascii="Arial" w:cs="Arial" w:eastAsia="Arial" w:hAnsi="Arial"/>
          <w:sz w:val="16"/>
          <w:szCs w:val="16"/>
          <w:b w:val="1"/>
          <w:bCs w:val="1"/>
          <w:color w:val="auto"/>
        </w:rPr>
        <w:t>(Principal Financial Officer)</w:t>
      </w:r>
    </w:p>
    <w:sectPr>
      <w:pgSz w:w="11900" w:h="16838" w:orient="portrait"/>
      <w:cols w:equalWidth="0" w:num="1">
        <w:col w:w="11240"/>
      </w:cols>
      <w:pgMar w:left="320" w:top="6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4"/>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6"/>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2020-09-02T15:28:32Z</dcterms:created>
  <dcterms:modified xsi:type="dcterms:W3CDTF">2020-09-02T15:28:32Z</dcterms:modified>
</cp:coreProperties>
</file>