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35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356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59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CAHILL JOHN T</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Autodesk,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ADSK</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Borders>
              <w:bottom w:val="single" w:sz="8" w:color="0000EE"/>
            </w:tcBorders>
          </w:tcPr>
          <w:p>
            <w:pPr>
              <w:spacing w:after="0"/>
              <w:rPr>
                <w:sz w:val="6"/>
                <w:szCs w:val="6"/>
                <w:color w:val="auto"/>
              </w:rPr>
            </w:pPr>
          </w:p>
        </w:tc>
        <w:tc>
          <w:tcPr>
            <w:tcW w:w="25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4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06/18/2025</w:t>
            </w:r>
          </w:p>
        </w:tc>
        <w:tc>
          <w:tcPr>
            <w:tcW w:w="25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MARKET, SUITE 400</w:t>
            </w:r>
          </w:p>
        </w:tc>
        <w:tc>
          <w:tcPr>
            <w:tcW w:w="142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25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250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74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4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593" w:gutter="0" w:footer="0" w:header="0"/>
          <w:type w:val="continuous"/>
        </w:sectPr>
      </w:pPr>
    </w:p>
    <w:p>
      <w:pPr>
        <w:ind w:left="120"/>
        <w:spacing w:after="0" w:line="188" w:lineRule="auto"/>
        <w:tabs>
          <w:tab w:leader="none" w:pos="1320" w:val="left"/>
          <w:tab w:leader="none" w:pos="2540" w:val="left"/>
        </w:tabs>
        <w:rPr>
          <w:sz w:val="20"/>
          <w:szCs w:val="20"/>
          <w:color w:val="auto"/>
        </w:rPr>
      </w:pPr>
      <w:r>
        <w:rPr>
          <w:rFonts w:ascii="Times New Roman" w:cs="Times New Roman" w:eastAsia="Times New Roman" w:hAnsi="Times New Roman"/>
          <w:sz w:val="14"/>
          <w:szCs w:val="14"/>
          <w:color w:val="0000FF"/>
          <w:vertAlign w:val="superscript"/>
        </w:rPr>
        <w:t>SAN</w:t>
      </w:r>
      <w:r>
        <w:rPr>
          <w:sz w:val="20"/>
          <w:szCs w:val="20"/>
          <w:color w:val="auto"/>
        </w:rPr>
        <w:tab/>
      </w:r>
      <w:r>
        <w:rPr>
          <w:rFonts w:ascii="Times New Roman" w:cs="Times New Roman" w:eastAsia="Times New Roman" w:hAnsi="Times New Roman"/>
          <w:sz w:val="10"/>
          <w:szCs w:val="10"/>
          <w:color w:val="0000FF"/>
        </w:rPr>
        <w:t>CA</w:t>
      </w:r>
      <w:r>
        <w:rPr>
          <w:sz w:val="20"/>
          <w:szCs w:val="20"/>
          <w:color w:val="auto"/>
        </w:rPr>
        <w:tab/>
      </w:r>
      <w:r>
        <w:rPr>
          <w:rFonts w:ascii="Times New Roman" w:cs="Times New Roman" w:eastAsia="Times New Roman" w:hAnsi="Times New Roman"/>
          <w:sz w:val="14"/>
          <w:szCs w:val="14"/>
          <w:color w:val="0000FF"/>
        </w:rPr>
        <w:t>94105</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FRANCISCO</w:t>
      </w:r>
    </w:p>
    <w:p>
      <w:pPr>
        <w:spacing w:after="0" w:line="31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59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06/18/2025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406</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897</w:t>
            </w:r>
            <w:r>
              <w:rPr>
                <w:rFonts w:ascii="Times New Roman" w:cs="Times New Roman" w:eastAsia="Times New Roman" w:hAnsi="Times New Roman"/>
                <w:sz w:val="11"/>
                <w:szCs w:val="11"/>
                <w:color w:val="008000"/>
                <w:w w:val="85"/>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06/18/2025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(3)</w:t>
            </w:r>
          </w:p>
        </w:tc>
        <w:tc>
          <w:tcPr>
            <w:tcW w:w="7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846</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1,743</w:t>
            </w:r>
            <w:r>
              <w:rPr>
                <w:rFonts w:ascii="Times New Roman" w:cs="Times New Roman" w:eastAsia="Times New Roman" w:hAnsi="Times New Roman"/>
                <w:sz w:val="22"/>
                <w:szCs w:val="22"/>
                <w:color w:val="008000"/>
                <w:w w:val="93"/>
                <w:vertAlign w:val="superscript"/>
              </w:rPr>
              <w:t>(4)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vMerge w:val="restart"/>
          </w:tcPr>
          <w:p>
            <w:pPr>
              <w:jc w:val="center"/>
              <w:ind w:right="497"/>
              <w:spacing w:after="0"/>
              <w:rPr>
                <w:sz w:val="20"/>
                <w:szCs w:val="20"/>
                <w:color w:val="auto"/>
              </w:rPr>
            </w:pPr>
            <w:r>
              <w:rPr>
                <w:rFonts w:ascii="Times New Roman" w:cs="Times New Roman" w:eastAsia="Times New Roman" w:hAnsi="Times New Roman"/>
                <w:sz w:val="17"/>
                <w:szCs w:val="17"/>
                <w:color w:val="0000FF"/>
                <w:w w:val="93"/>
              </w:rPr>
              <w:t>60</w:t>
            </w:r>
          </w:p>
        </w:tc>
        <w:tc>
          <w:tcPr>
            <w:tcW w:w="280" w:type="dxa"/>
            <w:vAlign w:val="bottom"/>
          </w:tcPr>
          <w:p>
            <w:pPr>
              <w:spacing w:after="0"/>
              <w:rPr>
                <w:sz w:val="21"/>
                <w:szCs w:val="21"/>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Gift Trust.</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gridSpan w:val="2"/>
          </w:tcPr>
          <w:p>
            <w:pPr>
              <w:spacing w:after="0"/>
              <w:rPr>
                <w:sz w:val="7"/>
                <w:szCs w:val="7"/>
                <w:color w:val="auto"/>
              </w:rPr>
            </w:pPr>
          </w:p>
        </w:tc>
        <w:tc>
          <w:tcPr>
            <w:tcW w:w="12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2,000</w:t>
            </w:r>
          </w:p>
        </w:tc>
        <w:tc>
          <w:tcPr>
            <w:tcW w:w="280" w:type="dxa"/>
            <w:vAlign w:val="bottom"/>
          </w:tcPr>
          <w:p>
            <w:pPr>
              <w:spacing w:after="0"/>
              <w:rPr>
                <w:sz w:val="21"/>
                <w:szCs w:val="21"/>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8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entitled to receive one share of Common Stock for each Restricted Stock Unit. These are Restricted Stock Units granted pursuant to the Director Compensation Policy and under the 2022 Equity Incentive Plan in lieu of cash compensation for services as a director, and vest on the date of the next annual meeting.</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total securities beneficially owned includes 406 shares of unvested Restricted Stock Units.</w:t>
      </w:r>
    </w:p>
    <w:p>
      <w:pPr>
        <w:spacing w:after="0" w:line="5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entitled to receive one share of Common Stock for each Restricted Stock Unit. These Restricted Stock Units, which are granted annually pursuant to the Director Compensation Policy and under the 2022 Equity Incentive Plan, vest on the date of the next annual meeting.</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total securities beneficially owned includes 1,252 shares of unvested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John T. Cahill Gift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John Tobin Cahill Revocable Trust UA April 24, 2003.</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Melissa Hoge, Attorney-in-</w:t>
            </w:r>
          </w:p>
        </w:tc>
        <w:tc>
          <w:tcPr>
            <w:tcW w:w="1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06/20/2025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John T. Cahill</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59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97000" TargetMode="External"/><Relationship Id="rId14" Type="http://schemas.openxmlformats.org/officeDocument/2006/relationships/hyperlink" Target="http://www.sec.gov/cgi-bin/browse-edgar?action=getcompany&amp;CIK=00007693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2025-06-20T19:40:00Z</dcterms:created>
  <dcterms:modified xsi:type="dcterms:W3CDTF">2025-06-20T19:40:00Z</dcterms:modified>
</cp:coreProperties>
</file>