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October 31, 2014</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-1844040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976"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680"/>
            <w:col w:w="6680" w:space="720"/>
            <w:col w:w="1200" w:space="160"/>
            <w:col w:w="280"/>
          </w:cols>
          <w:pgMar w:left="240" w:top="976"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4"/>
          <w:szCs w:val="24"/>
          <w:color w:val="auto"/>
        </w:rPr>
      </w:pPr>
    </w:p>
    <w:p>
      <w:pPr>
        <w:sectPr>
          <w:pgSz w:w="11900" w:h="16838" w:orient="portrait"/>
          <w:cols w:equalWidth="0" w:num="4">
            <w:col w:w="1620" w:space="720"/>
            <w:col w:w="5920" w:space="720"/>
            <w:col w:w="1960" w:space="160"/>
            <w:col w:w="280"/>
          </w:cols>
          <w:pgMar w:left="240" w:top="976" w:right="279" w:bottom="1440" w:gutter="0" w:footer="0" w:header="0"/>
          <w:type w:val="continuous"/>
        </w:sectPr>
      </w:pPr>
    </w:p>
    <w:p>
      <w:pPr>
        <w:spacing w:after="0" w:line="82" w:lineRule="exact"/>
        <w:rPr>
          <w:sz w:val="24"/>
          <w:szCs w:val="24"/>
          <w:color w:val="auto"/>
        </w:rPr>
      </w:pPr>
    </w:p>
    <w:p>
      <w:pPr>
        <w:ind w:left="440"/>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6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December 2, 2014, registrant had outstanding approximately 227,520,504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80" w:type="dxa"/>
            <w:vAlign w:val="bottom"/>
            <w:tcBorders>
              <w:bottom w:val="single" w:sz="8" w:color="0000FF"/>
            </w:tcBorders>
            <w:gridSpan w:val="6"/>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2960" w:type="dxa"/>
            <w:vAlign w:val="bottom"/>
            <w:gridSpan w:val="6"/>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980" w:type="dxa"/>
            <w:vAlign w:val="bottom"/>
            <w:gridSpan w:val="23"/>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Statements of Operations for the Three and Nine Months Ended October 31, 2014 and 2013</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Condensed Consolidated Statements of Comprehensive Income for the Three and Nine Months Ended October 31, 2014</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and 2013</w:t>
              </w:r>
            </w:hyperlink>
          </w:p>
        </w:tc>
        <w:tc>
          <w:tcPr>
            <w:tcW w:w="8000" w:type="dxa"/>
            <w:vAlign w:val="bottom"/>
            <w:tcBorders>
              <w:top w:val="single" w:sz="8" w:color="0000EE"/>
            </w:tcBorders>
            <w:gridSpan w:val="20"/>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October 31, 2014 and January 31, 2014</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77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October 31, 2014 and 2013</w:t>
              </w:r>
            </w:hyperlink>
          </w:p>
        </w:tc>
        <w:tc>
          <w:tcPr>
            <w:tcW w:w="124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3"/>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9"/>
          </w:tcPr>
          <w:p>
            <w:pPr>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Quantitative and Qualitative Disclosures About Market Risk</w:t>
              </w:r>
            </w:hyperlink>
          </w:p>
        </w:tc>
        <w:tc>
          <w:tcPr>
            <w:tcW w:w="21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48</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5"/>
          </w:tcPr>
          <w:p>
            <w:pPr>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Controls and Procedures</w:t>
              </w:r>
            </w:hyperlink>
          </w:p>
        </w:tc>
        <w:tc>
          <w:tcPr>
            <w:tcW w:w="432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372"/>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gridSpan w:val="12"/>
          </w:tcPr>
          <w:p>
            <w:pPr>
              <w:jc w:val="center"/>
              <w:ind w:right="2960"/>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5"/>
          </w:tcPr>
          <w:p>
            <w:pPr>
              <w:spacing w:after="0"/>
              <w:rPr>
                <w:rFonts w:ascii="Arial" w:cs="Arial" w:eastAsia="Arial" w:hAnsi="Arial"/>
                <w:sz w:val="18"/>
                <w:szCs w:val="18"/>
                <w:b w:val="1"/>
                <w:bCs w:val="1"/>
                <w:color w:val="0000FF"/>
                <w:w w:val="86"/>
              </w:rPr>
            </w:pPr>
            <w:hyperlink w:anchor="page50">
              <w:r>
                <w:rPr>
                  <w:rFonts w:ascii="Arial" w:cs="Arial" w:eastAsia="Arial" w:hAnsi="Arial"/>
                  <w:sz w:val="18"/>
                  <w:szCs w:val="18"/>
                  <w:b w:val="1"/>
                  <w:bCs w:val="1"/>
                  <w:color w:val="0000FF"/>
                  <w:w w:val="86"/>
                </w:rPr>
                <w:t>Legal Proceedings</w:t>
              </w:r>
            </w:hyperlink>
          </w:p>
        </w:tc>
        <w:tc>
          <w:tcPr>
            <w:tcW w:w="1700" w:type="dxa"/>
            <w:vAlign w:val="bottom"/>
            <w:gridSpan w:val="7"/>
          </w:tcPr>
          <w:p>
            <w:pPr>
              <w:spacing w:after="0"/>
              <w:rPr>
                <w:sz w:val="24"/>
                <w:szCs w:val="24"/>
                <w:color w:val="auto"/>
              </w:rPr>
            </w:pPr>
          </w:p>
        </w:tc>
        <w:tc>
          <w:tcPr>
            <w:tcW w:w="2760" w:type="dxa"/>
            <w:vAlign w:val="bottom"/>
            <w:tcBorders>
              <w:top w:val="single" w:sz="8" w:color="0000FF"/>
            </w:tcBorders>
            <w:gridSpan w:val="4"/>
          </w:tcPr>
          <w:p>
            <w:pPr>
              <w:spacing w:after="0"/>
              <w:rPr>
                <w:sz w:val="24"/>
                <w:szCs w:val="24"/>
                <w:color w:val="auto"/>
              </w:rPr>
            </w:pPr>
          </w:p>
        </w:tc>
        <w:tc>
          <w:tcPr>
            <w:tcW w:w="31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5"/>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Risk Factors</w:t>
              </w:r>
            </w:hyperlink>
          </w:p>
        </w:tc>
        <w:tc>
          <w:tcPr>
            <w:tcW w:w="7580" w:type="dxa"/>
            <w:vAlign w:val="bottom"/>
            <w:gridSpan w:val="1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3"/>
          </w:tcPr>
          <w:p>
            <w:pPr>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10"/>
          </w:tcPr>
          <w:p>
            <w:pPr>
              <w:spacing w:after="0"/>
              <w:rPr>
                <w:rFonts w:ascii="Arial" w:cs="Arial" w:eastAsia="Arial" w:hAnsi="Arial"/>
                <w:sz w:val="18"/>
                <w:szCs w:val="18"/>
                <w:b w:val="1"/>
                <w:bCs w:val="1"/>
                <w:color w:val="0000FF"/>
                <w:w w:val="88"/>
              </w:rPr>
            </w:pPr>
            <w:hyperlink w:anchor="page63">
              <w:r>
                <w:rPr>
                  <w:rFonts w:ascii="Arial" w:cs="Arial" w:eastAsia="Arial" w:hAnsi="Arial"/>
                  <w:sz w:val="18"/>
                  <w:szCs w:val="18"/>
                  <w:b w:val="1"/>
                  <w:bCs w:val="1"/>
                  <w:color w:val="0000FF"/>
                  <w:w w:val="88"/>
                </w:rPr>
                <w:t>Defaults Upon Senior Securities</w:t>
              </w:r>
            </w:hyperlink>
          </w:p>
        </w:tc>
        <w:tc>
          <w:tcPr>
            <w:tcW w:w="2120" w:type="dxa"/>
            <w:vAlign w:val="bottom"/>
            <w:gridSpan w:val="4"/>
          </w:tcPr>
          <w:p>
            <w:pPr>
              <w:spacing w:after="0"/>
              <w:rPr>
                <w:sz w:val="24"/>
                <w:szCs w:val="24"/>
                <w:color w:val="auto"/>
              </w:rPr>
            </w:pPr>
          </w:p>
        </w:tc>
        <w:tc>
          <w:tcPr>
            <w:tcW w:w="442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54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40" w:type="dxa"/>
            <w:vAlign w:val="bottom"/>
            <w:gridSpan w:val="10"/>
          </w:tcPr>
          <w:p>
            <w:pPr>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Mine Safety Disclosures</w:t>
              </w:r>
            </w:hyperlink>
          </w:p>
        </w:tc>
        <w:tc>
          <w:tcPr>
            <w:tcW w:w="6540" w:type="dxa"/>
            <w:vAlign w:val="bottom"/>
            <w:gridSpan w:val="1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6"/>
          </w:tcPr>
          <w:p>
            <w:pPr>
              <w:spacing w:after="0"/>
              <w:rPr>
                <w:rFonts w:ascii="Arial" w:cs="Arial" w:eastAsia="Arial" w:hAnsi="Arial"/>
                <w:sz w:val="18"/>
                <w:szCs w:val="18"/>
                <w:b w:val="1"/>
                <w:bCs w:val="1"/>
                <w:color w:val="0000FF"/>
                <w:w w:val="93"/>
              </w:rPr>
            </w:pPr>
            <w:hyperlink w:anchor="page63">
              <w:r>
                <w:rPr>
                  <w:rFonts w:ascii="Arial" w:cs="Arial" w:eastAsia="Arial" w:hAnsi="Arial"/>
                  <w:sz w:val="18"/>
                  <w:szCs w:val="18"/>
                  <w:b w:val="1"/>
                  <w:bCs w:val="1"/>
                  <w:color w:val="0000FF"/>
                  <w:w w:val="93"/>
                </w:rPr>
                <w:t>Other Information</w:t>
              </w:r>
            </w:hyperlink>
          </w:p>
        </w:tc>
        <w:tc>
          <w:tcPr>
            <w:tcW w:w="380" w:type="dxa"/>
            <w:vAlign w:val="bottom"/>
            <w:gridSpan w:val="2"/>
          </w:tcPr>
          <w:p>
            <w:pPr>
              <w:spacing w:after="0"/>
              <w:rPr>
                <w:sz w:val="24"/>
                <w:szCs w:val="24"/>
                <w:color w:val="auto"/>
              </w:rPr>
            </w:pPr>
          </w:p>
        </w:tc>
        <w:tc>
          <w:tcPr>
            <w:tcW w:w="7160" w:type="dxa"/>
            <w:vAlign w:val="bottom"/>
            <w:gridSpan w:val="1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54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63">
              <w:r>
                <w:rPr>
                  <w:rFonts w:ascii="Arial" w:cs="Arial" w:eastAsia="Arial" w:hAnsi="Arial"/>
                  <w:sz w:val="18"/>
                  <w:szCs w:val="18"/>
                  <w:b w:val="1"/>
                  <w:bCs w:val="1"/>
                  <w:color w:val="0000FF"/>
                  <w:w w:val="88"/>
                </w:rPr>
                <w:t>Exhibits</w:t>
              </w:r>
            </w:hyperlink>
          </w:p>
        </w:tc>
        <w:tc>
          <w:tcPr>
            <w:tcW w:w="800" w:type="dxa"/>
            <w:vAlign w:val="bottom"/>
            <w:gridSpan w:val="5"/>
          </w:tcPr>
          <w:p>
            <w:pPr>
              <w:spacing w:after="0"/>
              <w:rPr>
                <w:sz w:val="24"/>
                <w:szCs w:val="24"/>
                <w:color w:val="auto"/>
              </w:rPr>
            </w:pPr>
          </w:p>
        </w:tc>
        <w:tc>
          <w:tcPr>
            <w:tcW w:w="754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64</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160" w:type="dxa"/>
            <w:vAlign w:val="bottom"/>
            <w:gridSpan w:val="2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b w:val="1"/>
                <w:bCs w:val="1"/>
                <w:color w:val="0000FF"/>
                <w:w w:val="85"/>
              </w:rPr>
            </w:pPr>
            <w:hyperlink w:anchor="page64">
              <w:r>
                <w:rPr>
                  <w:rFonts w:ascii="Arial" w:cs="Arial" w:eastAsia="Arial" w:hAnsi="Arial"/>
                  <w:sz w:val="18"/>
                  <w:szCs w:val="18"/>
                  <w:b w:val="1"/>
                  <w:bCs w:val="1"/>
                  <w:color w:val="0000FF"/>
                  <w:w w:val="85"/>
                </w:rPr>
                <w:t>Signatures</w:t>
              </w:r>
            </w:hyperlink>
          </w:p>
        </w:tc>
        <w:tc>
          <w:tcPr>
            <w:tcW w:w="8160" w:type="dxa"/>
            <w:vAlign w:val="bottom"/>
            <w:gridSpan w:val="2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32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Three Months Ended October 31,</w:t>
            </w:r>
          </w:p>
        </w:tc>
        <w:tc>
          <w:tcPr>
            <w:tcW w:w="140" w:type="dxa"/>
            <w:vAlign w:val="bottom"/>
          </w:tcPr>
          <w:p>
            <w:pPr>
              <w:spacing w:after="0"/>
              <w:rPr>
                <w:sz w:val="14"/>
                <w:szCs w:val="14"/>
                <w:color w:val="auto"/>
              </w:rPr>
            </w:pPr>
          </w:p>
        </w:tc>
        <w:tc>
          <w:tcPr>
            <w:tcW w:w="164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232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4"/>
          </w:tcPr>
          <w:p>
            <w:pPr>
              <w:jc w:val="right"/>
              <w:ind w:right="439"/>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3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320.5</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297.5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987.1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934.2</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753.1</w:t>
            </w:r>
          </w:p>
        </w:tc>
        <w:tc>
          <w:tcPr>
            <w:tcW w:w="0" w:type="dxa"/>
            <w:vAlign w:val="bottom"/>
          </w:tcPr>
          <w:p>
            <w:pPr>
              <w:spacing w:after="0"/>
              <w:rPr>
                <w:sz w:val="1"/>
                <w:szCs w:val="1"/>
                <w:color w:val="auto"/>
              </w:rPr>
            </w:pPr>
          </w:p>
        </w:tc>
      </w:tr>
      <w:tr>
        <w:trPr>
          <w:trHeight w:val="217"/>
        </w:trPr>
        <w:tc>
          <w:tcPr>
            <w:tcW w:w="732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618.0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555.2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7"/>
              </w:rPr>
              <w:t>1,847.6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1,687.3</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Cost of license and other revenue</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130.6</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subscription revenue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17"/>
        </w:trPr>
        <w:tc>
          <w:tcPr>
            <w:tcW w:w="7320" w:type="dxa"/>
            <w:vAlign w:val="bottom"/>
          </w:tcPr>
          <w:p>
            <w:pPr>
              <w:ind w:left="720"/>
              <w:spacing w:after="0"/>
              <w:rPr>
                <w:sz w:val="20"/>
                <w:szCs w:val="20"/>
                <w:color w:val="auto"/>
              </w:rPr>
            </w:pPr>
            <w:r>
              <w:rPr>
                <w:rFonts w:ascii="Arial" w:cs="Arial" w:eastAsia="Arial" w:hAnsi="Arial"/>
                <w:sz w:val="16"/>
                <w:szCs w:val="16"/>
                <w:color w:val="auto"/>
              </w:rPr>
              <w:t>Total cost of revenue</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252.6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7"/>
              </w:rPr>
              <w:t>1,595.0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1,484.9</w:t>
            </w:r>
          </w:p>
        </w:tc>
        <w:tc>
          <w:tcPr>
            <w:tcW w:w="0" w:type="dxa"/>
            <w:vAlign w:val="bottom"/>
          </w:tcPr>
          <w:p>
            <w:pPr>
              <w:spacing w:after="0"/>
              <w:rPr>
                <w:sz w:val="1"/>
                <w:szCs w:val="1"/>
                <w:color w:val="auto"/>
              </w:rPr>
            </w:pP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Marketing and sales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610.3</w:t>
            </w: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183.9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533.7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448.7</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158.8</w:t>
            </w: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net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7"/>
        </w:trPr>
        <w:tc>
          <w:tcPr>
            <w:tcW w:w="7320" w:type="dxa"/>
            <w:vAlign w:val="bottom"/>
          </w:tcPr>
          <w:p>
            <w:pPr>
              <w:ind w:left="72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517.4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420.0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7"/>
              </w:rPr>
              <w:t>1,488.3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1,251.8</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233.1</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Interest and other (expense) income, net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223.6</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Basic net income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vMerge w:val="continue"/>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73"/>
        </w:trPr>
        <w:tc>
          <w:tcPr>
            <w:tcW w:w="73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3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income per share</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basic net income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226.9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227.1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223.4</w:t>
            </w:r>
          </w:p>
        </w:tc>
        <w:tc>
          <w:tcPr>
            <w:tcW w:w="0" w:type="dxa"/>
            <w:vAlign w:val="bottom"/>
          </w:tcPr>
          <w:p>
            <w:pPr>
              <w:spacing w:after="0"/>
              <w:rPr>
                <w:sz w:val="1"/>
                <w:szCs w:val="1"/>
                <w:color w:val="auto"/>
              </w:rPr>
            </w:pPr>
          </w:p>
        </w:tc>
      </w:tr>
      <w:tr>
        <w:trPr>
          <w:trHeight w:val="73"/>
        </w:trPr>
        <w:tc>
          <w:tcPr>
            <w:tcW w:w="73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3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diluted net income per share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7"/>
              </w:rPr>
              <w:t>Nine Months Ended</w:t>
            </w:r>
          </w:p>
        </w:tc>
      </w:tr>
      <w:tr>
        <w:trPr>
          <w:trHeight w:val="192"/>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October 31,</w:t>
            </w:r>
          </w:p>
        </w:tc>
        <w:tc>
          <w:tcPr>
            <w:tcW w:w="180" w:type="dxa"/>
            <w:vAlign w:val="bottom"/>
          </w:tcPr>
          <w:p>
            <w:pPr>
              <w:spacing w:after="0"/>
              <w:rPr>
                <w:sz w:val="16"/>
                <w:szCs w:val="16"/>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October 31,</w:t>
            </w:r>
          </w:p>
        </w:tc>
      </w:tr>
      <w:tr>
        <w:trPr>
          <w:trHeight w:val="264"/>
        </w:trPr>
        <w:tc>
          <w:tcPr>
            <w:tcW w:w="79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2013</w:t>
            </w:r>
          </w:p>
        </w:tc>
      </w:tr>
      <w:tr>
        <w:trPr>
          <w:trHeight w:val="23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comprehensive income, net of reclassifications: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gain (loss) on derivative instruments (net of tax effect of $0.5, $0.3, ($0.6) and $0.5)</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w w:val="92"/>
              </w:rPr>
              <w:t>Change in net unrealized (loss) gain on available-for-sale securities (net of tax effect of $0.7, ($0.2), $0.7 and ($0.2))</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6"/>
              </w:rPr>
              <w:t>Net change in cumulative foreign currency translation (loss) gain (net of tax effect of $3.4, ($1.0), $2.9 and $1.0)</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17"/>
        </w:trPr>
        <w:tc>
          <w:tcPr>
            <w:tcW w:w="7900" w:type="dxa"/>
            <w:vAlign w:val="bottom"/>
          </w:tcPr>
          <w:p>
            <w:pPr>
              <w:ind w:left="280"/>
              <w:spacing w:after="0"/>
              <w:rPr>
                <w:sz w:val="20"/>
                <w:szCs w:val="20"/>
                <w:color w:val="auto"/>
              </w:rPr>
            </w:pPr>
            <w:r>
              <w:rPr>
                <w:rFonts w:ascii="Arial" w:cs="Arial" w:eastAsia="Arial" w:hAnsi="Arial"/>
                <w:sz w:val="16"/>
                <w:szCs w:val="16"/>
                <w:color w:val="auto"/>
              </w:rPr>
              <w:t>Total other comprehensive (loss) gain</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w:t>
            </w: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176.5</w:t>
            </w: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2"/>
              </w:rPr>
              <w:t>October 31, 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January 31, 2014</w:t>
            </w:r>
          </w:p>
        </w:tc>
      </w:tr>
      <w:tr>
        <w:trPr>
          <w:trHeight w:val="250"/>
        </w:trPr>
        <w:tc>
          <w:tcPr>
            <w:tcW w:w="8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color w:val="auto"/>
                <w:w w:val="93"/>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4"/>
        </w:trPr>
        <w:tc>
          <w:tcPr>
            <w:tcW w:w="8040" w:type="dxa"/>
            <w:vAlign w:val="bottom"/>
          </w:tcPr>
          <w:p>
            <w:pPr>
              <w:ind w:left="37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8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1,345.0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1,853.0</w:t>
            </w: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Marketable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414.1</w:t>
            </w: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375.7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423.7</w:t>
            </w: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 net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w:t>
            </w: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87.4</w:t>
            </w:r>
          </w:p>
        </w:tc>
      </w:tr>
      <w:tr>
        <w:trPr>
          <w:trHeight w:val="33"/>
        </w:trPr>
        <w:tc>
          <w:tcPr>
            <w:tcW w:w="8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2,835.0</w:t>
            </w:r>
          </w:p>
        </w:tc>
      </w:tr>
      <w:tr>
        <w:trPr>
          <w:trHeight w:val="217"/>
        </w:trPr>
        <w:tc>
          <w:tcPr>
            <w:tcW w:w="804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255.5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277.3</w:t>
            </w: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130.3</w:t>
            </w: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Developed technologies, net</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63.1</w:t>
            </w: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1,009.9</w:t>
            </w: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131.1</w:t>
            </w: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148.3</w:t>
            </w:r>
          </w:p>
        </w:tc>
      </w:tr>
      <w:tr>
        <w:trPr>
          <w:trHeight w:val="217"/>
        </w:trPr>
        <w:tc>
          <w:tcPr>
            <w:tcW w:w="80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4,736.8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4,595.0</w:t>
            </w:r>
          </w:p>
        </w:tc>
      </w:tr>
      <w:tr>
        <w:trPr>
          <w:trHeight w:val="73"/>
        </w:trPr>
        <w:tc>
          <w:tcPr>
            <w:tcW w:w="80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177"/>
        </w:trPr>
        <w:tc>
          <w:tcPr>
            <w:tcW w:w="8040" w:type="dxa"/>
            <w:vAlign w:val="bottom"/>
            <w:shd w:val="clear" w:color="auto" w:fill="CCEEFF"/>
          </w:tcPr>
          <w:p>
            <w:pPr>
              <w:ind w:left="226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60"/>
        </w:trPr>
        <w:tc>
          <w:tcPr>
            <w:tcW w:w="8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w:t>
            </w: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181.2</w:t>
            </w: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775.1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696.2</w:t>
            </w: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w:t>
            </w:r>
          </w:p>
        </w:tc>
      </w:tr>
      <w:tr>
        <w:trPr>
          <w:trHeight w:val="217"/>
        </w:trPr>
        <w:tc>
          <w:tcPr>
            <w:tcW w:w="804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1,193.3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1,071.5</w:t>
            </w:r>
          </w:p>
        </w:tc>
      </w:tr>
      <w:tr>
        <w:trPr>
          <w:trHeight w:val="33"/>
        </w:trPr>
        <w:tc>
          <w:tcPr>
            <w:tcW w:w="8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204.4</w:t>
            </w: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Long term income taxes payable</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182.0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211.8</w:t>
            </w: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 term notes payable, net of discount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746.4</w:t>
            </w: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99.4</w:t>
            </w: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Preferred stock</w:t>
            </w:r>
          </w:p>
        </w:tc>
        <w:tc>
          <w:tcPr>
            <w:tcW w:w="1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1,637.3</w:t>
            </w: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624.8</w:t>
            </w:r>
          </w:p>
        </w:tc>
      </w:tr>
      <w:tr>
        <w:trPr>
          <w:trHeight w:val="217"/>
        </w:trPr>
        <w:tc>
          <w:tcPr>
            <w:tcW w:w="80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2,268.5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2,261.5</w:t>
            </w:r>
          </w:p>
        </w:tc>
      </w:tr>
      <w:tr>
        <w:trPr>
          <w:trHeight w:val="33"/>
        </w:trPr>
        <w:tc>
          <w:tcPr>
            <w:tcW w:w="8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4,595.0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1013"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Nine Months Ended October 31,</w:t>
            </w:r>
          </w:p>
        </w:tc>
      </w:tr>
      <w:tr>
        <w:trPr>
          <w:trHeight w:val="264"/>
        </w:trPr>
        <w:tc>
          <w:tcPr>
            <w:tcW w:w="9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2013</w:t>
            </w:r>
          </w:p>
        </w:tc>
      </w:tr>
      <w:tr>
        <w:trPr>
          <w:trHeight w:val="23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4"/>
        </w:trPr>
        <w:tc>
          <w:tcPr>
            <w:tcW w:w="926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63"/>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174.9</w:t>
            </w: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4"/>
        </w:trPr>
        <w:tc>
          <w:tcPr>
            <w:tcW w:w="9260" w:type="dxa"/>
            <w:vAlign w:val="bottom"/>
          </w:tcPr>
          <w:p>
            <w:pPr>
              <w:ind w:left="720"/>
              <w:spacing w:after="0"/>
              <w:rPr>
                <w:sz w:val="20"/>
                <w:szCs w:val="20"/>
                <w:color w:val="auto"/>
              </w:rPr>
            </w:pPr>
            <w:r>
              <w:rPr>
                <w:rFonts w:ascii="Arial" w:cs="Arial" w:eastAsia="Arial" w:hAnsi="Arial"/>
                <w:sz w:val="16"/>
                <w:szCs w:val="16"/>
                <w:color w:val="auto"/>
              </w:rPr>
              <w:t>Depreciation, amortization and accretion</w:t>
            </w:r>
          </w:p>
        </w:tc>
        <w:tc>
          <w:tcPr>
            <w:tcW w:w="24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95.7</w:t>
            </w: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96.1</w:t>
            </w:r>
          </w:p>
        </w:tc>
      </w:tr>
      <w:tr>
        <w:trPr>
          <w:trHeight w:val="224"/>
        </w:trPr>
        <w:tc>
          <w:tcPr>
            <w:tcW w:w="9260" w:type="dxa"/>
            <w:vAlign w:val="bottom"/>
          </w:tcPr>
          <w:p>
            <w:pPr>
              <w:ind w:left="720"/>
              <w:spacing w:after="0"/>
              <w:rPr>
                <w:sz w:val="20"/>
                <w:szCs w:val="20"/>
                <w:color w:val="auto"/>
              </w:rPr>
            </w:pPr>
            <w:r>
              <w:rPr>
                <w:rFonts w:ascii="Arial" w:cs="Arial" w:eastAsia="Arial" w:hAnsi="Arial"/>
                <w:sz w:val="16"/>
                <w:szCs w:val="16"/>
                <w:color w:val="auto"/>
              </w:rPr>
              <w:t>Excess tax benefits from stock-based compensation</w:t>
            </w:r>
          </w:p>
        </w:tc>
        <w:tc>
          <w:tcPr>
            <w:tcW w:w="2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Restructuring charges, net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r>
      <w:tr>
        <w:trPr>
          <w:trHeight w:val="224"/>
        </w:trPr>
        <w:tc>
          <w:tcPr>
            <w:tcW w:w="9260" w:type="dxa"/>
            <w:vAlign w:val="bottom"/>
          </w:tcPr>
          <w:p>
            <w:pPr>
              <w:ind w:left="720"/>
              <w:spacing w:after="0"/>
              <w:rPr>
                <w:sz w:val="20"/>
                <w:szCs w:val="20"/>
                <w:color w:val="auto"/>
              </w:rPr>
            </w:pPr>
            <w:r>
              <w:rPr>
                <w:rFonts w:ascii="Arial" w:cs="Arial" w:eastAsia="Arial" w:hAnsi="Arial"/>
                <w:sz w:val="16"/>
                <w:szCs w:val="16"/>
                <w:color w:val="auto"/>
              </w:rPr>
              <w:t>Other operating activities</w:t>
            </w:r>
          </w:p>
        </w:tc>
        <w:tc>
          <w:tcPr>
            <w:tcW w:w="24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17"/>
        </w:trPr>
        <w:tc>
          <w:tcPr>
            <w:tcW w:w="926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450.9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380.0</w:t>
            </w: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4"/>
        </w:trPr>
        <w:tc>
          <w:tcPr>
            <w:tcW w:w="9260" w:type="dxa"/>
            <w:vAlign w:val="bottom"/>
          </w:tcPr>
          <w:p>
            <w:pPr>
              <w:ind w:left="380"/>
              <w:spacing w:after="0"/>
              <w:rPr>
                <w:sz w:val="20"/>
                <w:szCs w:val="20"/>
                <w:color w:val="auto"/>
              </w:rPr>
            </w:pPr>
            <w:r>
              <w:rPr>
                <w:rFonts w:ascii="Arial" w:cs="Arial" w:eastAsia="Arial" w:hAnsi="Arial"/>
                <w:sz w:val="16"/>
                <w:szCs w:val="16"/>
                <w:color w:val="auto"/>
              </w:rPr>
              <w:t>Purchases of marketable securities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(969.8)</w:t>
            </w: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of marketable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329.9</w:t>
            </w:r>
          </w:p>
        </w:tc>
      </w:tr>
      <w:tr>
        <w:trPr>
          <w:trHeight w:val="224"/>
        </w:trPr>
        <w:tc>
          <w:tcPr>
            <w:tcW w:w="9260" w:type="dxa"/>
            <w:vAlign w:val="bottom"/>
          </w:tcPr>
          <w:p>
            <w:pPr>
              <w:ind w:left="380"/>
              <w:spacing w:after="0"/>
              <w:rPr>
                <w:sz w:val="20"/>
                <w:szCs w:val="20"/>
                <w:color w:val="auto"/>
              </w:rPr>
            </w:pPr>
            <w:r>
              <w:rPr>
                <w:rFonts w:ascii="Arial" w:cs="Arial" w:eastAsia="Arial" w:hAnsi="Arial"/>
                <w:sz w:val="16"/>
                <w:szCs w:val="16"/>
                <w:color w:val="auto"/>
              </w:rPr>
              <w:t>Maturities of marketable securities</w:t>
            </w:r>
          </w:p>
        </w:tc>
        <w:tc>
          <w:tcPr>
            <w:tcW w:w="24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623.2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395.1</w:t>
            </w: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24"/>
        </w:trPr>
        <w:tc>
          <w:tcPr>
            <w:tcW w:w="9260" w:type="dxa"/>
            <w:vAlign w:val="bottom"/>
          </w:tcPr>
          <w:p>
            <w:pPr>
              <w:ind w:left="380"/>
              <w:spacing w:after="0"/>
              <w:rPr>
                <w:sz w:val="20"/>
                <w:szCs w:val="20"/>
                <w:color w:val="auto"/>
              </w:rPr>
            </w:pPr>
            <w:r>
              <w:rPr>
                <w:rFonts w:ascii="Arial" w:cs="Arial" w:eastAsia="Arial" w:hAnsi="Arial"/>
                <w:sz w:val="16"/>
                <w:szCs w:val="16"/>
                <w:color w:val="auto"/>
              </w:rPr>
              <w:t>Acquisitions, net of cash acquired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(68.0)</w:t>
            </w: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17"/>
        </w:trPr>
        <w:tc>
          <w:tcPr>
            <w:tcW w:w="926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(777.7)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(383.5)</w:t>
            </w: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4"/>
        </w:trPr>
        <w:tc>
          <w:tcPr>
            <w:tcW w:w="926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24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183.4</w:t>
            </w: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and retirement of common shares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(318.7)</w:t>
            </w:r>
          </w:p>
        </w:tc>
      </w:tr>
      <w:tr>
        <w:trPr>
          <w:trHeight w:val="224"/>
        </w:trPr>
        <w:tc>
          <w:tcPr>
            <w:tcW w:w="926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2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926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(136.1)</w:t>
            </w: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0"/>
        </w:trPr>
        <w:tc>
          <w:tcPr>
            <w:tcW w:w="9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420"/>
          </w:cols>
          <w:pgMar w:left="240" w:top="580" w:right="239" w:bottom="1440" w:gutter="0" w:footer="0" w:header="0"/>
        </w:sectPr>
      </w:pPr>
    </w:p>
    <w:p>
      <w:pPr>
        <w:ind w:left="40"/>
        <w:spacing w:after="0"/>
        <w:rPr>
          <w:sz w:val="20"/>
          <w:szCs w:val="20"/>
          <w:color w:val="auto"/>
        </w:rPr>
      </w:pPr>
      <w:r>
        <w:rPr>
          <w:rFonts w:ascii="Arial" w:cs="Arial" w:eastAsia="Arial" w:hAnsi="Arial"/>
          <w:sz w:val="16"/>
          <w:szCs w:val="16"/>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fiscal year</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jc w:val="right"/>
        <w:ind w:right="60"/>
        <w:spacing w:after="0"/>
        <w:tabs>
          <w:tab w:leader="none" w:pos="440" w:val="left"/>
        </w:tabs>
        <w:rPr>
          <w:sz w:val="20"/>
          <w:szCs w:val="20"/>
          <w:color w:val="auto"/>
        </w:rPr>
      </w:pPr>
      <w:r>
        <w:rPr>
          <w:rFonts w:ascii="Arial" w:cs="Arial" w:eastAsia="Arial" w:hAnsi="Arial"/>
          <w:sz w:val="16"/>
          <w:szCs w:val="16"/>
          <w:color w:val="auto"/>
        </w:rPr>
        <w:t>(508.0)</w:t>
      </w:r>
      <w:r>
        <w:rPr>
          <w:sz w:val="20"/>
          <w:szCs w:val="20"/>
          <w:color w:val="auto"/>
        </w:rPr>
        <w:tab/>
      </w:r>
      <w:r>
        <w:rPr>
          <w:rFonts w:ascii="Arial" w:cs="Arial" w:eastAsia="Arial" w:hAnsi="Arial"/>
          <w:sz w:val="14"/>
          <w:szCs w:val="14"/>
          <w:color w:val="auto"/>
        </w:rPr>
        <w:t>(138.8)</w:t>
      </w:r>
    </w:p>
    <w:p>
      <w:pPr>
        <w:spacing w:after="0" w:line="73" w:lineRule="exact"/>
        <w:rPr>
          <w:sz w:val="20"/>
          <w:szCs w:val="20"/>
          <w:color w:val="auto"/>
        </w:rPr>
      </w:pPr>
    </w:p>
    <w:p>
      <w:pPr>
        <w:ind w:left="420"/>
        <w:spacing w:after="0"/>
        <w:tabs>
          <w:tab w:leader="none" w:pos="1520" w:val="left"/>
        </w:tabs>
        <w:rPr>
          <w:sz w:val="20"/>
          <w:szCs w:val="20"/>
          <w:color w:val="auto"/>
        </w:rPr>
      </w:pPr>
      <w:r>
        <w:rPr>
          <w:rFonts w:ascii="Arial" w:cs="Arial" w:eastAsia="Arial" w:hAnsi="Arial"/>
          <w:sz w:val="16"/>
          <w:szCs w:val="16"/>
          <w:color w:val="auto"/>
        </w:rPr>
        <w:t>1,853.0</w:t>
      </w:r>
      <w:r>
        <w:rPr>
          <w:sz w:val="20"/>
          <w:szCs w:val="20"/>
          <w:color w:val="auto"/>
        </w:rPr>
        <w:tab/>
      </w:r>
      <w:r>
        <w:rPr>
          <w:rFonts w:ascii="Arial" w:cs="Arial" w:eastAsia="Arial" w:hAnsi="Arial"/>
          <w:sz w:val="14"/>
          <w:szCs w:val="14"/>
          <w:color w:val="auto"/>
        </w:rPr>
        <w:t>1,612.2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34925</wp:posOffset>
            </wp:positionV>
            <wp:extent cx="1372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spacing w:after="0"/>
        <w:tabs>
          <w:tab w:leader="none" w:pos="400" w:val="left"/>
          <w:tab w:leader="none" w:pos="1140" w:val="left"/>
          <w:tab w:leader="none" w:pos="15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1,345.0</w:t>
        <w:tab/>
        <w:t>$</w:t>
      </w:r>
      <w:r>
        <w:rPr>
          <w:sz w:val="20"/>
          <w:szCs w:val="20"/>
          <w:color w:val="auto"/>
        </w:rPr>
        <w:tab/>
      </w:r>
      <w:r>
        <w:rPr>
          <w:rFonts w:ascii="Arial" w:cs="Arial" w:eastAsia="Arial" w:hAnsi="Arial"/>
          <w:sz w:val="14"/>
          <w:szCs w:val="14"/>
          <w:color w:val="auto"/>
        </w:rPr>
        <w:t>1,473.4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34925</wp:posOffset>
            </wp:positionV>
            <wp:extent cx="13722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223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720"/>
            <w:col w:w="2140"/>
          </w:cols>
          <w:pgMar w:left="240" w:top="580" w:right="239" w:bottom="1440" w:gutter="0" w:footer="0" w:header="0"/>
          <w:type w:val="continuous"/>
        </w:sectPr>
      </w:pP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Autodesk, Inc. (“Autodesk,” “we,” “us,” “our,” or the “Company”) as of October 31, 2014, and for the three and nine months ended October 31, 2014 and 2013,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nine months ended October 31, 2014 are not necessarily indicative of the results for the entire fiscal year ending January 31, 2015, or for any other period.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2014, filed on March 10, 2014.</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During the second quarter of fiscal 2015, Autodesk elected to present amortization of purchased customer relationships, trade names, patents, and user lists as a separate line item within operating expenses. As a result, amortization previously reflected in “General and Administrative” expense was reclassified to “Amortization of Purchased Intangibles" within Operating Expenses. These expenses have been reclassified in the Condensed Consolidated Statements of Operations for the nine months ended October 31, 2014 and the three and nine months ended October 31, 2013 to conform to the current period presentation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w w:val="91"/>
              </w:rPr>
              <w:t>Nine Months Ended</w:t>
            </w:r>
          </w:p>
        </w:tc>
      </w:tr>
      <w:tr>
        <w:trPr>
          <w:trHeight w:val="250"/>
        </w:trPr>
        <w:tc>
          <w:tcPr>
            <w:tcW w:w="6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October 31, 2014</w:t>
            </w: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October 31, 2013</w:t>
            </w:r>
          </w:p>
        </w:tc>
        <w:tc>
          <w:tcPr>
            <w:tcW w:w="120" w:type="dxa"/>
            <w:vAlign w:val="bottom"/>
          </w:tcPr>
          <w:p>
            <w:pPr>
              <w:spacing w:after="0"/>
              <w:rPr>
                <w:sz w:val="21"/>
                <w:szCs w:val="21"/>
                <w:color w:val="auto"/>
              </w:rPr>
            </w:pPr>
          </w:p>
        </w:tc>
        <w:tc>
          <w:tcPr>
            <w:tcW w:w="1340" w:type="dxa"/>
            <w:vAlign w:val="bottom"/>
          </w:tcPr>
          <w:p>
            <w:pPr>
              <w:jc w:val="right"/>
              <w:ind w:right="123"/>
              <w:spacing w:after="0"/>
              <w:rPr>
                <w:sz w:val="20"/>
                <w:szCs w:val="20"/>
                <w:color w:val="auto"/>
              </w:rPr>
            </w:pPr>
            <w:r>
              <w:rPr>
                <w:rFonts w:ascii="Arial" w:cs="Arial" w:eastAsia="Arial" w:hAnsi="Arial"/>
                <w:sz w:val="14"/>
                <w:szCs w:val="14"/>
                <w:b w:val="1"/>
                <w:bCs w:val="1"/>
                <w:color w:val="auto"/>
                <w:w w:val="99"/>
              </w:rPr>
              <w:t>October 31, 2013</w:t>
            </w: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Reclassifications within operating expenses: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(Decrease) to general and administrative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33"/>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to amortization of purchased intangibles</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27.5</w:t>
            </w:r>
          </w:p>
        </w:tc>
      </w:tr>
      <w:tr>
        <w:trPr>
          <w:trHeight w:val="33"/>
        </w:trPr>
        <w:tc>
          <w:tcPr>
            <w:tcW w:w="6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nine months ended October 31, 2014, that are of significance, or potential significance, to the Company.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Standards Adopted in the Nine Months Ended October 31, 2014</w:t>
      </w:r>
    </w:p>
    <w:p>
      <w:pPr>
        <w:spacing w:after="0" w:line="225"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Effective February 1, 2014, Autodesk prospectively adopted FASB's Accounting Standards Update (“ASU”) 2013-11 regarding ASC Topic 740 “Income Tax.” This ASU clarifies the guidance on the presentation of an unrecognized tax benefit, or a portion of an unrecognized tax benefit, in the financial statements as a reduction to a deferred tax asset for a net operating loss carryforward, a similar tax loss, or a tax credit carryforward. The adoption of this ASU impacted the presentation of tax assets and liabilities on the statement of financial position, but did not impact its results of operations or cash flows.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On May 28, 2014, the FASB issued ASU 2014-09 regarding ASC Topic 606 “Revenue from Contracts with Customers.” This ASU provides principles for recognizing revenue to depict the transfer of promised goods or services to customers in an amount that reflects the consideration to which the entity expects to be entitled in exchange for those goods or services. This ASU will be effective for Autodesk’s fiscal year beginning February 1, 2017. Early adoption is not permitted. Autodesk 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right="340"/>
        <w:spacing w:after="0" w:line="277" w:lineRule="auto"/>
        <w:rPr>
          <w:sz w:val="20"/>
          <w:szCs w:val="20"/>
          <w:color w:val="auto"/>
        </w:rPr>
      </w:pPr>
      <w:r>
        <w:rPr>
          <w:rFonts w:ascii="Arial" w:cs="Arial" w:eastAsia="Arial" w:hAnsi="Arial"/>
          <w:sz w:val="18"/>
          <w:szCs w:val="18"/>
          <w:color w:val="auto"/>
        </w:rPr>
        <w:t>currently evaluating the accounting, transition and disclosure requirements of the standard and cannot currently estimate the financial statement impact of adoption.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$400.0 million line of credit facility. It is Autodesk’s policy to limit the amounts invested with any one institution by type of security and issuer.</w:t>
      </w:r>
    </w:p>
    <w:p>
      <w:pPr>
        <w:spacing w:after="0" w:line="18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Total sales to the distributor Tech Data Corporation, and its global affiliates (“Tech Data”), accounted for 26% of Autodesk’s total net revenue for both the three and nine months ended October 31, 2014, and 24% and 25% of Autodesk’s total net revenue for the three and nine months ended October 31, 2013, respectively. The majority of the net revenue from sales to Tech Data relates to Autodesk’s Platform Solutions and Emerging Business (“PSEB”) segment and is for sales made outside of the United States. In addition, Tech Data accounted for 22% and 24% of trade accounts receivable at October 31, 2014 and January 31, 2014, respectively.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October 31, 2014 and January 31, 2014:</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October 31, 2014</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380"/>
              <w:spacing w:after="0"/>
              <w:rPr>
                <w:sz w:val="20"/>
                <w:szCs w:val="20"/>
                <w:color w:val="auto"/>
              </w:rPr>
            </w:pPr>
            <w:r>
              <w:rPr>
                <w:rFonts w:ascii="Arial" w:cs="Arial" w:eastAsia="Arial" w:hAnsi="Arial"/>
                <w:sz w:val="16"/>
                <w:szCs w:val="16"/>
                <w:color w:val="auto"/>
              </w:rPr>
              <w:t>Certificates of deposit and time deposits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328.1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165.1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163.0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Agency discount note</w:t>
            </w:r>
          </w:p>
        </w:tc>
        <w:tc>
          <w:tcPr>
            <w:tcW w:w="32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tcPr>
          <w:p>
            <w:pPr>
              <w:ind w:left="380"/>
              <w:spacing w:after="0"/>
              <w:rPr>
                <w:sz w:val="20"/>
                <w:szCs w:val="20"/>
                <w:color w:val="auto"/>
              </w:rPr>
            </w:pPr>
            <w:r>
              <w:rPr>
                <w:rFonts w:ascii="Arial" w:cs="Arial" w:eastAsia="Arial" w:hAnsi="Arial"/>
                <w:sz w:val="16"/>
                <w:szCs w:val="16"/>
                <w:color w:val="auto"/>
              </w:rPr>
              <w:t>Commercial paper and corporate bonds</w:t>
            </w:r>
          </w:p>
        </w:tc>
        <w:tc>
          <w:tcPr>
            <w:tcW w:w="320" w:type="dxa"/>
            <w:vAlign w:val="bottom"/>
          </w:tcPr>
          <w:p>
            <w:pPr>
              <w:spacing w:after="0"/>
              <w:rPr>
                <w:sz w:val="19"/>
                <w:szCs w:val="19"/>
                <w:color w:val="auto"/>
              </w:rPr>
            </w:pP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color w:val="auto"/>
              </w:rPr>
              <w:t>216.8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216.8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rPr>
              <w:t>200.5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380"/>
              <w:spacing w:after="0"/>
              <w:rPr>
                <w:sz w:val="20"/>
                <w:szCs w:val="20"/>
                <w:color w:val="auto"/>
              </w:rPr>
            </w:pPr>
            <w:r>
              <w:rPr>
                <w:rFonts w:ascii="Arial" w:cs="Arial" w:eastAsia="Arial" w:hAnsi="Arial"/>
                <w:sz w:val="16"/>
                <w:szCs w:val="16"/>
                <w:color w:val="auto"/>
              </w:rPr>
              <w:t>Other (2)</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380"/>
              <w:spacing w:after="0"/>
              <w:rPr>
                <w:sz w:val="20"/>
                <w:szCs w:val="20"/>
                <w:color w:val="auto"/>
              </w:rPr>
            </w:pPr>
            <w:r>
              <w:rPr>
                <w:rFonts w:ascii="Arial" w:cs="Arial" w:eastAsia="Arial" w:hAnsi="Arial"/>
                <w:sz w:val="16"/>
                <w:szCs w:val="16"/>
                <w:color w:val="auto"/>
              </w:rPr>
              <w:t>Short-term available for sale</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Commercial paper and certificates of deposit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Time deposits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132.3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Municipal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Treasury bill</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Other (3)</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trading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Mutual funds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Corporate debt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186.4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Agency bond</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U.S. government agency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Municipal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Convertible debt securities (4)</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(5)</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44"/>
        </w:trPr>
        <w:tc>
          <w:tcPr>
            <w:tcW w:w="3920" w:type="dxa"/>
            <w:vAlign w:val="bottom"/>
          </w:tcPr>
          <w:p>
            <w:pPr>
              <w:ind w:left="62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1,503.2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1,520.0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684.0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819.1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international government bonds and municipal securities.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U.S. government agency securities, agency discount notes, and other short-term securities.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5"/>
        </w:trPr>
        <w:tc>
          <w:tcPr>
            <w:tcW w:w="3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January 31, 2014</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2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5"/>
        </w:trPr>
        <w:tc>
          <w:tcPr>
            <w:tcW w:w="366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gains</w:t>
            </w:r>
          </w:p>
        </w:tc>
        <w:tc>
          <w:tcPr>
            <w:tcW w:w="26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7"/>
              </w:rPr>
              <w:t>losses</w:t>
            </w: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Certificates of deposit and time deposits</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280.7</w:t>
            </w:r>
          </w:p>
        </w:tc>
        <w:tc>
          <w:tcPr>
            <w:tcW w:w="14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280.7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250.3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Commercial paper</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Municipal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Short-term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w w:val="91"/>
              </w:rPr>
              <w:t>Commercial paper and corporate debt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261.0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Time deposits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Agency bond</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government agency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Municipal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(2)</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Short-term trading securities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Mutual funds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Long-term available for sale</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Corporate debt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Agency bond</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43.3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government agency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Municipal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43.5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(3)</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Derivative contracts (4)</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1,545.3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agency discount notes, U.S. treasury bills, and other short-term securities.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1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three and nine months ended October 31, 2014.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08" w:right="239" w:bottom="1440" w:gutter="0" w:footer="0" w:header="0"/>
        </w:sectPr>
      </w:pPr>
    </w:p>
    <w:bookmarkStart w:id="10" w:name="page11"/>
    <w:bookmarkEnd w:id="10"/>
    <w:p>
      <w:pPr>
        <w:ind w:firstLine="405"/>
        <w:spacing w:after="0" w:line="255"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available for 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convertible debt securities and derivative contracts which are valued using probability weighted discounted cash flow models as some of the inputs to the models are unobservable in the market.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nine months ended October 31, 2014 was as follows:</w:t>
      </w:r>
    </w:p>
    <w:p>
      <w:pPr>
        <w:spacing w:after="0" w:line="379"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13335</wp:posOffset>
            </wp:positionV>
            <wp:extent cx="2607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9"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607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Derivative</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Convertible Debt</w:t>
            </w:r>
          </w:p>
        </w:tc>
        <w:tc>
          <w:tcPr>
            <w:tcW w:w="280" w:type="dxa"/>
            <w:vAlign w:val="bottom"/>
          </w:tcPr>
          <w:p>
            <w:pPr>
              <w:spacing w:after="0"/>
              <w:rPr>
                <w:sz w:val="14"/>
                <w:szCs w:val="14"/>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Contracts</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31, 2014</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Purchases</w:t>
            </w:r>
          </w:p>
        </w:tc>
        <w:tc>
          <w:tcPr>
            <w:tcW w:w="22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Net realized (losses)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(losses)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color w:val="auto"/>
              </w:rPr>
              <w:t>Balance at October 31, 2014</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October 31, 2014</w:t>
            </w:r>
          </w:p>
        </w:tc>
      </w:tr>
      <w:tr>
        <w:trPr>
          <w:trHeight w:val="264"/>
        </w:trPr>
        <w:tc>
          <w:tcPr>
            <w:tcW w:w="82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within 1 year</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512.2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512.3</w:t>
            </w: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4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Arial" w:cs="Arial" w:eastAsia="Arial" w:hAnsi="Arial"/>
                <w:sz w:val="16"/>
                <w:szCs w:val="16"/>
                <w:color w:val="auto"/>
              </w:rPr>
              <w:t>271.6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268.7</w:t>
            </w:r>
          </w:p>
        </w:tc>
      </w:tr>
      <w:tr>
        <w:trPr>
          <w:trHeight w:val="33"/>
        </w:trPr>
        <w:tc>
          <w:tcPr>
            <w:tcW w:w="8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783.8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781.0</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As of October 31, 2014 and January 31, 2014, Autodesk did not have any securities in a continuous unrealized loss position for greater than twelve months.</w:t>
      </w:r>
    </w:p>
    <w:p>
      <w:pPr>
        <w:spacing w:after="0" w:line="170"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Autodesk also has direct investments in privately held companies accounted for under the cost method, which are periodically assessed for other-than-temporary impairment. If Autodesk determines that an other-than-temporary impairment has occurred, Autodesk writes down the investment to its fair value. Autodesk estimates fair value of its cost method investments considering available information such as pricing in recent rounds of financing, current cash positions, earnings and cash flow forecasts, recent operational performance and any other readily available market data. During the nine months ended October 31, 2014, Autodesk recorded $3.4 million in other-than-temporary impairments on its privately held equity investments. During the nine months ended October 31, 2013, Autodesk recorded no other-than-temporary impairments on its privately held equity investments.</w:t>
      </w:r>
    </w:p>
    <w:p>
      <w:pPr>
        <w:spacing w:after="0" w:line="246"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The sales or redemptions of “available-for-sale securities” during the nine months ended October 31, 2014 and 2013 resulted in a gain of $0.7 million and a loss of $0.2 million, respectively. Gains and losses resulting from the sale or redemption of "available-for-sale securities" are recorded in “Interest and other (expense) income, net” on the Company's Condensed Consolidated Statement of Operations.</w:t>
      </w:r>
    </w:p>
    <w:p>
      <w:pPr>
        <w:spacing w:after="0" w:line="26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nine months ended October 31, 2014 and 2013 were $783.9 million and $725.0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denominated in euros, Japanese yen, Swiss francs, British pounds, Canadian dollars and Australian dollars. These instruments have maturities between one to twelve months in the future. Autodesk does not enter into derivative instrument transactions for trading or speculative purposes.</w:t>
      </w:r>
    </w:p>
    <w:p>
      <w:pPr>
        <w:spacing w:after="0" w:line="17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income, net” in the Company's Condensed Consolidated Financial Statements at that time.</w:t>
      </w:r>
    </w:p>
    <w:p>
      <w:pPr>
        <w:spacing w:after="0" w:line="179"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The net notional amounts of these contracts are presented net settled and were $401.0 million at October 31, 2014 and $351.7 million at January 31, 2014. Outstanding contracts are recognized as either assets or liabilities on the balance sheet at fair value. The majority of the net gain of $23.1 million remaining in “Accumulated other comprehensive (loss)” as of October 31, 2014 is expected to be recognized into earnings within the next twelve months.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Autodesk uses foreign currency contracts which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(expense) income,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$24.5 million at October 31, 2014 and $205.5 million at January 31, 2014.</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From time to time and consistent with its risk management practices, Autodesk also uses derivative instruments to hedge its economic exposure related to committed, in-process acquisitions priced in foreign currency. Such derivatives do not qualify for hedge accounting and are marked-to-market through earnings, with any gain or loss reflected immediately in “Interest and other (expense) income, net,” in each period.</w:t>
      </w:r>
    </w:p>
    <w:p>
      <w:pPr>
        <w:spacing w:after="0" w:line="181"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(expense) income, net.”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fair values of derivative instruments in Autodesk’s Condensed Consolidated Balance Sheets were as follows as of October 31, 2014 and January 31, 2014:</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2"/>
                <w:szCs w:val="22"/>
                <w:color w:val="auto"/>
              </w:rPr>
            </w:pPr>
          </w:p>
        </w:tc>
        <w:tc>
          <w:tcPr>
            <w:tcW w:w="2520" w:type="dxa"/>
            <w:vAlign w:val="bottom"/>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2014</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2014</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72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520" w:type="dxa"/>
            <w:vAlign w:val="bottom"/>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20" w:type="dxa"/>
            <w:vAlign w:val="bottom"/>
          </w:tcPr>
          <w:p>
            <w:pPr>
              <w:spacing w:after="0"/>
              <w:rPr>
                <w:sz w:val="17"/>
                <w:szCs w:val="17"/>
                <w:color w:val="auto"/>
              </w:rPr>
            </w:pPr>
          </w:p>
        </w:tc>
        <w:tc>
          <w:tcPr>
            <w:tcW w:w="2520" w:type="dxa"/>
            <w:vAlign w:val="bottom"/>
          </w:tcPr>
          <w:p>
            <w:pPr>
              <w:ind w:left="180"/>
              <w:spacing w:after="0"/>
              <w:rPr>
                <w:sz w:val="20"/>
                <w:szCs w:val="20"/>
                <w:color w:val="auto"/>
              </w:rPr>
            </w:pPr>
            <w:r>
              <w:rPr>
                <w:rFonts w:ascii="Arial" w:cs="Arial" w:eastAsia="Arial" w:hAnsi="Arial"/>
                <w:sz w:val="16"/>
                <w:szCs w:val="16"/>
                <w:color w:val="auto"/>
              </w:rPr>
              <w:t>assets (1)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720" w:type="dxa"/>
            <w:vAlign w:val="bottom"/>
            <w:shd w:val="clear" w:color="auto" w:fill="CCEEFF"/>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and Other assets</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84"/>
        </w:trPr>
        <w:tc>
          <w:tcPr>
            <w:tcW w:w="57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520" w:type="dxa"/>
            <w:vAlign w:val="bottom"/>
          </w:tcPr>
          <w:p>
            <w:pPr>
              <w:ind w:left="20"/>
              <w:spacing w:after="0"/>
              <w:rPr>
                <w:sz w:val="20"/>
                <w:szCs w:val="20"/>
                <w:color w:val="auto"/>
              </w:rPr>
            </w:pPr>
            <w:r>
              <w:rPr>
                <w:rFonts w:ascii="Arial" w:cs="Arial" w:eastAsia="Arial" w:hAnsi="Arial"/>
                <w:sz w:val="16"/>
                <w:szCs w:val="16"/>
                <w:color w:val="auto"/>
              </w:rPr>
              <w:t>Other accrued liabilities (2)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derivative liabilities</w:t>
            </w:r>
          </w:p>
        </w:tc>
        <w:tc>
          <w:tcPr>
            <w:tcW w:w="25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00" w:hanging="412"/>
        <w:spacing w:after="0" w:line="251"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Considering Autodesk's master netting arrangements, these contracts are presented net settled. The gross balance is $20.3 million and $5.9 million at October 31, 2014 and January 31, 2014, respectively.</w:t>
      </w:r>
    </w:p>
    <w:p>
      <w:pPr>
        <w:ind w:left="420" w:hanging="412"/>
        <w:spacing w:after="0" w:line="276"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6"/>
          <w:szCs w:val="16"/>
          <w:color w:val="auto"/>
        </w:rPr>
        <w:t>Considering Autodesk's master netting arrangements, these contracts are presented net settled. The gross balance is $3.6 million and $3.2 million at October 31, 2014 and January 31, 2014, respectively.</w:t>
      </w:r>
    </w:p>
    <w:p>
      <w:pPr>
        <w:spacing w:after="0" w:line="17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and nine months ended October 31, 2014 and 2013, respectively (amounts presented include any income tax effects):</w:t>
      </w:r>
    </w:p>
    <w:p>
      <w:pPr>
        <w:spacing w:after="0" w:line="324"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Foreign Currency</w:t>
      </w:r>
    </w:p>
    <w:p>
      <w:pPr>
        <w:spacing w:after="0" w:line="4"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520" w:type="dxa"/>
            <w:vAlign w:val="bottom"/>
            <w:gridSpan w:val="4"/>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October 31,</w:t>
            </w:r>
          </w:p>
        </w:tc>
        <w:tc>
          <w:tcPr>
            <w:tcW w:w="180" w:type="dxa"/>
            <w:vAlign w:val="bottom"/>
          </w:tcPr>
          <w:p>
            <w:pPr>
              <w:spacing w:after="0"/>
              <w:rPr>
                <w:sz w:val="16"/>
                <w:szCs w:val="16"/>
                <w:color w:val="auto"/>
              </w:rPr>
            </w:pPr>
          </w:p>
        </w:tc>
        <w:tc>
          <w:tcPr>
            <w:tcW w:w="15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264"/>
        </w:trPr>
        <w:tc>
          <w:tcPr>
            <w:tcW w:w="660" w:type="dxa"/>
            <w:vAlign w:val="bottom"/>
            <w:tcBorders>
              <w:bottom w:val="single" w:sz="8" w:color="CCEEFF"/>
            </w:tcBorders>
          </w:tcPr>
          <w:p>
            <w:pPr>
              <w:spacing w:after="0"/>
              <w:rPr>
                <w:sz w:val="22"/>
                <w:szCs w:val="22"/>
                <w:color w:val="auto"/>
              </w:rPr>
            </w:pPr>
          </w:p>
        </w:tc>
        <w:tc>
          <w:tcPr>
            <w:tcW w:w="72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5"/>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w w:val="87"/>
                <w:shd w:val="clear" w:color="auto" w:fill="CCEEFF"/>
              </w:rPr>
              <w:t>Amount o</w:t>
            </w: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i w:val="1"/>
                <w:iCs w:val="1"/>
                <w:color w:val="auto"/>
              </w:rPr>
              <w:t xml:space="preserve">f gain (loss) recognized </w:t>
            </w:r>
            <w:r>
              <w:rPr>
                <w:rFonts w:ascii="Arial" w:cs="Arial" w:eastAsia="Arial" w:hAnsi="Arial"/>
                <w:sz w:val="16"/>
                <w:szCs w:val="16"/>
                <w:i w:val="1"/>
                <w:iCs w:val="1"/>
                <w:color w:val="auto"/>
                <w:shd w:val="clear" w:color="auto" w:fill="CCEEFF"/>
              </w:rPr>
              <w:t>in accumulated other comprehensive income on derivatives (effective portion)</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i w:val="1"/>
                <w:iCs w:val="1"/>
                <w:color w:val="auto"/>
                <w:w w:val="95"/>
              </w:rPr>
              <w:t>Amount and location of gain (loss) reclassified from accumulated other comprehensive income into income (effective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900" w:type="dxa"/>
            <w:vAlign w:val="bottom"/>
            <w:gridSpan w:val="2"/>
          </w:tcPr>
          <w:p>
            <w:pPr>
              <w:ind w:left="200"/>
              <w:spacing w:after="0"/>
              <w:rPr>
                <w:sz w:val="20"/>
                <w:szCs w:val="20"/>
                <w:color w:val="auto"/>
              </w:rPr>
            </w:pPr>
            <w:r>
              <w:rPr>
                <w:rFonts w:ascii="Arial" w:cs="Arial" w:eastAsia="Arial" w:hAnsi="Arial"/>
                <w:sz w:val="16"/>
                <w:szCs w:val="16"/>
                <w:i w:val="1"/>
                <w:iCs w:val="1"/>
                <w:color w:val="auto"/>
              </w:rPr>
              <w:t>portion)</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0" w:type="dxa"/>
            <w:vAlign w:val="bottom"/>
            <w:tcBorders>
              <w:bottom w:val="single" w:sz="8" w:color="CCEEFF"/>
            </w:tcBorders>
            <w:shd w:val="clear" w:color="auto" w:fill="CCEEFF"/>
          </w:tcPr>
          <w:p>
            <w:pPr>
              <w:spacing w:after="0"/>
              <w:rPr>
                <w:sz w:val="22"/>
                <w:szCs w:val="22"/>
                <w:color w:val="auto"/>
              </w:rPr>
            </w:pPr>
          </w:p>
        </w:tc>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w w:val="94"/>
              </w:rPr>
              <w:t>Amount and location of gain (loss) recognized in income on derivatives (ineffective portion and amount excluded from</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900" w:type="dxa"/>
            <w:vAlign w:val="bottom"/>
            <w:gridSpan w:val="2"/>
          </w:tcPr>
          <w:p>
            <w:pPr>
              <w:ind w:left="200"/>
              <w:spacing w:after="0"/>
              <w:rPr>
                <w:sz w:val="20"/>
                <w:szCs w:val="20"/>
                <w:color w:val="auto"/>
              </w:rPr>
            </w:pPr>
            <w:r>
              <w:rPr>
                <w:rFonts w:ascii="Arial" w:cs="Arial" w:eastAsia="Arial" w:hAnsi="Arial"/>
                <w:sz w:val="16"/>
                <w:szCs w:val="16"/>
                <w:i w:val="1"/>
                <w:iCs w:val="1"/>
                <w:color w:val="auto"/>
              </w:rPr>
              <w:t>effectiveness testing)</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and other (expense) income, net</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The effects of derivatives not designated as hedging instruments on Autodesk’s Condensed Consolidated Statements of Operations were as follows for the three and nine months ended October 31, 2014 and 2013, respectively (amounts presented include any income tax effects):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68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October 31,</w:t>
            </w:r>
          </w:p>
        </w:tc>
        <w:tc>
          <w:tcPr>
            <w:tcW w:w="1680" w:type="dxa"/>
            <w:vAlign w:val="bottom"/>
            <w:gridSpan w:val="4"/>
          </w:tcPr>
          <w:p>
            <w:pPr>
              <w:ind w:left="500"/>
              <w:spacing w:after="0"/>
              <w:rPr>
                <w:sz w:val="20"/>
                <w:szCs w:val="20"/>
                <w:color w:val="auto"/>
              </w:rPr>
            </w:pPr>
            <w:r>
              <w:rPr>
                <w:rFonts w:ascii="Arial" w:cs="Arial" w:eastAsia="Arial" w:hAnsi="Arial"/>
                <w:sz w:val="14"/>
                <w:szCs w:val="14"/>
                <w:b w:val="1"/>
                <w:bCs w:val="1"/>
                <w:color w:val="auto"/>
              </w:rPr>
              <w:t>October 31,</w:t>
            </w:r>
          </w:p>
        </w:tc>
      </w:tr>
      <w:tr>
        <w:trPr>
          <w:trHeight w:val="263"/>
        </w:trPr>
        <w:tc>
          <w:tcPr>
            <w:tcW w:w="79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2013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i w:val="1"/>
                <w:iCs w:val="1"/>
                <w:color w:val="auto"/>
              </w:rPr>
              <w:t>Amount and location of (loss) gain recognized in income on derivatives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and other (expense) income,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(14.8)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4.9</w:t>
            </w:r>
          </w:p>
        </w:tc>
      </w:tr>
      <w:tr>
        <w:trPr>
          <w:trHeight w:val="33"/>
        </w:trPr>
        <w:tc>
          <w:tcPr>
            <w:tcW w:w="7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5. Stock-based Compensation Expense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Plans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As of October 31, 2014, Autodesk maintained two active stock plans for the purpose of granting equity awards to employees and to non-employee members of Autodesk’s Board of Directors: the 2012 Employee Stock Plan (“2012 Employee Plan”), which is available only to employees, and the Autodesk 2012 Outside Directors’ Plan (“2012 Directors' Plan”), which is available only to non-employee directors. Additionally, there are seven expired or terminated plans with options outstanding. The exercise price of all stock options granted under these plans was equal to the fair market value of the stock on the grant date.</w:t>
      </w:r>
    </w:p>
    <w:p>
      <w:pPr>
        <w:spacing w:after="0" w:line="188"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The 2012 Employee Plan was approved by Autodesk's stockholders and became effective on January 6, 2012. On January 14, 2014, Autodesk's stockholders approved amendments to the 2012 Employee Plan, which increased the number of shares reserved for issuance under the plan by 11.4 million shares and added additional performance goals to the plan. The 2012 Employee Plan replaced the 2008 Employee Stock Plan, as amended ("2008 Plan"), and no further equity awards may be granted under the 2008 Plan. The 2012 Employee Plan reserves up to 32.6 million shares which includes 26.6 million shares reserved under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October 31, 2014, 20.5 million shares subject to options or restricted stock unit awards have been granted under the 2012 Employee Plan. Options and restricted stock units that were granted under the 2012 Employee Plan vest over periods ranging from immediately upon grant to over a three-year period and options expire 10 years from the date of grant. The 2012 Employee Plan will expire on June 30, 2022. At October 31, 2014, 13.9 million shares were available for future issuance under the 2012 Employee Plan.</w:t>
      </w:r>
    </w:p>
    <w:p>
      <w:pPr>
        <w:spacing w:after="0" w:line="18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2012 Outside Directors' Plan ("2012 Directors' Plan") was approved by Autodesk's stockholders and became effective on January 6, 2012. The 2012 Directors' Plan replaced the 2010 Outside Directors' Stock Plan, as amended.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October 31, 2014, 0.6 million shares subject to restricted stock units have been granted under the 2012 Directors' Plan. Restricted stock units that were granted under the 2012 Directors' Plan vest over one to three years from the date of grant. The 2012 Directors' Plan reserved 2.6 million shares of Autodesk common stock. The 2012 Directors' Plan will expire on June 30, 2022. At October 31, 2014, 2.0 million shares were available for future issuance under the 2012 Directors' Plan.</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584" w:right="27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nine months ended October 31, 2014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average remaining</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exercise price per 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21"/>
                <w:szCs w:val="21"/>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January 31, 2014</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33.54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Granted (1)</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Canceled/Forfeited</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October 31, 2014</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3.2</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Options vested and exercisable at October 31, 2014</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CEEFF"/>
            </w:tcBorders>
            <w:vMerge w:val="continue"/>
          </w:tcPr>
          <w:p>
            <w:pPr>
              <w:spacing w:after="0"/>
              <w:rPr>
                <w:sz w:val="24"/>
                <w:szCs w:val="2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w:t>
            </w:r>
          </w:p>
        </w:tc>
        <w:tc>
          <w:tcPr>
            <w:tcW w:w="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33.44</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vested as of October 31, 2014 and expected to vest thereafter (2)</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3.2</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34.12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Options available for grant at October 31, 2014</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60" w:type="dxa"/>
            <w:vAlign w:val="bottom"/>
            <w:vMerge w:val="continue"/>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Autodesk did not grant stock options in the nine months ended October 31, 2014.</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Options expected to vest reflect an estimated forfeiture rate.</w:t>
      </w:r>
    </w:p>
    <w:p>
      <w:pPr>
        <w:spacing w:after="0" w:line="5" w:lineRule="exact"/>
        <w:rPr>
          <w:rFonts w:ascii="Arial" w:cs="Arial" w:eastAsia="Arial" w:hAnsi="Arial"/>
          <w:sz w:val="16"/>
          <w:szCs w:val="16"/>
          <w:color w:val="auto"/>
        </w:rPr>
      </w:pPr>
    </w:p>
    <w:p>
      <w:pPr>
        <w:ind w:left="420" w:right="120" w:hanging="412"/>
        <w:spacing w:after="0" w:line="257"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$57.54 per share as of October 31, 2014, which would have been received by the option holders had all option holders exercised their options as of that date.</w:t>
      </w:r>
    </w:p>
    <w:p>
      <w:pPr>
        <w:spacing w:after="0" w:line="18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October 31, 2014, compensation cost of $1.6 million related to non-vested options is expected to be recognized over a weighted average period of 0.4 years.</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table summarizes information about the pre-tax intrinsic value of options exercised and the weighted average grant date fair value per share of options granted during the three and nine months ended October 31, 2014 and 2013:</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9"/>
              </w:rPr>
              <w:t>Nine Months Ended</w:t>
            </w:r>
          </w:p>
        </w:tc>
        <w:tc>
          <w:tcPr>
            <w:tcW w:w="46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October 31, 2014</w:t>
            </w: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October 31, 2013</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 2014</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October 31, 2013</w:t>
            </w:r>
          </w:p>
        </w:tc>
      </w:tr>
      <w:tr>
        <w:trPr>
          <w:trHeight w:val="236"/>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intrinsic value of options exercised (1)</w:t>
            </w:r>
          </w:p>
        </w:tc>
        <w:tc>
          <w:tcPr>
            <w:tcW w:w="340" w:type="dxa"/>
            <w:vAlign w:val="bottom"/>
            <w:tcBorders>
              <w:top w:val="single" w:sz="8" w:color="auto"/>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jc w:val="right"/>
              <w:ind w:right="50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Weighted average grant date fair value per share of stock options granted (2)</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02"/>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9"/>
        </w:trPr>
        <w:tc>
          <w:tcPr>
            <w:tcW w:w="652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32" w:lineRule="exact"/>
        <w:rPr>
          <w:rFonts w:ascii="Arial" w:cs="Arial" w:eastAsia="Arial" w:hAnsi="Arial"/>
          <w:sz w:val="14"/>
          <w:szCs w:val="14"/>
          <w:color w:val="auto"/>
        </w:rPr>
      </w:pPr>
    </w:p>
    <w:p>
      <w:pPr>
        <w:ind w:left="420" w:right="220" w:hanging="412"/>
        <w:spacing w:after="0" w:line="257"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weighted average grant date fair value per share of stock options granted is calculated, as of the stock option grant date, using the Black-Scholes Merton ("BSM") option pricing model. For the three and nine months ended October 31, 2014 and 2013, Autodesk did not grant stock options.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color w:val="auto"/>
        </w:rPr>
        <w:t>The following table summarizes information about options outstanding and exercisable at October 31,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Options Vested and Exercisable</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96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intrinsic</w:t>
            </w: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6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life</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value (1)</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life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exercise</w:t>
            </w:r>
          </w:p>
        </w:tc>
        <w:tc>
          <w:tcPr>
            <w:tcW w:w="140" w:type="dxa"/>
            <w:vAlign w:val="bottom"/>
          </w:tcPr>
          <w:p>
            <w:pPr>
              <w:spacing w:after="0"/>
              <w:rPr>
                <w:sz w:val="12"/>
                <w:szCs w:val="12"/>
                <w:color w:val="auto"/>
              </w:rPr>
            </w:pPr>
          </w:p>
        </w:tc>
        <w:tc>
          <w:tcPr>
            <w:tcW w:w="96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4"/>
              </w:rPr>
              <w:t>value (1)</w:t>
            </w:r>
          </w:p>
        </w:tc>
        <w:tc>
          <w:tcPr>
            <w:tcW w:w="0" w:type="dxa"/>
            <w:vAlign w:val="bottom"/>
          </w:tcPr>
          <w:p>
            <w:pPr>
              <w:spacing w:after="0"/>
              <w:rPr>
                <w:sz w:val="1"/>
                <w:szCs w:val="1"/>
                <w:color w:val="auto"/>
              </w:rPr>
            </w:pPr>
          </w:p>
        </w:tc>
      </w:tr>
      <w:tr>
        <w:trPr>
          <w:trHeight w:val="192"/>
        </w:trPr>
        <w:tc>
          <w:tcPr>
            <w:tcW w:w="18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w:t>
            </w:r>
          </w:p>
        </w:tc>
        <w:tc>
          <w:tcPr>
            <w:tcW w:w="140" w:type="dxa"/>
            <w:vAlign w:val="bottom"/>
          </w:tcPr>
          <w:p>
            <w:pPr>
              <w:spacing w:after="0"/>
              <w:rPr>
                <w:sz w:val="16"/>
                <w:szCs w:val="16"/>
                <w:color w:val="auto"/>
              </w:rPr>
            </w:pPr>
          </w:p>
        </w:tc>
        <w:tc>
          <w:tcPr>
            <w:tcW w:w="960" w:type="dxa"/>
            <w:vAlign w:val="bottom"/>
          </w:tcPr>
          <w:p>
            <w:pPr>
              <w:jc w:val="center"/>
              <w:ind w:right="6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6"/>
        </w:trPr>
        <w:tc>
          <w:tcPr>
            <w:tcW w:w="1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per-share</w:t>
            </w: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exercise prices:</w:t>
            </w: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$2.28 - $29.49</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23.74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23.80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$29.50 - $41.62</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38.39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38.41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$42.39 - $43.81</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43.80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43.79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2.9</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34.12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0"/>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00" w:hanging="412"/>
        <w:spacing w:after="0" w:line="263"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$57.54 per share as of October 31, 2014, which would have been received by the option holders had all option holders exercised their options as of that date.</w:t>
      </w:r>
    </w:p>
    <w:p>
      <w:pPr>
        <w:sectPr>
          <w:pgSz w:w="11900" w:h="16838" w:orient="portrait"/>
          <w:cols w:equalWidth="0" w:num="1">
            <w:col w:w="11400"/>
          </w:cols>
          <w:pgMar w:left="240" w:top="584" w:right="259" w:bottom="1440" w:gutter="0" w:footer="0" w:header="0"/>
        </w:sectPr>
      </w:pP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These options will expire if not exercised at specific dates ranging through September 2022.</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restricted stock unit activity for the nine months ended October 31, 2014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1691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January 31, 2014</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91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915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October 31,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Unvested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9"/>
        </w:trPr>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Stock Units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4"/>
        </w:trPr>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80" w:type="dxa"/>
            <w:vAlign w:val="bottom"/>
          </w:tcPr>
          <w:p>
            <w:pPr>
              <w:jc w:val="right"/>
              <w:ind w:right="43"/>
              <w:spacing w:after="0"/>
              <w:rPr>
                <w:sz w:val="20"/>
                <w:szCs w:val="20"/>
                <w:color w:val="auto"/>
              </w:rPr>
            </w:pPr>
            <w:r>
              <w:rPr>
                <w:rFonts w:ascii="Arial" w:cs="Arial" w:eastAsia="Arial" w:hAnsi="Arial"/>
                <w:sz w:val="16"/>
                <w:szCs w:val="16"/>
                <w:color w:val="auto"/>
              </w:rPr>
              <w:t>6,515.6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39.15</w:t>
            </w:r>
          </w:p>
        </w:tc>
        <w:tc>
          <w:tcPr>
            <w:tcW w:w="0" w:type="dxa"/>
            <w:vAlign w:val="bottom"/>
          </w:tcPr>
          <w:p>
            <w:pPr>
              <w:spacing w:after="0"/>
              <w:rPr>
                <w:sz w:val="1"/>
                <w:szCs w:val="1"/>
                <w:color w:val="auto"/>
              </w:rPr>
            </w:pPr>
          </w:p>
        </w:tc>
      </w:tr>
      <w:tr>
        <w:trPr>
          <w:trHeight w:val="270"/>
        </w:trPr>
        <w:tc>
          <w:tcPr>
            <w:tcW w:w="1480" w:type="dxa"/>
            <w:vAlign w:val="bottom"/>
          </w:tcPr>
          <w:p>
            <w:pPr>
              <w:jc w:val="right"/>
              <w:ind w:right="43"/>
              <w:spacing w:after="0"/>
              <w:rPr>
                <w:sz w:val="20"/>
                <w:szCs w:val="20"/>
                <w:color w:val="auto"/>
              </w:rPr>
            </w:pPr>
            <w:r>
              <w:rPr>
                <w:rFonts w:ascii="Arial" w:cs="Arial" w:eastAsia="Arial" w:hAnsi="Arial"/>
                <w:sz w:val="16"/>
                <w:szCs w:val="16"/>
                <w:color w:val="auto"/>
              </w:rPr>
              <w:t>3,572.0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52.89</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(2,062.5)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38.10</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(380.7)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40.53</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42.23</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480" w:type="dxa"/>
            <w:vAlign w:val="bottom"/>
          </w:tcPr>
          <w:p>
            <w:pPr>
              <w:jc w:val="right"/>
              <w:ind w:right="43"/>
              <w:spacing w:after="0"/>
              <w:rPr>
                <w:sz w:val="20"/>
                <w:szCs w:val="20"/>
                <w:color w:val="auto"/>
              </w:rPr>
            </w:pPr>
            <w:r>
              <w:rPr>
                <w:rFonts w:ascii="Arial" w:cs="Arial" w:eastAsia="Arial" w:hAnsi="Arial"/>
                <w:sz w:val="16"/>
                <w:szCs w:val="16"/>
                <w:color w:val="auto"/>
              </w:rPr>
              <w:t>7,569.7</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45.96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9436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7740" w:space="520"/>
            <w:col w:w="3140"/>
          </w:cols>
          <w:pgMar w:left="240" w:top="584" w:right="25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-130175</wp:posOffset>
            </wp:positionV>
            <wp:extent cx="943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 w:lineRule="exact"/>
        <w:rPr>
          <w:sz w:val="20"/>
          <w:szCs w:val="20"/>
          <w:color w:val="auto"/>
        </w:rPr>
      </w:pPr>
    </w:p>
    <w:p>
      <w:pPr>
        <w:ind w:left="420" w:right="120" w:hanging="412"/>
        <w:spacing w:after="0" w:line="263"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Autodesk's financial results for both the fiscal 2013 and 2014 performance period. The performance stock units were earned at 92.3% and 65.8% of the target award for granted in fiscal 2013 and fiscal 2014, respectively.</w:t>
      </w:r>
    </w:p>
    <w:p>
      <w:pPr>
        <w:spacing w:after="0" w:line="17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For the restricted stock units granted during the nine months ended October 31, 2014 and 2013, the weighted average grant date fair value was $52.89 and $40.64, respectively. The grant date fair value of the shares vested during the nine months ended October 31, 2014 and 2013 was $78.6 million and $49.0 million, respectively.</w:t>
      </w:r>
    </w:p>
    <w:p>
      <w:pPr>
        <w:spacing w:after="0" w:line="18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During the nine months ended October 31, 2014, Autodesk granted 3.1 million restricted stock units. The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primarily expensed ratably over the vesting period. Autodesk recorded stock-based compensation expense related to restricted stock units of $31.2 million and $82.1 million during the three and nine months ended October 31, 2014, respectively. Autodesk recorded stock-based compensation expense related to restricted stock units of $18.8 million and $52.4 million during the three and nine months ended October 31, 2013, respectively. As of October 31, 2014, total compensation cost not yet recognized of $236.2 million related to non-vested restricted stock units is expected to be recognized over a weighted average period of 1.9 years. At October 31, 2014, the number of restricted stock units granted but unvested was 6.7 million.</w:t>
      </w:r>
    </w:p>
    <w:p>
      <w:pPr>
        <w:spacing w:after="0" w:line="166"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During the nine months ended October 31, 2014, Autodesk granted 0.5 million performance restricted stock units (“PSUs”) for which the ultimate number of shares earned is determined based on the achievement of performance criteria at the end of the stated service and performance period. The performance criteria for these grants are based upon billings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type w:val="continuous"/>
        </w:sectPr>
      </w:pPr>
    </w:p>
    <w:bookmarkStart w:id="16" w:name="page17"/>
    <w:bookmarkEnd w:id="16"/>
    <w:p>
      <w:pPr>
        <w:ind w:right="120"/>
        <w:spacing w:after="0" w:line="277" w:lineRule="auto"/>
        <w:rPr>
          <w:sz w:val="20"/>
          <w:szCs w:val="20"/>
          <w:color w:val="auto"/>
        </w:rPr>
      </w:pPr>
      <w:r>
        <w:rPr>
          <w:rFonts w:ascii="Arial" w:cs="Arial" w:eastAsia="Arial" w:hAnsi="Arial"/>
          <w:sz w:val="18"/>
          <w:szCs w:val="18"/>
          <w:color w:val="auto"/>
        </w:rPr>
        <w:t>subscriptions goals adopted by the Compensation and Human Resource Committee, as well as total stockholder return compared against the S&amp;P Computer Software Select Index (“Relative TSR”). Each PSU covers a three year period:</w:t>
      </w:r>
    </w:p>
    <w:p>
      <w:pPr>
        <w:spacing w:after="0" w:line="170" w:lineRule="exact"/>
        <w:rPr>
          <w:sz w:val="20"/>
          <w:szCs w:val="20"/>
          <w:color w:val="auto"/>
        </w:rPr>
      </w:pPr>
    </w:p>
    <w:p>
      <w:pPr>
        <w:ind w:left="660" w:right="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one depending upon the achievement of the billings and subscriptions goals for year one as well as 1 year Relative TSR (covering year one).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two depending upon the achievement of the billings and subscriptions goals for year two as well as 2 year Relative TSR (covering years one and two).</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three depending upon the achievement of the billings and subscriptions goals for year three as well as 3 year Relative TSR (covering years one, two and three).</w:t>
      </w:r>
    </w:p>
    <w:p>
      <w:pPr>
        <w:spacing w:after="0" w:line="17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PSUs are not considered outstanding stock at the time of grant, as the holders of these units are not entitled to any of the rights of a stockholder, including voting rights. Autodesk has determined the grant-date fair value for these awards using a Monte Carlo simulation model since the awards are subject to a market condition. The fair value of the PSUs is expensed using the accelerated attribution over the vesting period. Autodesk recorded stock-based compensation expense related to PSUs of $4.9 million and $12.7 million for the three and nine months ended October 31, 2014, respectively. Autodesk recorded stock-based compensation expense related to PSUs of $2.1 million and $6.9 million during the three and nine months ended October 31, 2013, respectively. As of October 31, 2014, total compensation cost not yet recognized of $7.0 million related to non-vested performance restricted stock units, is expected to be recognized over a weighted average period of 1.0 year. At October 31, 2014, the number of PSUs granted but not vested was 0.9 million.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(“ESPP”)</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Under Autodesk’s ESPP, which was approved by stockholders in 1998, eligible employees may purchase shares of Autodesk’s common stock at their discretion using up to 15% of their eligible compensation subject to certain limitations, at no less than 85% of fair market value as defined in the ESPP. At October 31, 2014, a total of 36.0 million shares were available for future issuance. This amount automatically increases on the first trading day of each fiscal year by an amount equal to the lesser of 10.0 million shares or 2% of the total of (1) outstanding shares plus (2) any shares repurchased by Autodesk during the prior fiscal year. Under the ESPP, the Company issues shares on the first trading day following March 31 and September 30 of each fiscal year. The ESPP expires during fiscal 2018.</w:t>
      </w:r>
    </w:p>
    <w:p>
      <w:pPr>
        <w:spacing w:after="0" w:line="19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Autodesk issued 1.0 million and 2.1 million shares under the ESPP during the three and nine months ended October 31, 2014, with an average price of $34.19 and $33.91 per share, respectively. During the three and nine months ended October 31, 2013, Autodesk issued 1.4 million and 2.9 million shares under the ESPP, at an average price of $22.95 and $22.61 per share, respectively. The weighted average grant date fair value of awards granted under the ESPP was $15.44 and $15.14 during the three and nine months ended October 31, 2014, respectively, calculated as of the award grant date using the BSM option pricing model. The weighted average grant date fair value of awards granted under the ESPP during both the three and nine months ended October 31, 2013, calculated as of the award grant date using the BSM option pricing model, was $11.80 per share.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584" w:right="27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summarizes stock-based compensation expense for the three and nine months ended October 31, 2014 and 2013, respectively,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license and 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Marketing and sales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General and administrative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 expense related to stock awards and ESPP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 benefit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 related to stock awards and ESPP purchases,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license and other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Marketing and sales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General and administrative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 expense related to stock awards and ESPP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 benefit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 related to stock awards and ESPP purchases, net of tax</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64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Three Months Ended</w:t>
            </w:r>
          </w:p>
        </w:tc>
      </w:tr>
      <w:tr>
        <w:trPr>
          <w:trHeight w:val="192"/>
        </w:trPr>
        <w:tc>
          <w:tcPr>
            <w:tcW w:w="20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October 31, 2014</w:t>
            </w:r>
          </w:p>
        </w:tc>
        <w:tc>
          <w:tcPr>
            <w:tcW w:w="160" w:type="dxa"/>
            <w:vAlign w:val="bottom"/>
          </w:tcPr>
          <w:p>
            <w:pPr>
              <w:spacing w:after="0"/>
              <w:rPr>
                <w:sz w:val="16"/>
                <w:szCs w:val="16"/>
                <w:color w:val="auto"/>
              </w:rPr>
            </w:pPr>
          </w:p>
        </w:tc>
        <w:tc>
          <w:tcPr>
            <w:tcW w:w="1640" w:type="dxa"/>
            <w:vAlign w:val="bottom"/>
          </w:tcPr>
          <w:p>
            <w:pPr>
              <w:jc w:val="center"/>
              <w:ind w:right="81"/>
              <w:spacing w:after="0"/>
              <w:rPr>
                <w:sz w:val="20"/>
                <w:szCs w:val="20"/>
                <w:color w:val="auto"/>
              </w:rPr>
            </w:pPr>
            <w:r>
              <w:rPr>
                <w:rFonts w:ascii="Arial" w:cs="Arial" w:eastAsia="Arial" w:hAnsi="Arial"/>
                <w:sz w:val="14"/>
                <w:szCs w:val="14"/>
                <w:b w:val="1"/>
                <w:bCs w:val="1"/>
                <w:color w:val="auto"/>
                <w:w w:val="92"/>
              </w:rPr>
              <w:t>October 31, 2013</w:t>
            </w:r>
          </w:p>
        </w:tc>
      </w:tr>
      <w:tr>
        <w:trPr>
          <w:trHeight w:val="223"/>
        </w:trPr>
        <w:tc>
          <w:tcPr>
            <w:tcW w:w="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0.9</w:t>
            </w:r>
          </w:p>
        </w:tc>
      </w:tr>
      <w:tr>
        <w:trPr>
          <w:trHeight w:val="270"/>
        </w:trPr>
        <w:tc>
          <w:tcPr>
            <w:tcW w:w="200" w:type="dxa"/>
            <w:vAlign w:val="bottom"/>
          </w:tcPr>
          <w:p>
            <w:pPr>
              <w:spacing w:after="0"/>
              <w:rPr>
                <w:sz w:val="23"/>
                <w:szCs w:val="23"/>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0.5</w:t>
            </w:r>
          </w:p>
        </w:tc>
      </w:tr>
      <w:tr>
        <w:trPr>
          <w:trHeight w:val="270"/>
        </w:trPr>
        <w:tc>
          <w:tcPr>
            <w:tcW w:w="200" w:type="dxa"/>
            <w:vAlign w:val="bottom"/>
          </w:tcPr>
          <w:p>
            <w:pPr>
              <w:spacing w:after="0"/>
              <w:rPr>
                <w:sz w:val="23"/>
                <w:szCs w:val="23"/>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14.5</w:t>
            </w:r>
          </w:p>
        </w:tc>
      </w:tr>
      <w:tr>
        <w:trPr>
          <w:trHeight w:val="270"/>
        </w:trPr>
        <w:tc>
          <w:tcPr>
            <w:tcW w:w="200" w:type="dxa"/>
            <w:vAlign w:val="bottom"/>
          </w:tcPr>
          <w:p>
            <w:pPr>
              <w:spacing w:after="0"/>
              <w:rPr>
                <w:sz w:val="23"/>
                <w:szCs w:val="23"/>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10.2</w:t>
            </w:r>
          </w:p>
        </w:tc>
      </w:tr>
      <w:tr>
        <w:trPr>
          <w:trHeight w:val="270"/>
        </w:trPr>
        <w:tc>
          <w:tcPr>
            <w:tcW w:w="200" w:type="dxa"/>
            <w:vAlign w:val="bottom"/>
          </w:tcPr>
          <w:p>
            <w:pPr>
              <w:spacing w:after="0"/>
              <w:rPr>
                <w:sz w:val="23"/>
                <w:szCs w:val="23"/>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5.5</w:t>
            </w:r>
          </w:p>
        </w:tc>
      </w:tr>
      <w:tr>
        <w:trPr>
          <w:trHeight w:val="33"/>
        </w:trPr>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spacing w:after="0"/>
              <w:rPr>
                <w:sz w:val="18"/>
                <w:szCs w:val="18"/>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31.6</w:t>
            </w:r>
          </w:p>
        </w:tc>
      </w:tr>
      <w:tr>
        <w:trPr>
          <w:trHeight w:val="270"/>
        </w:trPr>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33"/>
        </w:trPr>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22.0</w:t>
            </w:r>
          </w:p>
        </w:tc>
      </w:tr>
      <w:tr>
        <w:trPr>
          <w:trHeight w:val="33"/>
        </w:trPr>
        <w:tc>
          <w:tcPr>
            <w:tcW w:w="18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1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363"/>
        </w:trPr>
        <w:tc>
          <w:tcPr>
            <w:tcW w:w="1960" w:type="dxa"/>
            <w:vAlign w:val="bottom"/>
            <w:gridSpan w:val="3"/>
          </w:tcPr>
          <w:p>
            <w:pPr>
              <w:ind w:left="40"/>
              <w:spacing w:after="0"/>
              <w:rPr>
                <w:sz w:val="20"/>
                <w:szCs w:val="20"/>
                <w:color w:val="auto"/>
              </w:rPr>
            </w:pPr>
            <w:r>
              <w:rPr>
                <w:rFonts w:ascii="Arial" w:cs="Arial" w:eastAsia="Arial" w:hAnsi="Arial"/>
                <w:sz w:val="14"/>
                <w:szCs w:val="14"/>
                <w:b w:val="1"/>
                <w:bCs w:val="1"/>
                <w:color w:val="auto"/>
              </w:rPr>
              <w:t>Nine Months Ended October</w:t>
            </w:r>
          </w:p>
        </w:tc>
        <w:tc>
          <w:tcPr>
            <w:tcW w:w="160" w:type="dxa"/>
            <w:vAlign w:val="bottom"/>
          </w:tcPr>
          <w:p>
            <w:pPr>
              <w:spacing w:after="0"/>
              <w:rPr>
                <w:sz w:val="24"/>
                <w:szCs w:val="24"/>
                <w:color w:val="auto"/>
              </w:rPr>
            </w:pPr>
          </w:p>
        </w:tc>
        <w:tc>
          <w:tcPr>
            <w:tcW w:w="164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1"/>
              </w:rPr>
              <w:t>31, 2014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2"/>
              </w:rPr>
              <w:t>October 31, 2013</w:t>
            </w:r>
          </w:p>
        </w:tc>
      </w:tr>
      <w:tr>
        <w:trPr>
          <w:trHeight w:val="223"/>
        </w:trPr>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2.7</w:t>
            </w:r>
          </w:p>
        </w:tc>
      </w:tr>
      <w:tr>
        <w:trPr>
          <w:trHeight w:val="270"/>
        </w:trPr>
        <w:tc>
          <w:tcPr>
            <w:tcW w:w="200" w:type="dxa"/>
            <w:vAlign w:val="bottom"/>
          </w:tcPr>
          <w:p>
            <w:pPr>
              <w:spacing w:after="0"/>
              <w:rPr>
                <w:sz w:val="23"/>
                <w:szCs w:val="23"/>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1.6</w:t>
            </w:r>
          </w:p>
        </w:tc>
      </w:tr>
      <w:tr>
        <w:trPr>
          <w:trHeight w:val="270"/>
        </w:trPr>
        <w:tc>
          <w:tcPr>
            <w:tcW w:w="200" w:type="dxa"/>
            <w:vAlign w:val="bottom"/>
          </w:tcPr>
          <w:p>
            <w:pPr>
              <w:spacing w:after="0"/>
              <w:rPr>
                <w:sz w:val="23"/>
                <w:szCs w:val="23"/>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42.5</w:t>
            </w:r>
          </w:p>
        </w:tc>
      </w:tr>
      <w:tr>
        <w:trPr>
          <w:trHeight w:val="270"/>
        </w:trPr>
        <w:tc>
          <w:tcPr>
            <w:tcW w:w="200" w:type="dxa"/>
            <w:vAlign w:val="bottom"/>
          </w:tcPr>
          <w:p>
            <w:pPr>
              <w:spacing w:after="0"/>
              <w:rPr>
                <w:sz w:val="23"/>
                <w:szCs w:val="23"/>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31.3</w:t>
            </w:r>
          </w:p>
        </w:tc>
      </w:tr>
      <w:tr>
        <w:trPr>
          <w:trHeight w:val="270"/>
        </w:trPr>
        <w:tc>
          <w:tcPr>
            <w:tcW w:w="200" w:type="dxa"/>
            <w:vAlign w:val="bottom"/>
          </w:tcPr>
          <w:p>
            <w:pPr>
              <w:spacing w:after="0"/>
              <w:rPr>
                <w:sz w:val="23"/>
                <w:szCs w:val="23"/>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18.0</w:t>
            </w:r>
          </w:p>
        </w:tc>
      </w:tr>
      <w:tr>
        <w:trPr>
          <w:trHeight w:val="33"/>
        </w:trPr>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spacing w:after="0"/>
              <w:rPr>
                <w:sz w:val="18"/>
                <w:szCs w:val="18"/>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96.1</w:t>
            </w:r>
          </w:p>
        </w:tc>
      </w:tr>
      <w:tr>
        <w:trPr>
          <w:trHeight w:val="270"/>
        </w:trPr>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69.1</w:t>
            </w:r>
          </w:p>
        </w:tc>
      </w:tr>
      <w:tr>
        <w:trPr>
          <w:trHeight w:val="33"/>
        </w:trPr>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760"/>
          </w:cols>
          <w:pgMar w:left="240" w:top="584"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84" w:right="239" w:bottom="1440" w:gutter="0" w:footer="0" w:header="0"/>
          <w:type w:val="continuous"/>
        </w:sectPr>
      </w:pPr>
    </w:p>
    <w:bookmarkStart w:id="18" w:name="page19"/>
    <w:bookmarkEnd w:id="18"/>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Autodesk determines the grant-date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utilizes multiple input variables to estimate the probability that market conditions will be achieved. Autodesk uses the following assumptions to estimate the fair value of stock-based awards: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3"/>
          </w:tcPr>
          <w:p>
            <w:pPr>
              <w:jc w:val="center"/>
              <w:ind w:right="41"/>
              <w:spacing w:after="0"/>
              <w:rPr>
                <w:sz w:val="20"/>
                <w:szCs w:val="20"/>
                <w:color w:val="auto"/>
              </w:rPr>
            </w:pPr>
            <w:r>
              <w:rPr>
                <w:rFonts w:ascii="Arial" w:cs="Arial" w:eastAsia="Arial" w:hAnsi="Arial"/>
                <w:sz w:val="14"/>
                <w:szCs w:val="14"/>
                <w:b w:val="1"/>
                <w:bCs w:val="1"/>
                <w:color w:val="auto"/>
                <w:w w:val="94"/>
              </w:rPr>
              <w:t>Three Months Ended October 31, 2014</w:t>
            </w:r>
          </w:p>
        </w:tc>
        <w:tc>
          <w:tcPr>
            <w:tcW w:w="120" w:type="dxa"/>
            <w:vAlign w:val="bottom"/>
          </w:tcPr>
          <w:p>
            <w:pPr>
              <w:spacing w:after="0"/>
              <w:rPr>
                <w:sz w:val="16"/>
                <w:szCs w:val="16"/>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October 31, 2013</w:t>
            </w: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4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ESPP</w:t>
            </w:r>
          </w:p>
        </w:tc>
        <w:tc>
          <w:tcPr>
            <w:tcW w:w="120" w:type="dxa"/>
            <w:vAlign w:val="bottom"/>
            <w:vMerge w:val="restart"/>
          </w:tcPr>
          <w:p>
            <w:pPr>
              <w:spacing w:after="0"/>
              <w:rPr>
                <w:sz w:val="13"/>
                <w:szCs w:val="13"/>
                <w:color w:val="auto"/>
              </w:rPr>
            </w:pPr>
          </w:p>
        </w:tc>
        <w:tc>
          <w:tcPr>
            <w:tcW w:w="15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3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Unit (1)</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Unit (1)</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29 - 30%</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30 - 35%</w:t>
            </w:r>
          </w:p>
        </w:tc>
        <w:tc>
          <w:tcPr>
            <w:tcW w:w="0" w:type="dxa"/>
            <w:vAlign w:val="bottom"/>
          </w:tcPr>
          <w:p>
            <w:pPr>
              <w:spacing w:after="0"/>
              <w:rPr>
                <w:sz w:val="1"/>
                <w:szCs w:val="1"/>
                <w:color w:val="auto"/>
              </w:rPr>
            </w:pPr>
          </w:p>
        </w:tc>
      </w:tr>
      <w:tr>
        <w:trPr>
          <w:trHeight w:val="237"/>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Range of expected lives (in years)</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w:t>
            </w:r>
          </w:p>
        </w:tc>
        <w:tc>
          <w:tcPr>
            <w:tcW w:w="1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Range of risk-free interest rates</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0.0 - 0.6%</w:t>
            </w:r>
          </w:p>
        </w:tc>
        <w:tc>
          <w:tcPr>
            <w:tcW w:w="12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300" w:type="dxa"/>
            <w:vAlign w:val="bottom"/>
          </w:tcPr>
          <w:p>
            <w:pPr>
              <w:jc w:val="center"/>
              <w:spacing w:after="0"/>
              <w:rPr>
                <w:sz w:val="20"/>
                <w:szCs w:val="20"/>
                <w:color w:val="auto"/>
              </w:rPr>
            </w:pPr>
            <w:r>
              <w:rPr>
                <w:rFonts w:ascii="Arial" w:cs="Arial" w:eastAsia="Arial" w:hAnsi="Arial"/>
                <w:sz w:val="16"/>
                <w:szCs w:val="16"/>
                <w:color w:val="auto"/>
                <w:w w:val="90"/>
              </w:rPr>
              <w:t>0.1 - 0.4%</w:t>
            </w:r>
          </w:p>
        </w:tc>
        <w:tc>
          <w:tcPr>
            <w:tcW w:w="0" w:type="dxa"/>
            <w:vAlign w:val="bottom"/>
          </w:tcPr>
          <w:p>
            <w:pPr>
              <w:spacing w:after="0"/>
              <w:rPr>
                <w:sz w:val="1"/>
                <w:szCs w:val="1"/>
                <w:color w:val="auto"/>
              </w:rPr>
            </w:pPr>
          </w:p>
        </w:tc>
      </w:tr>
      <w:tr>
        <w:trPr>
          <w:trHeight w:val="297"/>
        </w:trPr>
        <w:tc>
          <w:tcPr>
            <w:tcW w:w="4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3"/>
          </w:tcPr>
          <w:p>
            <w:pPr>
              <w:jc w:val="center"/>
              <w:ind w:right="41"/>
              <w:spacing w:after="0"/>
              <w:rPr>
                <w:sz w:val="20"/>
                <w:szCs w:val="20"/>
                <w:color w:val="auto"/>
              </w:rPr>
            </w:pPr>
            <w:r>
              <w:rPr>
                <w:rFonts w:ascii="Arial" w:cs="Arial" w:eastAsia="Arial" w:hAnsi="Arial"/>
                <w:sz w:val="14"/>
                <w:szCs w:val="14"/>
                <w:b w:val="1"/>
                <w:bCs w:val="1"/>
                <w:color w:val="auto"/>
                <w:w w:val="94"/>
              </w:rPr>
              <w:t>Nine Months Ended October 31, 2014</w:t>
            </w:r>
          </w:p>
        </w:tc>
        <w:tc>
          <w:tcPr>
            <w:tcW w:w="120" w:type="dxa"/>
            <w:vAlign w:val="bottom"/>
          </w:tcPr>
          <w:p>
            <w:pPr>
              <w:spacing w:after="0"/>
              <w:rPr>
                <w:sz w:val="24"/>
                <w:szCs w:val="24"/>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Nine Months Ended October 31, 2013</w:t>
            </w: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5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ESPP</w:t>
            </w:r>
          </w:p>
        </w:tc>
        <w:tc>
          <w:tcPr>
            <w:tcW w:w="15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3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Unit</w:t>
            </w:r>
          </w:p>
        </w:tc>
        <w:tc>
          <w:tcPr>
            <w:tcW w:w="1520" w:type="dxa"/>
            <w:vAlign w:val="bottom"/>
            <w:gridSpan w:val="2"/>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Unit</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15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29 - 33%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27 - 36%</w:t>
            </w:r>
          </w:p>
        </w:tc>
        <w:tc>
          <w:tcPr>
            <w:tcW w:w="0" w:type="dxa"/>
            <w:vAlign w:val="bottom"/>
          </w:tcPr>
          <w:p>
            <w:pPr>
              <w:spacing w:after="0"/>
              <w:rPr>
                <w:sz w:val="1"/>
                <w:szCs w:val="1"/>
                <w:color w:val="auto"/>
              </w:rPr>
            </w:pPr>
          </w:p>
        </w:tc>
      </w:tr>
      <w:tr>
        <w:trPr>
          <w:trHeight w:val="237"/>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Range of expected lives (in years)</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w:t>
            </w:r>
          </w:p>
        </w:tc>
        <w:tc>
          <w:tcPr>
            <w:tcW w:w="1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w:t>
            </w: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Range of risk-free interest rates</w:t>
            </w:r>
          </w:p>
        </w:tc>
        <w:tc>
          <w:tcPr>
            <w:tcW w:w="1520" w:type="dxa"/>
            <w:vAlign w:val="bottom"/>
          </w:tcPr>
          <w:p>
            <w:pPr>
              <w:jc w:val="center"/>
              <w:spacing w:after="0"/>
              <w:rPr>
                <w:sz w:val="20"/>
                <w:szCs w:val="20"/>
                <w:color w:val="auto"/>
              </w:rPr>
            </w:pPr>
            <w:r>
              <w:rPr>
                <w:rFonts w:ascii="Arial" w:cs="Arial" w:eastAsia="Arial" w:hAnsi="Arial"/>
                <w:sz w:val="16"/>
                <w:szCs w:val="16"/>
                <w:color w:val="auto"/>
                <w:w w:val="87"/>
              </w:rPr>
              <w:t>0.1%</w:t>
            </w:r>
          </w:p>
        </w:tc>
        <w:tc>
          <w:tcPr>
            <w:tcW w:w="1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0.0 - 0.6%</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0"/>
              </w:rPr>
              <w:t>0.1 - 0.4%</w:t>
            </w:r>
          </w:p>
        </w:tc>
        <w:tc>
          <w:tcPr>
            <w:tcW w:w="0" w:type="dxa"/>
            <w:vAlign w:val="bottom"/>
          </w:tcPr>
          <w:p>
            <w:pPr>
              <w:spacing w:after="0"/>
              <w:rPr>
                <w:sz w:val="1"/>
                <w:szCs w:val="1"/>
                <w:color w:val="auto"/>
              </w:rPr>
            </w:pPr>
          </w:p>
        </w:tc>
      </w:tr>
      <w:tr>
        <w:trPr>
          <w:trHeight w:val="226"/>
        </w:trPr>
        <w:tc>
          <w:tcPr>
            <w:tcW w:w="4820" w:type="dxa"/>
            <w:vAlign w:val="bottom"/>
          </w:tcPr>
          <w:p>
            <w:pPr>
              <w:ind w:left="40"/>
              <w:spacing w:after="0"/>
              <w:rPr>
                <w:sz w:val="20"/>
                <w:szCs w:val="20"/>
                <w:color w:val="auto"/>
              </w:rPr>
            </w:pPr>
            <w:r>
              <w:rPr>
                <w:rFonts w:ascii="Arial" w:cs="Arial" w:eastAsia="Arial" w:hAnsi="Arial"/>
                <w:sz w:val="16"/>
                <w:szCs w:val="16"/>
                <w:color w:val="auto"/>
              </w:rPr>
              <w:t>_______________</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Autodesk did not grant PSUs in the three months ended October 31, 2014 and 2013 that were subject to market conditions.</w:t>
      </w:r>
    </w:p>
    <w:p>
      <w:pPr>
        <w:spacing w:after="0" w:line="20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 The expected volatility for PSUs subject to market conditions includes the expected volatility of Autodesk's peer companies within the S&amp;P Computer Software Select Index.</w:t>
      </w:r>
    </w:p>
    <w:p>
      <w:pPr>
        <w:spacing w:after="0" w:line="1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Black-Scholes-Merton option pricing model and the Monte Carlo simulation model.</w:t>
      </w:r>
    </w:p>
    <w:p>
      <w:pPr>
        <w:spacing w:after="0" w:line="17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risk-free interest rate used in the Black-Scholes-Merton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w:t>
      </w:r>
    </w:p>
    <w:p>
      <w:pPr>
        <w:spacing w:after="0" w:line="225"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Autodesk’s effective tax rate was 8% and 22% during the three and nine months ended October 31, 2014, respectively, compared to 17% and 22% during the three and nine months ended October 31, 2013, respectively. Autodesk's effective tax rate decreased 9% during the three months ended October 31, 2014 as compared to the same period in the prior fiscal year primarily due to greater tax rate benefits from foreign earnings, stock-based compensation expense and true-up of prior year U.S. foreign tax credits, partially offset by tax rate detriments from accrual for uncertain tax positions, tax impact of an increase in the forecasted annual rate from the previous quarter and expiration of the federal research and development tax credit provisions.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800" w:right="259" w:bottom="1440" w:gutter="0" w:footer="0" w:header="0"/>
        </w:sectPr>
      </w:pPr>
    </w:p>
    <w:bookmarkStart w:id="19" w:name="page20"/>
    <w:bookmarkEnd w:id="19"/>
    <w:p>
      <w:pPr>
        <w:ind w:right="120"/>
        <w:spacing w:after="0" w:line="255" w:lineRule="auto"/>
        <w:rPr>
          <w:sz w:val="20"/>
          <w:szCs w:val="20"/>
          <w:color w:val="auto"/>
        </w:rPr>
      </w:pPr>
      <w:r>
        <w:rPr>
          <w:rFonts w:ascii="Arial" w:cs="Arial" w:eastAsia="Arial" w:hAnsi="Arial"/>
          <w:sz w:val="18"/>
          <w:szCs w:val="18"/>
          <w:color w:val="auto"/>
        </w:rPr>
        <w:t>Autodesk's effective tax rate remained flat during the nine months ended October 31, 2014 as compared to the same period in the prior fiscal year primarily due to greater tax rate benefits from foreign earnings and true-up of prior year U.S. foreign tax credits, offset by tax rate detriments from stock-based compensation expense, accrual for uncertain tax positions and expiration of the federal research and development tax credit provision. Excluding the impact of discrete tax items, the effective tax rate for each of the three and nine month periods ended October 31, 2014 was 31%, and was lower than the Federal statutory tax rate of 35% primarily due to foreign income taxed at lower rates partially offset by the impact of non-deductible stock based compensation expense and an accrual for uncertain tax positions.</w:t>
      </w:r>
    </w:p>
    <w:p>
      <w:pPr>
        <w:spacing w:after="0" w:line="193"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As of October 31, 2014, the Company had $236.7 million of gross unrecognized tax benefits, excluding interest, of which approximately $230.6 million represents the amount of unrecognized tax benefits that would impact the effective tax rate, if recognized. It is possible that the amount of unrecognized tax benefits will change in the next twelve months; however, an estimate of the range of the possible change cannot be made at this time.</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October 31, 2014, Autodesk had net deferred tax assets of $178.4 million. Pursuant to the adoption of ASU 2013-11, $51.7 million of unrecognized tax benefits have been presented as a reduction of deferred tax assets at October 31, 2014. The Company believes that it will generate sufficient future taxable income in appropriate tax jurisdictions to realize these assets.</w:t>
      </w:r>
    </w:p>
    <w:p>
      <w:pPr>
        <w:spacing w:after="0" w:line="181"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nine months ended October 31, 2014, Autodesk completed the business combinations and technology acquisitions described below. The results of operations for the following acquisitions are included in the accompanying Condensed Consolidated Statement of Operations since their respective acquisition dates. Pro forma results of operations have not been presented because the effects of the acquisitions, individually and in the aggregate, were not material to Autodesk’s Condensed Consolidated Financial Statements.</w:t>
      </w:r>
    </w:p>
    <w:p>
      <w:pPr>
        <w:spacing w:after="0" w:line="18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For acquisitions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is primarily attributable to synergies expected to arise after the acquisitions.</w:t>
      </w:r>
    </w:p>
    <w:p>
      <w:pPr>
        <w:spacing w:after="0" w:line="187"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On June 27, 2014, Autodesk acquired Shotgun Software, Inc. (“Shotgun”) for total consideration of $54.5 million, of which $51.2 million was cash consideration. Prior to acquiring Shotgun, Autodesk had a convertible debt investment in the company with an acquisition-date fair value of $3.3 million using a market approach to value the investment. Shotgun provides a cloud-based production management solution that enabled digital studios to track, schedule, review and collaborate on projects and images. Shotgun has been integrated into, and the related goodwill was assigned to, Autodesk's Media and Entertainment ("M&amp;E") segment. Goodwill is not expected to be deductible for tax purposes.</w:t>
      </w:r>
    </w:p>
    <w:p>
      <w:pPr>
        <w:spacing w:after="0" w:line="18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May 29, 2014, Autodesk acquired all the outstanding shares of Within Technologies Limited ("Within Technologies”) for total cash consideration of $88.0 million. Autodesk used its non-U.S.-based cash for the transaction. Within Technologies is a United Kingdom based developer of design and simulation software for next generation manufacturing processes. The Within Technologies acquisition is expected to accelerate Autodesk’s development of tools and technologies for advanced manufacturing. Within Technologies has been integrated into Autodesk’s PSEB reportable segment. The amount of goodwill that is expected to be deductible for tax purposes is $78.9 million.</w:t>
      </w:r>
    </w:p>
    <w:p>
      <w:pPr>
        <w:spacing w:after="0" w:line="18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February 6, 2014, Autodesk acquired the entire issued and to be issued share capital of Delcam plc (“Delcam”), for $284.6 million. Delcam was previously listed as a public company (LON: DLC) and is a leading supplier of advanced CADCAM and industrial measurement solutions for the manufacturing industry. With this transaction Autodesk gains Delcam’s range of design, manufacturing and inspection software that provide automated CADCAM solutions for a variety of industries, ranging from aerospace to toys and sports equipment. The transaction was structured as a cash offer for all the outstanding shares of Delcam, and Delcam has been integrated into Autodesk's Manufacturing ("MFG") reportable segment. The amount of goodwill that is expected to be deductible for tax purposes is $165.1 million.</w:t>
      </w:r>
    </w:p>
    <w:p>
      <w:pPr>
        <w:spacing w:after="0" w:line="193"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During the nine months ended October 31, 2014, Autodesk also completed a total of sixteen other business combinations and technology acquisitions for total cash consideration of approximately $207.2 million. These business combinations and technology acquisitions were not material individually or in aggregate to Autodesk’s Condensed Consolidated Statement of Operations.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84" w:right="279" w:bottom="1440" w:gutter="0" w:footer="0" w:header="0"/>
        </w:sectPr>
      </w:pPr>
    </w:p>
    <w:bookmarkStart w:id="20" w:name="page21"/>
    <w:bookmarkEnd w:id="20"/>
    <w:p>
      <w:pPr>
        <w:ind w:right="84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business combinations and technology acquisitions completed during the nine months ended October 31, 2014:</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Shotgun</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Within</w:t>
            </w:r>
          </w:p>
        </w:tc>
        <w:tc>
          <w:tcPr>
            <w:tcW w:w="200" w:type="dxa"/>
            <w:vAlign w:val="bottom"/>
          </w:tcPr>
          <w:p>
            <w:pPr>
              <w:spacing w:after="0"/>
              <w:rPr>
                <w:sz w:val="14"/>
                <w:szCs w:val="1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Delcam</w:t>
            </w:r>
          </w:p>
        </w:tc>
        <w:tc>
          <w:tcPr>
            <w:tcW w:w="220" w:type="dxa"/>
            <w:vAlign w:val="bottom"/>
          </w:tcPr>
          <w:p>
            <w:pPr>
              <w:spacing w:after="0"/>
              <w:rPr>
                <w:sz w:val="14"/>
                <w:szCs w:val="14"/>
                <w:color w:val="auto"/>
              </w:rPr>
            </w:pPr>
          </w:p>
        </w:tc>
        <w:tc>
          <w:tcPr>
            <w:tcW w:w="8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Technologies</w:t>
            </w: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Customer relationships and other non-current intangible assets</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192.8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159.6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 and non-current)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tangible assets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44"/>
        </w:trPr>
        <w:tc>
          <w:tcPr>
            <w:tcW w:w="6740" w:type="dxa"/>
            <w:vAlign w:val="bottom"/>
          </w:tcPr>
          <w:p>
            <w:pPr>
              <w:ind w:left="28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284.6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Shotgun and Delcam and certain other business combinations, the allocation of purchase price consideration to certain assets and liabilities is not yet finalized. Autodesk's estimates and assumptions are subject to change within the measurement period (up to one year from the acquisition date). The primary areas of the preliminary purchase price allocation that are not yet finalized are amounts for tax assets and liabilities, pending finalization of estimates and assumptions in respect of certain tax aspects of the transaction and residual goodwill.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Other intangible assets that include developed technologies, customer relationships, trade names, patents, user lists and the related accumulated amortization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2014</w:t>
            </w:r>
          </w:p>
        </w:tc>
        <w:tc>
          <w:tcPr>
            <w:tcW w:w="14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2014</w:t>
            </w:r>
          </w:p>
        </w:tc>
        <w:tc>
          <w:tcPr>
            <w:tcW w:w="0" w:type="dxa"/>
            <w:vAlign w:val="bottom"/>
          </w:tcPr>
          <w:p>
            <w:pPr>
              <w:spacing w:after="0"/>
              <w:rPr>
                <w:sz w:val="1"/>
                <w:szCs w:val="1"/>
                <w:color w:val="auto"/>
              </w:rPr>
            </w:pPr>
          </w:p>
        </w:tc>
      </w:tr>
      <w:tr>
        <w:trPr>
          <w:trHeight w:val="236"/>
        </w:trPr>
        <w:tc>
          <w:tcPr>
            <w:tcW w:w="8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 at cost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462.4</w:t>
            </w: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Customer relationships, trade names, patents, and user list, at cost (1)</w:t>
            </w:r>
          </w:p>
        </w:tc>
        <w:tc>
          <w:tcPr>
            <w:tcW w:w="16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352.9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268.1</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730.5</w:t>
            </w: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(626.2)</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40" w:hanging="412"/>
        <w:spacing w:after="0" w:line="263"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 Customer relationships and trade names include the effects of foreign currency translation.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during the nine months ended October 31, 2014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Platform</w:t>
            </w: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Architecture,</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Engineering</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Media and</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Emerging</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Construction</w:t>
            </w: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Entertainment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January 31, 2014</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415.2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411.6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1,159.1</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415.2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411.6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1,009.9</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Delcam</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33"/>
        </w:trPr>
        <w:tc>
          <w:tcPr>
            <w:tcW w:w="3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400"/>
          </w:cols>
          <w:pgMar w:left="240" w:top="584" w:right="259" w:bottom="1440" w:gutter="0" w:footer="0" w:header="0"/>
        </w:sectPr>
      </w:pPr>
    </w:p>
    <w:p>
      <w:pPr>
        <w:ind w:left="380"/>
        <w:spacing w:after="0"/>
        <w:rPr>
          <w:sz w:val="20"/>
          <w:szCs w:val="20"/>
          <w:color w:val="auto"/>
        </w:rPr>
      </w:pPr>
      <w:r>
        <w:rPr>
          <w:rFonts w:ascii="Arial" w:cs="Arial" w:eastAsia="Arial" w:hAnsi="Arial"/>
          <w:sz w:val="16"/>
          <w:szCs w:val="16"/>
          <w:color w:val="auto"/>
        </w:rPr>
        <w:t>Within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Shotgun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Addition arising from other acquisitions</w:t>
      </w:r>
    </w:p>
    <w:p>
      <w:pPr>
        <w:spacing w:after="0" w:line="98" w:lineRule="exact"/>
        <w:rPr>
          <w:sz w:val="20"/>
          <w:szCs w:val="20"/>
          <w:color w:val="auto"/>
        </w:rPr>
      </w:pPr>
    </w:p>
    <w:p>
      <w:pPr>
        <w:ind w:left="540" w:hanging="161"/>
        <w:spacing w:after="0" w:line="319" w:lineRule="auto"/>
        <w:rPr>
          <w:sz w:val="20"/>
          <w:szCs w:val="20"/>
          <w:color w:val="auto"/>
        </w:rPr>
      </w:pPr>
      <w:r>
        <w:rPr>
          <w:rFonts w:ascii="Arial" w:cs="Arial" w:eastAsia="Arial" w:hAnsi="Arial"/>
          <w:sz w:val="15"/>
          <w:szCs w:val="15"/>
          <w:color w:val="auto"/>
        </w:rPr>
        <w:t>Effect of foreign currency translation and purchase accounting adjustments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October 31, 2014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jc w:val="right"/>
              <w:ind w:right="39"/>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80.6</w:t>
            </w:r>
          </w:p>
        </w:tc>
      </w:tr>
      <w:tr>
        <w:trPr>
          <w:trHeight w:val="270"/>
        </w:trPr>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43.2</w:t>
            </w:r>
          </w:p>
        </w:tc>
      </w:tr>
      <w:tr>
        <w:trPr>
          <w:trHeight w:val="270"/>
        </w:trPr>
        <w:tc>
          <w:tcPr>
            <w:tcW w:w="1480" w:type="dxa"/>
            <w:vAlign w:val="bottom"/>
          </w:tcPr>
          <w:p>
            <w:pPr>
              <w:jc w:val="right"/>
              <w:ind w:right="39"/>
              <w:spacing w:after="0"/>
              <w:rPr>
                <w:sz w:val="20"/>
                <w:szCs w:val="20"/>
                <w:color w:val="auto"/>
              </w:rPr>
            </w:pPr>
            <w:r>
              <w:rPr>
                <w:rFonts w:ascii="Arial" w:cs="Arial" w:eastAsia="Arial" w:hAnsi="Arial"/>
                <w:sz w:val="16"/>
                <w:szCs w:val="16"/>
                <w:color w:val="auto"/>
              </w:rPr>
              <w:t>110.9</w:t>
            </w:r>
          </w:p>
        </w:tc>
        <w:tc>
          <w:tcPr>
            <w:tcW w:w="120" w:type="dxa"/>
            <w:vAlign w:val="bottom"/>
          </w:tcPr>
          <w:p>
            <w:pPr>
              <w:spacing w:after="0"/>
              <w:rPr>
                <w:sz w:val="23"/>
                <w:szCs w:val="23"/>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159.6</w:t>
            </w:r>
          </w:p>
        </w:tc>
      </w:tr>
      <w:tr>
        <w:trPr>
          <w:trHeight w:val="459"/>
        </w:trPr>
        <w:tc>
          <w:tcPr>
            <w:tcW w:w="14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33"/>
        </w:trPr>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-642620</wp:posOffset>
            </wp:positionV>
            <wp:extent cx="712660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-299720</wp:posOffset>
            </wp:positionV>
            <wp:extent cx="7126605"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3080" w:space="420"/>
            <w:col w:w="7900"/>
          </w:cols>
          <w:pgMar w:left="240" w:top="584" w:right="25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4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1,623.3</w:t>
            </w:r>
          </w:p>
        </w:tc>
      </w:tr>
      <w:tr>
        <w:trPr>
          <w:trHeight w:val="237"/>
        </w:trPr>
        <w:tc>
          <w:tcPr>
            <w:tcW w:w="4040" w:type="dxa"/>
            <w:vAlign w:val="bottom"/>
            <w:gridSpan w:val="2"/>
          </w:tcPr>
          <w:p>
            <w:pPr>
              <w:ind w:left="380"/>
              <w:spacing w:after="0"/>
              <w:rPr>
                <w:sz w:val="20"/>
                <w:szCs w:val="20"/>
                <w:color w:val="auto"/>
              </w:rPr>
            </w:pPr>
            <w:r>
              <w:rPr>
                <w:rFonts w:ascii="Arial" w:cs="Arial" w:eastAsia="Arial" w:hAnsi="Arial"/>
                <w:sz w:val="16"/>
                <w:szCs w:val="16"/>
                <w:color w:val="auto"/>
              </w:rPr>
              <w:t>Accumulated impairment losses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35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4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1,474.1</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Goodwill consists of the excess of cost over the fair value of net assets acquired in business combinations. Autodesk assigns goodwill to the reportable segment associated with each business combination, and tests goodwill for impairment annually in its fourth fiscal quarter or more often if circumstances indicate a potential impairment. For purposes of the goodwill impairment test, a reporting unit is an operating segment or one level below. Autodesk's operating segments are aligned with the management principles of Autodesk's business.</w:t>
      </w:r>
    </w:p>
    <w:p>
      <w:pPr>
        <w:spacing w:after="0" w:line="18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When goodwill is assessed for impairment, Accounting Standard Update No. 2011-08, "Testing Goodwill for Impairment" provides Autodesk the option to perform an assessment of qualitative factors of impairment (“optional assessment”) prior to necessitating a two-step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two-step impairment test is unnecessary.</w:t>
      </w:r>
    </w:p>
    <w:p>
      <w:pPr>
        <w:spacing w:after="0" w:line="178"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Therefore, the two-step quantitative impairment test is necessary when either Autodesk does not use the optional assessment or, as a result of the optional assessment, it is not more likely than not that the fair value of the reporting unit is greater than its carrying value. In performing the two-step impairment test, Autodesk uses discounted cash flow models which include assumptions regarding projected cash flows.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As changes in business conditions and assumptions occur, Autodesk may be required to record impairment charges.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results forecasts.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At October 31, 2014, Autodesk had marketable securities totaling $811.9 million, of which $44.1 million related to investments in debt and equity securities that are held in a rabbi trust under non-qualified deferred compensation plans.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type w:val="continuous"/>
        </w:sectPr>
      </w:pPr>
    </w:p>
    <w:bookmarkStart w:id="22" w:name="page23"/>
    <w:bookmarkEnd w:id="22"/>
    <w:p>
      <w:pPr>
        <w:ind w:right="180"/>
        <w:spacing w:after="0" w:line="255" w:lineRule="auto"/>
        <w:rPr>
          <w:sz w:val="20"/>
          <w:szCs w:val="20"/>
          <w:color w:val="auto"/>
        </w:rPr>
      </w:pPr>
      <w:r>
        <w:rPr>
          <w:rFonts w:ascii="Arial" w:cs="Arial" w:eastAsia="Arial" w:hAnsi="Arial"/>
          <w:sz w:val="18"/>
          <w:szCs w:val="18"/>
          <w:color w:val="auto"/>
        </w:rPr>
        <w:t>total related deferred compensation liability was $44.1 million at October 31, 2014, of which $4.9 million was classified as current and $39.2 million was classified as non-current liabilities. The value of debt and equity securities held in the rabbi trust at January 31, 2014 was $38.9 million. The total related deferred compensation liability at January 31, 2014 was $38.9 million, of which $1.9 million was classified as current and $37.0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“Other liabilities,”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p>
      <w:pPr>
        <w:ind w:left="8420"/>
        <w:spacing w:after="0"/>
        <w:tabs>
          <w:tab w:leader="none" w:pos="9960" w:val="left"/>
        </w:tabs>
        <w:rPr>
          <w:sz w:val="20"/>
          <w:szCs w:val="20"/>
          <w:color w:val="auto"/>
        </w:rPr>
      </w:pPr>
      <w:r>
        <w:rPr>
          <w:rFonts w:ascii="Arial" w:cs="Arial" w:eastAsia="Arial" w:hAnsi="Arial"/>
          <w:sz w:val="14"/>
          <w:szCs w:val="14"/>
          <w:b w:val="1"/>
          <w:bCs w:val="1"/>
          <w:color w:val="auto"/>
        </w:rPr>
        <w:t>October 31, 2014</w:t>
      </w:r>
      <w:r>
        <w:rPr>
          <w:sz w:val="20"/>
          <w:szCs w:val="20"/>
          <w:color w:val="auto"/>
        </w:rPr>
        <w:tab/>
      </w:r>
      <w:r>
        <w:rPr>
          <w:rFonts w:ascii="Arial" w:cs="Arial" w:eastAsia="Arial" w:hAnsi="Arial"/>
          <w:sz w:val="13"/>
          <w:szCs w:val="13"/>
          <w:b w:val="1"/>
          <w:bCs w:val="1"/>
          <w:color w:val="auto"/>
        </w:rPr>
        <w:t>January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660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software, at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hardware,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Leasehold improvements, land and buildings, at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Furniture and equipment,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66" w:lineRule="exact"/>
        <w:rPr>
          <w:sz w:val="20"/>
          <w:szCs w:val="20"/>
          <w:color w:val="auto"/>
        </w:rPr>
      </w:pPr>
    </w:p>
    <w:p>
      <w:pPr>
        <w:ind w:left="120" w:right="3200" w:hanging="80"/>
        <w:spacing w:after="0" w:line="293" w:lineRule="auto"/>
        <w:rPr>
          <w:sz w:val="20"/>
          <w:szCs w:val="20"/>
          <w:color w:val="auto"/>
        </w:rPr>
      </w:pPr>
      <w:r>
        <w:rPr>
          <w:rFonts w:ascii="Arial" w:cs="Arial" w:eastAsia="Arial" w:hAnsi="Arial"/>
          <w:sz w:val="16"/>
          <w:szCs w:val="16"/>
          <w:color w:val="auto"/>
        </w:rPr>
        <w:t>Computer software, hardware, leasehold improvements, furniture and equipment, net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17"/>
                <w:szCs w:val="17"/>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80.9</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185.7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163.0</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163.7</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51.7</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499.9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459.3</w:t>
            </w:r>
          </w:p>
        </w:tc>
      </w:tr>
      <w:tr>
        <w:trPr>
          <w:trHeight w:val="270"/>
        </w:trPr>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(339.5)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(329.0)</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93"/>
        </w:trPr>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160.4</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130.3</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80" w:space="720"/>
            <w:col w:w="3180"/>
          </w:cols>
          <w:pgMar w:left="240" w:top="584" w:right="2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December 2012, Autodesk issued $400.0 million aggregate principal amount of 1.95% senior notes due December 15, 2017 and $350.0 million aggregate principal amount of 3.6% senior notes due December 15, 2022, (collectively, the “Senior Notes”). Autodesk received net proceeds of $739.3 million from issuance of the Senior Notes, net of a discount of $4.5 million and issuance costs of $6.1 million. Both the discount and issuance costs are being amortized to interest expense over the respective terms of the Senior Notes using the effective interest method. The proceeds of the Senior Notes are available for general corporate purposes. Autodesk may redeem the Senior Notes at any time, subject to a make whole premium. In addition, upon the occurrence of certain change of control triggering events, Autodesk may be required to repurchase the Senior Notes, at a price equal to 101% of their principal amount, plus accrued and unpaid interest to the date of repurchase. The Senior Notes contain restrictive covenants that limit Autodesk's ability to create certain liens, to enter into certain sale and leaseback transactions and to consolidate or merge with, or convey, transfer or lease all or substantially all of its assets, subject to significant qualifications and exceptions. Based on quoted market prices, the fair value of the Senior Notes was approximately $755.2 million as of October 31, 2014.</w:t>
      </w:r>
    </w:p>
    <w:p>
      <w:pPr>
        <w:spacing w:after="0" w:line="17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line of credit is syndicated with various financial institutions, including Citibank, N.A., an affiliate of Citigroup, which is one of the lead lenders and an agent. The credit facility expires in May 2018. At October 31, 2014, Autodesk had no outstanding borrowings on this line of credit.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Restructuring</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third quarter of fiscal 2014, the Board of Directors of the Company approved a world-wide restructuring plan in order to re-balance staffing levels to better align them with the evolving needs of the business. The Company authorized plan included a reduction of approximately 85 positions and the consolidation of four leased facilities, with a total cost of approximately $15.0 million ("Fiscal 2014 Plan"). The Company has substantially paid the one-time termination benefits and facility related liabilities related to the Fiscal 2014 Plan as of October 31, 2014.</w:t>
      </w:r>
    </w:p>
    <w:p>
      <w:pPr>
        <w:spacing w:after="0" w:line="17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During the three months ended October 31, 2014, Autodesk recorded no restructuring charges. During the nine months ended October 31, 2014, Autodesk recorded restructuring charges of $3.1 million. The following table sets forth the restructuring activities during the nine months ended October 31, 2014:</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584" w:right="27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Balance at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4"/>
                <w:szCs w:val="14"/>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Adjustments (1)</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Balance at October 31,</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2014 Plan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asset costs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Current portion (2)</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Non-current portion (2)</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right="100" w:hanging="412"/>
        <w:spacing w:after="0" w:line="257"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current and non-current portions of the reserve are recorded in the Condensed Consolidated Balance Sheets under “Other accrued liabilities” and “Other liabilities,”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94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15. Common Stock Repurchase Program</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Autodesk has a stock repurchase program that is used to offset dilution from the issuance of stock under the Company’s employee stock plans and for such other purposes as may be in the interests of Autodesk and its stockholders, which has the effect of returning excess cash generated from the Company’s business to stockholders. During the three and nine months ended October 31, 2014, Autodesk repurchased and retired 1.9 million and 5.8 million shares at an average repurchase price of $54.11 and $52.81 per share, respectively. Common stock and additional paid-in capital and retained earnings were reduced by $47.2 million and $56.1 million, respectively, during the three months ended October 31, 2014. Common stock and additional paid-in capital and retained earnings were reduced by $151.1 million and $156.5 million, respectively, during the nine months ended October 31, 2014.</w:t>
      </w:r>
    </w:p>
    <w:p>
      <w:pPr>
        <w:spacing w:after="0" w:line="16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At October 31, 2014, 16.0 million shares remained available for repurchase under the repurchase program approved by the Board of Directors. During the nine months ended October 31, 2014,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Accumulated Other Comprehensive Income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October 31, 2014 and January 31, 2014:</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2014</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2014</w:t>
            </w:r>
          </w:p>
        </w:tc>
      </w:tr>
      <w:tr>
        <w:trPr>
          <w:trHeight w:val="236"/>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1"/>
                <w:shd w:val="clear" w:color="auto" w:fill="CCEEFF"/>
              </w:rPr>
              <w:t>Net gain on derivative instruments</w:t>
            </w:r>
          </w:p>
        </w:tc>
        <w:tc>
          <w:tcPr>
            <w:tcW w:w="60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37"/>
        </w:trPr>
        <w:tc>
          <w:tcPr>
            <w:tcW w:w="8280" w:type="dxa"/>
            <w:vAlign w:val="bottom"/>
            <w:gridSpan w:val="3"/>
          </w:tcPr>
          <w:p>
            <w:pPr>
              <w:ind w:left="40"/>
              <w:spacing w:after="0"/>
              <w:rPr>
                <w:sz w:val="20"/>
                <w:szCs w:val="20"/>
                <w:color w:val="auto"/>
              </w:rPr>
            </w:pPr>
            <w:r>
              <w:rPr>
                <w:rFonts w:ascii="Arial" w:cs="Arial" w:eastAsia="Arial" w:hAnsi="Arial"/>
                <w:sz w:val="16"/>
                <w:szCs w:val="16"/>
                <w:color w:val="auto"/>
              </w:rPr>
              <w:t>Net unrealized (loss) gain on available-for-sale securities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33"/>
        </w:trPr>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Defined benefit pension items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37"/>
        </w:trPr>
        <w:tc>
          <w:tcPr>
            <w:tcW w:w="8280" w:type="dxa"/>
            <w:vAlign w:val="bottom"/>
            <w:gridSpan w:val="3"/>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33"/>
        </w:trPr>
        <w:tc>
          <w:tcPr>
            <w:tcW w:w="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Pre-tax reclassifications from “Accumulated other comprehensive (loss)” to the Company's Condensed Consolidated Statement of Operations for the three months ended October 31, 2014 and 2013 were $1.4 million and $2.0 million, respectively. Pre-tax reclassifications from “Accumulated other comprehensive (loss)” to the Company's Condensed Consolidated Statement of Operations for the nine months ended October 31, 2014 and 2013 were $3.6 million and $9.7 million, respectively.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17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Income Per Share</w:t>
      </w:r>
    </w:p>
    <w:p>
      <w:pPr>
        <w:spacing w:after="0" w:line="22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excluding stock options and restricted stock units. Diluted net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4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9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2"/>
              <w:spacing w:after="0"/>
              <w:rPr>
                <w:sz w:val="20"/>
                <w:szCs w:val="20"/>
                <w:color w:val="auto"/>
              </w:rPr>
            </w:pPr>
            <w:r>
              <w:rPr>
                <w:rFonts w:ascii="Arial" w:cs="Arial" w:eastAsia="Arial" w:hAnsi="Arial"/>
                <w:sz w:val="16"/>
                <w:szCs w:val="16"/>
                <w:color w:val="auto"/>
              </w:rPr>
              <w:t>70.3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174.9</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9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Denominator for basic net income per share—weighted average shares</w:t>
            </w:r>
          </w:p>
        </w:tc>
        <w:tc>
          <w:tcPr>
            <w:tcW w:w="200" w:type="dxa"/>
            <w:vAlign w:val="bottom"/>
          </w:tcPr>
          <w:p>
            <w:pPr>
              <w:spacing w:after="0"/>
              <w:rPr>
                <w:sz w:val="20"/>
                <w:szCs w:val="20"/>
                <w:color w:val="auto"/>
              </w:rPr>
            </w:pP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226.9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223.1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22"/>
              <w:spacing w:after="0"/>
              <w:rPr>
                <w:sz w:val="20"/>
                <w:szCs w:val="20"/>
                <w:color w:val="auto"/>
              </w:rPr>
            </w:pPr>
            <w:r>
              <w:rPr>
                <w:rFonts w:ascii="Arial" w:cs="Arial" w:eastAsia="Arial" w:hAnsi="Arial"/>
                <w:sz w:val="16"/>
                <w:szCs w:val="16"/>
                <w:color w:val="auto"/>
                <w:w w:val="99"/>
              </w:rPr>
              <w:t>227.1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223.4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7"/>
        </w:trPr>
        <w:tc>
          <w:tcPr>
            <w:tcW w:w="7900" w:type="dxa"/>
            <w:vAlign w:val="bottom"/>
          </w:tcPr>
          <w:p>
            <w:pPr>
              <w:ind w:left="380"/>
              <w:spacing w:after="0"/>
              <w:rPr>
                <w:sz w:val="20"/>
                <w:szCs w:val="20"/>
                <w:color w:val="auto"/>
              </w:rPr>
            </w:pPr>
            <w:r>
              <w:rPr>
                <w:rFonts w:ascii="Arial" w:cs="Arial" w:eastAsia="Arial" w:hAnsi="Arial"/>
                <w:sz w:val="16"/>
                <w:szCs w:val="16"/>
                <w:color w:val="auto"/>
              </w:rPr>
              <w:t>Denominator for dilutive net income per share</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231.5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227.7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99"/>
              </w:rPr>
              <w:t>231.9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228.6</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9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2"/>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computation of diluted net income per share does not include shares that are anti-dilutive under the treasury stock method because their exercise prices are higher than the average market value of Autodesk’s stock during the period. For both the three and nine months ended October 31, 2014, there were no potentially anti-dilutive shares excluded from the computation of diluted net income per share. For the three and nine months ended October 31, 2013, 5.5 million and 6.7 million potentially anti-dilutive shares, respectively, were excluded from the computation of diluted net income per share.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Segments</w:t>
      </w:r>
    </w:p>
    <w:p>
      <w:pPr>
        <w:spacing w:after="0" w:line="225"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PSEB, Architecture, Engineering and Construction ("AEC"), MFG and M&amp;E. Autodesk has no material inter-segment revenue.</w:t>
      </w:r>
    </w:p>
    <w:p>
      <w:pPr>
        <w:spacing w:after="0" w:line="166"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Autodesk's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87" w:lineRule="exact"/>
        <w:rPr>
          <w:sz w:val="20"/>
          <w:szCs w:val="20"/>
          <w:color w:val="auto"/>
        </w:rPr>
      </w:pPr>
    </w:p>
    <w:p>
      <w:pPr>
        <w:ind w:right="600" w:firstLine="405"/>
        <w:spacing w:after="0" w:line="291" w:lineRule="auto"/>
        <w:rPr>
          <w:sz w:val="20"/>
          <w:szCs w:val="20"/>
          <w:color w:val="auto"/>
        </w:rPr>
      </w:pPr>
      <w:r>
        <w:rPr>
          <w:rFonts w:ascii="Arial" w:cs="Arial" w:eastAsia="Arial" w:hAnsi="Arial"/>
          <w:sz w:val="16"/>
          <w:szCs w:val="16"/>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200"/>
        <w:spacing w:after="0" w:line="277" w:lineRule="auto"/>
        <w:rPr>
          <w:sz w:val="20"/>
          <w:szCs w:val="20"/>
          <w:color w:val="auto"/>
        </w:rPr>
      </w:pPr>
      <w:r>
        <w:rPr>
          <w:rFonts w:ascii="Arial" w:cs="Arial" w:eastAsia="Arial" w:hAnsi="Arial"/>
          <w:sz w:val="17"/>
          <w:szCs w:val="17"/>
          <w:color w:val="auto"/>
        </w:rPr>
        <w:t>serve. Autodesk’s AutoCAD product also provides a platform for Autodesk’s developer partners to build custom solutions for a range of diverse design-oriented markets. PSEB's revenue primarily includes revenue from sales of AutoCAD and AutoCAD LT, the Autodesk Design Suite and many other design products, including consumer design products, as well as from sales of licenses of other Autodesk's design products.</w:t>
      </w:r>
    </w:p>
    <w:p>
      <w:pPr>
        <w:spacing w:after="0" w:line="173"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Building Design Suites, AutoCAD Civil 3D, AutoCAD Map, and Autodesk Infrastructure Design Suites.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ind w:right="40" w:firstLine="405"/>
        <w:spacing w:after="0" w:line="257"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Product Design Suites, AutoCAD Mechanical, and Autodesk Moldflow products.</w:t>
      </w:r>
    </w:p>
    <w:p>
      <w:pPr>
        <w:spacing w:after="0" w:line="18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M&amp;E consists of two product groups: Animation, including design visualization, and Creative Finishing. Animation products, such as Autodesk Maya, Autodesk 3ds Max, and the Autodesk Entertainment Creation Suites, provide tools for digital sculpting, modeling, animation, effects, rendering and compositing, for design visualization, visual effects and games production. M&amp;E products are also included in a number of PSEB, AEC, and MFG focused suites. Creative Finishing products provide editing, finishing and visual effects design and color grading.</w:t>
      </w:r>
    </w:p>
    <w:p>
      <w:pPr>
        <w:spacing w:after="0" w:line="18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accounting policies of the reportable segments are the same as those described in Note 1, “Business and Summary of Significant Accounting Policies” of Autodesk's Annual Report on Form 10-K for the fiscal year ended January 31, 2014. Autodesk evaluates each segment’s performance on the basis of gross profit. Autodesk currently does not separately accumulate and report asset information by segment, except for goodwill, which is disclosed in Note 9, “Goodwill.”</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900" w:type="dxa"/>
            <w:vAlign w:val="bottom"/>
            <w:gridSpan w:val="6"/>
          </w:tcPr>
          <w:p>
            <w:pPr>
              <w:jc w:val="right"/>
              <w:spacing w:after="0"/>
              <w:rPr>
                <w:sz w:val="20"/>
                <w:szCs w:val="20"/>
                <w:color w:val="auto"/>
              </w:rPr>
            </w:pPr>
            <w:r>
              <w:rPr>
                <w:rFonts w:ascii="Arial" w:cs="Arial" w:eastAsia="Arial" w:hAnsi="Arial"/>
                <w:sz w:val="14"/>
                <w:szCs w:val="14"/>
                <w:b w:val="1"/>
                <w:bCs w:val="1"/>
                <w:color w:val="auto"/>
                <w:w w:val="97"/>
              </w:rPr>
              <w:t>Nine Months Ended October</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October 31,</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w w:val="92"/>
              </w:rPr>
              <w:t>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188.4</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183.4</w:t>
            </w:r>
          </w:p>
        </w:tc>
        <w:tc>
          <w:tcPr>
            <w:tcW w:w="100" w:type="dxa"/>
            <w:vAlign w:val="bottom"/>
          </w:tcPr>
          <w:p>
            <w:pPr>
              <w:spacing w:after="0"/>
              <w:rPr>
                <w:sz w:val="20"/>
                <w:szCs w:val="20"/>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607.8</w:t>
            </w:r>
          </w:p>
        </w:tc>
        <w:tc>
          <w:tcPr>
            <w:tcW w:w="36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593.4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217.1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535.1</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18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169.7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485.2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425.1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42.8</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618.0</w:t>
            </w: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555.2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1,847.6</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1,687.3</w:t>
            </w:r>
          </w:p>
        </w:tc>
        <w:tc>
          <w:tcPr>
            <w:tcW w:w="0" w:type="dxa"/>
            <w:vAlign w:val="bottom"/>
          </w:tcPr>
          <w:p>
            <w:pPr>
              <w:spacing w:after="0"/>
              <w:rPr>
                <w:sz w:val="1"/>
                <w:szCs w:val="1"/>
                <w:color w:val="auto"/>
              </w:rPr>
            </w:pPr>
          </w:p>
        </w:tc>
      </w:tr>
      <w:tr>
        <w:trPr>
          <w:trHeight w:val="73"/>
        </w:trPr>
        <w:tc>
          <w:tcPr>
            <w:tcW w:w="76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6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6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167.3</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165.9</w:t>
            </w:r>
          </w:p>
        </w:tc>
        <w:tc>
          <w:tcPr>
            <w:tcW w:w="100" w:type="dxa"/>
            <w:vAlign w:val="bottom"/>
          </w:tcPr>
          <w:p>
            <w:pPr>
              <w:spacing w:after="0"/>
              <w:rPr>
                <w:sz w:val="20"/>
                <w:szCs w:val="20"/>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543.6</w:t>
            </w:r>
          </w:p>
        </w:tc>
        <w:tc>
          <w:tcPr>
            <w:tcW w:w="36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540.7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194.3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485.0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18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152.8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130.1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437.0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389.9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106.2</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Unallocated (1)</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532.0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1,595.0</w:t>
            </w:r>
          </w:p>
        </w:tc>
        <w:tc>
          <w:tcPr>
            <w:tcW w:w="3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1,484.9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500" w:hanging="412"/>
        <w:spacing w:after="0" w:line="263"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Unallocated amounts primarily relate to corporate expenses and other costs and expenses that are managed outside the reportable segments, including stock-based compensation expense.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900" w:type="dxa"/>
            <w:vAlign w:val="bottom"/>
            <w:gridSpan w:val="6"/>
          </w:tcPr>
          <w:p>
            <w:pPr>
              <w:jc w:val="right"/>
              <w:spacing w:after="0"/>
              <w:rPr>
                <w:sz w:val="20"/>
                <w:szCs w:val="20"/>
                <w:color w:val="auto"/>
              </w:rPr>
            </w:pPr>
            <w:r>
              <w:rPr>
                <w:rFonts w:ascii="Arial" w:cs="Arial" w:eastAsia="Arial" w:hAnsi="Arial"/>
                <w:sz w:val="14"/>
                <w:szCs w:val="14"/>
                <w:b w:val="1"/>
                <w:bCs w:val="1"/>
                <w:color w:val="auto"/>
                <w:w w:val="97"/>
              </w:rPr>
              <w:t>Nine Months Ended October</w:t>
            </w:r>
          </w:p>
        </w:tc>
      </w:tr>
      <w:tr>
        <w:trPr>
          <w:trHeight w:val="192"/>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October 31,</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31,</w:t>
            </w:r>
          </w:p>
        </w:tc>
        <w:tc>
          <w:tcPr>
            <w:tcW w:w="680" w:type="dxa"/>
            <w:vAlign w:val="bottom"/>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2013</w:t>
            </w:r>
          </w:p>
        </w:tc>
      </w:tr>
      <w:tr>
        <w:trPr>
          <w:trHeight w:val="21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24"/>
        </w:trPr>
        <w:tc>
          <w:tcPr>
            <w:tcW w:w="766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189.3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543.4</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502.3</w:t>
            </w: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18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41.5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116.4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109.8</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230.8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612.1</w:t>
            </w:r>
          </w:p>
        </w:tc>
      </w:tr>
      <w:tr>
        <w:trPr>
          <w:trHeight w:val="217"/>
        </w:trPr>
        <w:tc>
          <w:tcPr>
            <w:tcW w:w="766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238.2</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204.4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707.2</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622.4</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4"/>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Japan</w:t>
            </w:r>
          </w:p>
        </w:tc>
        <w:tc>
          <w:tcPr>
            <w:tcW w:w="18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58.0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215.1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207.6</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Asia Pacific</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91.0</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245.2</w:t>
            </w:r>
          </w:p>
        </w:tc>
      </w:tr>
      <w:tr>
        <w:trPr>
          <w:trHeight w:val="217"/>
        </w:trPr>
        <w:tc>
          <w:tcPr>
            <w:tcW w:w="7660" w:type="dxa"/>
            <w:vAlign w:val="bottom"/>
          </w:tcPr>
          <w:p>
            <w:pPr>
              <w:ind w:left="380"/>
              <w:spacing w:after="0"/>
              <w:rPr>
                <w:sz w:val="20"/>
                <w:szCs w:val="20"/>
                <w:color w:val="auto"/>
              </w:rPr>
            </w:pPr>
            <w:r>
              <w:rPr>
                <w:rFonts w:ascii="Arial" w:cs="Arial" w:eastAsia="Arial" w:hAnsi="Arial"/>
                <w:sz w:val="16"/>
                <w:szCs w:val="16"/>
                <w:color w:val="auto"/>
              </w:rPr>
              <w:t>Total Asia Pacific</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149.0</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142.5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480.6</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452.8</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618.0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1,847.6</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1,687.3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Three and Nine Months Ended October 31, 2014 and 2013 - Business Outlook” below, anticipated future net revenue, future GAAP and non-GAAP earnings per share, operating margin and other future financial results (by product type and geography) and operating expenses, the effectiveness of our efforts to successfully manage transitions to new business models and markets, our expectations regarding the continued transition of our business model, our ability to increase our subscription base, expected market trends, including the growth of cloud, mobile and social computing, the effect of unemployment and availability of credit, the effects of weak global economic conditions, the effects of revenue recognition, our backlog, expected trends in certain financial metrics, including expenses, the impact of acquisitions and investment activities, expectations regarding our cash needs, the effects of fluctuations in exchange rates and our hedging activities on our financial results, our abilities to successfully expand adoption of our products, our ability to gain market acceptance of new businesses and sales initiatives, our ability to successfully increase sales of product suites as part of our overall sales strategy, and the impact of economic volatility and geopolitical activities in certain countries, particularly emerging economy countries, and the resulting effect on our financial results. In addition, forward-looking statements also consist of statements involving expectations regarding product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Autodesk’s vision is to help people imagine, design and create a better world. We do this by developing software and services for the world’s designers, architects, engineers, and digital artists, professionals and non-professionals alike—the people who create the world's products, buildings, infrastructure, films, and games. Autodesk serves professional customers in three primary markets: architecture, engineering and construction; manufacturing; and digital media and entertainment.</w:t>
      </w:r>
    </w:p>
    <w:p>
      <w:pPr>
        <w:spacing w:after="0" w:line="18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goal is to provide our customers with the world’s most innovative, and engaging design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81"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Autodesk was founded during the platform transition from mainframes and engineering workstations to personal computers. We developed and sustained a compelling value proposition based upon desktop software for the personal computer. Just as the transition from mainframes to personal computers transformed the industry thirty years ago, we believe our industry is undergoing a similar transition from the personal computer to cloud, social, and mobile computing. To address this transition we have accelerated our move to the cloud and are offering more flexible licenses. For example, in fiscal 2014, we began offering Autodesk BIM 360, PLM 360, Sim 360 and Fusion 360, a few of our cloud based offerings, which provide tools, including social and mobile capabilities, to help streamline design, collaboration,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52"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color w:val="auto"/>
        </w:rPr>
        <w:t>Our strategy is to lead our customers and the industries they serve to the new cloud and mobile platforms. This entails both a technological shift and a business model shift. During fiscal 2014, we announced more flexible term-based license offerings, including term-based desktop subscriptions, for certain products. These offerings are designed to give our customers even more flexibility with how they use our products and service offerings and address new types of customers such as project-based users and small businesses. As part of this transition, we announced in fiscal 2014 that we are discontinuing upgrades after fiscal 2015. Also in October 2014, we announced that we plan to discontinue new perpetual offerings over the next 12 to 24 months.</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0" w:right="259" w:bottom="1440" w:gutter="0" w:footer="0" w:header="0"/>
        </w:sectPr>
      </w:pPr>
    </w:p>
    <w:bookmarkStart w:id="29" w:name="page30"/>
    <w:bookmarkEnd w:id="29"/>
    <w:p>
      <w:pPr>
        <w:ind w:right="120" w:firstLine="405"/>
        <w:spacing w:after="0" w:line="264" w:lineRule="auto"/>
        <w:rPr>
          <w:sz w:val="20"/>
          <w:szCs w:val="20"/>
          <w:color w:val="auto"/>
        </w:rPr>
      </w:pPr>
      <w:r>
        <w:rPr>
          <w:rFonts w:ascii="Arial" w:cs="Arial" w:eastAsia="Arial" w:hAnsi="Arial"/>
          <w:sz w:val="18"/>
          <w:szCs w:val="18"/>
          <w:color w:val="auto"/>
        </w:rPr>
        <w:t>Over the next four years, we expect to increase our subscription base and customer value, which we believe will help drive billings growth. During the transition, revenue, deferred revenue, operating margin, and earnings per share will be impacted as more revenue is recognized ratably rather than up front and as new offerings bring a wider variety of price points.</w:t>
      </w:r>
    </w:p>
    <w:p>
      <w:pPr>
        <w:spacing w:after="0" w:line="141"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For the three months ended October 31, 2014, our billings increased 25% as compared to the same period in the prior fiscal year. The 14 percentage point difference from our 11% year-over-year growth in revenue and our 25% year-over-year growth in billings represents 13 percentage points from the increase in deferred revenue primarily driven by an increase in subscription billings and 1 percentage point related to the change in acquisition-related deferred revenue and other.</w:t>
      </w:r>
    </w:p>
    <w:p>
      <w:pPr>
        <w:spacing w:after="0" w:line="146"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For the nine months ended October 31, 2014, our billings increased 20%, as compared to the same period in the prior fiscal year. The 10 percentage point difference from our 10% year-over-year growth in revenue and our 20% year-over-year growth in billings represents 11 percentage points from the increase in deferred revenue primarily driven by an increase in subscription billings offset by 1 percentage point related to the change in acquisition-related deferred revenue and other.</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October 31, 2014 and January 31, 2014, our total subscriptions were 2.13 million and 1.85 million, respectively.</w:t>
      </w:r>
    </w:p>
    <w:p>
      <w:pPr>
        <w:spacing w:after="0" w:line="18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For the past three years, suites have been an important growth area to our overall strategy. As our customers in all industries adopt our design suites, we believe they will experience an increase in their productivity and the value of their design data. For the three and nine months ended October 31, 2014, revenue from suites increased 13% and 17%, respectively, as compared to the same periods in the prior fiscal year. As a percentage of revenue, suites consisted of 36% of our net revenue for both the three and nine months ended October 31, 2014, as compared to 36% and 34% of our net revenue in the three and nine months ended October 31, 2013, respectively.</w:t>
      </w:r>
    </w:p>
    <w:p>
      <w:pPr>
        <w:spacing w:after="0" w:line="188"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Another key element of our growth strategy is increasing our global penetration. Much of the growth in the world’s construction and manufacturing is happening in emerging economies. Further, emerging economies face many of the challenges that our design technology can help address, including infrastructure build-out and innovative design and manufacturing. Revenue from emerging countries increased 13% and 11% during the three and nine months ended October 31, 2014, respectively, as compared to the same periods of the prior fiscal year. We believe that emerging economies continue to present long-term growth opportunities for us. Revenue from emerging countries represented 15% of net revenue for all periods presented. While we believe there are long-term growth opportunities in emerging economies, conducting business in these countries presents significant challenges, including economic volatility, geopolitical risk, local competition, limited intellectual property protection, poorly developed business infrastructure, scarcity of talent, software piracy and different purchase patterns as compared to the developed world.</w:t>
      </w:r>
    </w:p>
    <w:p>
      <w:pPr>
        <w:spacing w:after="0" w:line="179"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46"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By innovating within existing technology categories, we bring powerful new design capabilities to volume markets. Our products are designed to be easy-to-learn and use, and to provide customers with a low cost of deployment, a low total cost of access to our software offerings,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24"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faculty and students is a key competitive advantage. This network of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32"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We are committed to helping fuel a lifelong passion for design in students of all ages, and inspiring and supporting educators. As such, we offer extensive educational programs supporting our software and services including a new program, initiated in fiscal 2014, under which we offer software licenses to students, educators and institutions for little or no fees. Through these programs we intend to further Science, Technology, Engineering, Digital Arts, and Math (STEAM) education</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584" w:right="279" w:bottom="1440" w:gutter="0" w:footer="0" w:header="0"/>
        </w:sectPr>
      </w:pPr>
    </w:p>
    <w:bookmarkStart w:id="30" w:name="page31"/>
    <w:bookmarkEnd w:id="30"/>
    <w:p>
      <w:pPr>
        <w:ind w:right="100"/>
        <w:spacing w:after="0" w:line="277" w:lineRule="auto"/>
        <w:rPr>
          <w:sz w:val="20"/>
          <w:szCs w:val="20"/>
          <w:color w:val="auto"/>
        </w:rPr>
      </w:pPr>
      <w:r>
        <w:rPr>
          <w:rFonts w:ascii="Arial" w:cs="Arial" w:eastAsia="Arial" w:hAnsi="Arial"/>
          <w:sz w:val="18"/>
          <w:szCs w:val="18"/>
          <w:color w:val="auto"/>
        </w:rPr>
        <w:t>initiatives. With an extensive global community of students who are experienced with our software and poised to become the next generation of professional users, our goal is to reduce the cost of training and education of new talent for our customers.</w:t>
      </w:r>
    </w:p>
    <w:p>
      <w:pPr>
        <w:spacing w:after="0" w:line="170"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resellers, third-party developers, customers, educational institutions, and students; improve the performance and functionality of our products; and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Condensed Consolidated Financial Statements are prepared in conformity with U.S. generally accepted accounting principles.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2014. In addition, we highlighted those policies that involve a higher degree of judgment and complexity with further discussion in Item 7, “Management’s Discussion and Analysis of Financial Condition and Results of Operations” in our Form 10-K. We believe these policies are the most critical to aid in fully understanding and evaluating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and Nine Months Ended October 31, 2014 and 2013</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As a % of Net</w:t>
            </w:r>
          </w:p>
        </w:tc>
        <w:tc>
          <w:tcPr>
            <w:tcW w:w="180" w:type="dxa"/>
            <w:vAlign w:val="bottom"/>
          </w:tcPr>
          <w:p>
            <w:pPr>
              <w:spacing w:after="0"/>
              <w:rPr>
                <w:sz w:val="14"/>
                <w:szCs w:val="14"/>
                <w:color w:val="auto"/>
              </w:rPr>
            </w:pPr>
          </w:p>
        </w:tc>
        <w:tc>
          <w:tcPr>
            <w:tcW w:w="1600" w:type="dxa"/>
            <w:vAlign w:val="bottom"/>
          </w:tcPr>
          <w:p>
            <w:pPr>
              <w:jc w:val="center"/>
              <w:ind w:right="82"/>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As a % of Net</w:t>
            </w:r>
          </w:p>
        </w:tc>
      </w:tr>
      <w:tr>
        <w:trPr>
          <w:trHeight w:val="192"/>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2"/>
              </w:rPr>
              <w:t>October 31, 2014</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October 31, 2013</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3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618.0</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555.2</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60" w:type="dxa"/>
            <w:vAlign w:val="bottom"/>
          </w:tcPr>
          <w:p>
            <w:pPr>
              <w:spacing w:after="0"/>
              <w:rPr>
                <w:sz w:val="20"/>
                <w:szCs w:val="20"/>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86.0</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2"/>
              <w:spacing w:after="0"/>
              <w:rPr>
                <w:sz w:val="20"/>
                <w:szCs w:val="20"/>
                <w:color w:val="auto"/>
              </w:rPr>
            </w:pPr>
            <w:r>
              <w:rPr>
                <w:rFonts w:ascii="Arial" w:cs="Arial" w:eastAsia="Arial" w:hAnsi="Arial"/>
                <w:sz w:val="16"/>
                <w:szCs w:val="16"/>
                <w:color w:val="auto"/>
              </w:rPr>
              <w:t>67.1</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532.0</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488.1</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20"/>
                <w:szCs w:val="20"/>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517.4</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2"/>
              <w:spacing w:after="0"/>
              <w:rPr>
                <w:sz w:val="20"/>
                <w:szCs w:val="20"/>
                <w:color w:val="auto"/>
              </w:rPr>
            </w:pPr>
            <w:r>
              <w:rPr>
                <w:rFonts w:ascii="Arial" w:cs="Arial" w:eastAsia="Arial" w:hAnsi="Arial"/>
                <w:sz w:val="16"/>
                <w:szCs w:val="16"/>
                <w:color w:val="auto"/>
              </w:rPr>
              <w:t>420.0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14.6</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68.1</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37"/>
        </w:trPr>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24"/>
                <w:szCs w:val="2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As a % of Net</w:t>
            </w:r>
          </w:p>
        </w:tc>
        <w:tc>
          <w:tcPr>
            <w:tcW w:w="180" w:type="dxa"/>
            <w:vAlign w:val="bottom"/>
          </w:tcPr>
          <w:p>
            <w:pPr>
              <w:spacing w:after="0"/>
              <w:rPr>
                <w:sz w:val="24"/>
                <w:szCs w:val="24"/>
                <w:color w:val="auto"/>
              </w:rPr>
            </w:pPr>
          </w:p>
        </w:tc>
        <w:tc>
          <w:tcPr>
            <w:tcW w:w="160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As a % of Net</w:t>
            </w:r>
          </w:p>
        </w:tc>
      </w:tr>
      <w:tr>
        <w:trPr>
          <w:trHeight w:val="192"/>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2"/>
              </w:rPr>
              <w:t>October 31, 2014</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October 31, 2013</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3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1,847.6</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1,687.3</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60" w:type="dxa"/>
            <w:vAlign w:val="bottom"/>
          </w:tcPr>
          <w:p>
            <w:pPr>
              <w:spacing w:after="0"/>
              <w:rPr>
                <w:sz w:val="20"/>
                <w:szCs w:val="20"/>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252.6</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2"/>
              <w:spacing w:after="0"/>
              <w:rPr>
                <w:sz w:val="20"/>
                <w:szCs w:val="20"/>
                <w:color w:val="auto"/>
              </w:rPr>
            </w:pPr>
            <w:r>
              <w:rPr>
                <w:rFonts w:ascii="Arial" w:cs="Arial" w:eastAsia="Arial" w:hAnsi="Arial"/>
                <w:sz w:val="16"/>
                <w:szCs w:val="16"/>
                <w:color w:val="auto"/>
              </w:rPr>
              <w:t>202.4</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1,595.0</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1,484.9</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20"/>
                <w:szCs w:val="20"/>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1,488.3</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2"/>
              <w:spacing w:after="0"/>
              <w:rPr>
                <w:sz w:val="20"/>
                <w:szCs w:val="20"/>
                <w:color w:val="auto"/>
              </w:rPr>
            </w:pPr>
            <w:r>
              <w:rPr>
                <w:rFonts w:ascii="Arial" w:cs="Arial" w:eastAsia="Arial" w:hAnsi="Arial"/>
                <w:sz w:val="16"/>
                <w:szCs w:val="16"/>
                <w:color w:val="auto"/>
              </w:rPr>
              <w:t>1,251.8</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74%</w:t>
            </w:r>
          </w:p>
        </w:tc>
      </w:tr>
      <w:tr>
        <w:trPr>
          <w:trHeight w:val="33"/>
        </w:trPr>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106.7</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233.1</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7"/>
          <w:szCs w:val="17"/>
          <w:color w:val="auto"/>
        </w:rPr>
        <w:t>During the three months ended October 31, 2014, as compared to the same period in the prior fiscal year, net revenue increased 11%, and gross profit increased 9%, while income from operations decreased 79%. During the nine months ended October 31, 2014, as compared to the same period in the prior fiscal year, net revenue increased 10%, and gross profit increased 7%, while income from operations decreased 54%.</w:t>
      </w:r>
    </w:p>
    <w:p>
      <w:pPr>
        <w:spacing w:after="0" w:line="16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Our business experienced year over year growth in our Architecture, Engineering and Construction ("AEC"), Manufacturing ("MFG"), and Platform Solutions and Emerging Business (“PSEB”) segments, many of our major products, particularly our AEC suites, and all of our geographic areas, particularly Europe and Middle East and Africa ("EMEA"). This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4" w:right="259" w:bottom="1440" w:gutter="0" w:footer="0" w:header="0"/>
        </w:sectPr>
      </w:pPr>
    </w:p>
    <w:bookmarkStart w:id="31" w:name="page32"/>
    <w:bookmarkEnd w:id="31"/>
    <w:p>
      <w:pPr>
        <w:ind w:right="400"/>
        <w:spacing w:after="0" w:line="277" w:lineRule="auto"/>
        <w:rPr>
          <w:sz w:val="20"/>
          <w:szCs w:val="20"/>
          <w:color w:val="auto"/>
        </w:rPr>
      </w:pPr>
      <w:r>
        <w:rPr>
          <w:rFonts w:ascii="Arial" w:cs="Arial" w:eastAsia="Arial" w:hAnsi="Arial"/>
          <w:sz w:val="18"/>
          <w:szCs w:val="18"/>
          <w:color w:val="auto"/>
        </w:rPr>
        <w:t>growth contributed to the year over year increase in both subscription and license and other revenue during the three and nine months ended October 31, 2014.</w:t>
      </w:r>
    </w:p>
    <w:p>
      <w:pPr>
        <w:spacing w:after="0" w:line="170" w:lineRule="exact"/>
        <w:rPr>
          <w:sz w:val="20"/>
          <w:szCs w:val="20"/>
          <w:color w:val="auto"/>
        </w:rPr>
      </w:pPr>
    </w:p>
    <w:p>
      <w:pPr>
        <w:ind w:right="380" w:firstLine="405"/>
        <w:spacing w:after="0" w:line="286" w:lineRule="auto"/>
        <w:rPr>
          <w:sz w:val="20"/>
          <w:szCs w:val="20"/>
          <w:color w:val="auto"/>
        </w:rPr>
      </w:pPr>
      <w:r>
        <w:rPr>
          <w:rFonts w:ascii="Arial" w:cs="Arial" w:eastAsia="Arial" w:hAnsi="Arial"/>
          <w:sz w:val="17"/>
          <w:szCs w:val="17"/>
          <w:color w:val="auto"/>
        </w:rPr>
        <w:t>We continue to make progress on our business model transition announced during the latter half of fiscal year 2014 with more flexible licenses and service offerings that have ratable revenue streams. During the three and nine months ended October 31, 2014, we also experienced growth in our total subscriptions and billings which benefited from promotional activity driven by upgrades and maintenance renewals.</w:t>
      </w:r>
    </w:p>
    <w:p>
      <w:pPr>
        <w:spacing w:after="0" w:line="16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Income from operations during the three and nine months ended October 31, 2014 was negatively impacted by increased spend as a result of the business model transition, investments in our move to the cloud, the dilutive impact of the Delcam acquisition, as well as incremental spending on other key initiatives. Additionally, commissions and our employee incentive program are volume-related and increased based on our better-than-expected billings and subscriptions performance.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reasons for these changes are discussed below under the heading “Results from Operations.”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Revenue from flagship products was 47% and 48% of net revenue during the three and nine months ended October 31, 2014, respectively. Revenue from flagship products increased 5% and 2% during the three and nine months ended October 31, 2014, respectively, as compared to the same periods in the prior fiscal year. Revenue from suites was 36% of net revenue for both the three and nine months ended October 31, 2014 and increased 13% and 17% for the three and nine months ended October 31, 2014, respectively, as compared to the same periods in the prior fiscal year. Revenue from new and adjacent products was 17% and 16% of net revenue for the three and nine months ended October 31, 2014, respectively, and increased 29% and 18% as compared to the same periods in the prior fiscal year, respectivley. We anticipate that, as our new and existing customers migrate from our stand-alone products to suites, our revenue from suites will increase as a percentage of revenue and our revenue from our flagship products will decrease over time.</w:t>
      </w:r>
    </w:p>
    <w:p>
      <w:pPr>
        <w:spacing w:after="0" w:line="167"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Tech Data accounted for 26% of Autodesk’s total net revenue for both the three and nine months ended October 31, 2014, as compared to 24% and 25% in the three and nine months ended October 31, 2013, respectively. Our customers through Tech Data are the resellers and end users who purchase our software licenses and services. Should any of the agreements between Tech Data and us be terminated for any reason, we believe the resellers and end users who currently purchase our products through Tech Data would be able to continue to do so under substantially the same terms from one of our many other distributors without substantial disruption to our revenue. Consequently, we believe our business is not substantially dependent on Tech Data.</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Margin Analysis</w:t>
      </w:r>
    </w:p>
    <w:p>
      <w:pPr>
        <w:spacing w:after="0" w:line="225"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Income from operations decreased 79% in the three months ended October 31, 2014 due to a $97.4 million or 23% increase in our operating expenses and an $18.9 million or 28% increase in cost of revenue, as compared to the same period in the prior fiscal year. Partially offsetting the increase in our spend was a $62.8 million or 11% increase in net revenue, as compared to the same period in the prior fiscal year. Our operating margin decreased to 2% for the three months ended October 31, 2014 from 12% for the three months ended October 31, 2013.</w:t>
      </w:r>
    </w:p>
    <w:p>
      <w:pPr>
        <w:spacing w:after="0" w:line="171" w:lineRule="exact"/>
        <w:rPr>
          <w:sz w:val="20"/>
          <w:szCs w:val="20"/>
          <w:color w:val="auto"/>
        </w:rPr>
      </w:pPr>
    </w:p>
    <w:p>
      <w:pPr>
        <w:jc w:val="both"/>
        <w:ind w:right="140" w:firstLine="405"/>
        <w:spacing w:after="0" w:line="279" w:lineRule="auto"/>
        <w:rPr>
          <w:sz w:val="20"/>
          <w:szCs w:val="20"/>
          <w:color w:val="auto"/>
        </w:rPr>
      </w:pPr>
      <w:r>
        <w:rPr>
          <w:rFonts w:ascii="Arial" w:cs="Arial" w:eastAsia="Arial" w:hAnsi="Arial"/>
          <w:sz w:val="17"/>
          <w:szCs w:val="17"/>
          <w:color w:val="auto"/>
        </w:rPr>
        <w:t>Income from operations decreased 54% in the nine months ended October 31, 2014 due to a $236.5 million or 19% increase in our operating expenses and a $50.2 million or 25% increase in cost of revenue, as compared to the same period in the prior fiscal year. Partially offsetting the increase in our spend was a $160.3 million or 10% increase in net revenue, as compared to the same period in the prior fiscal year. Our operating margin decreased to 6% for the nine months ended October 31, 2014 from 14% for the nine months ended October 31, 2013.</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increase in operating expenses and the corresponding decrease in operating margin during the three and nine months ended October 31, 2014 was impacted by increased employee-related expenses in part because of the business model transition, investments in our move to the cloud, and the dilutive impact of the Delcam acquisition. Additionally, commissions and our employee incentive program are volume-related and increased based on our better-than-expected billings and subscriptions performance.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Further discussion regarding the cost of goods sold and operating expense activities are discussed below under the heading “Results of Operations.”</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584" w:right="279" w:bottom="1440" w:gutter="0" w:footer="0" w:header="0"/>
        </w:sectPr>
      </w:pPr>
    </w:p>
    <w:bookmarkStart w:id="32" w:name="page33"/>
    <w:bookmarkEnd w:id="32"/>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We generate a significant amount of our revenue in the U.S., Japan, Germany, France, and the United Kingdom. Our revenue was negatively impacted by foreign exchange rate changes during the three and nine months ended October 31, 2014, respectively, as compared to the same periods in the prior fiscal year. Had applicable exchange rates from the three months ended October 31, 2013 been in effect during the three months ended October 31, 2014 and had we excluded foreign exchange hedge gains and losses from the three months ended October 31, 2014 ("on a constant currency basis"), net revenue would have increased 12% during the three months ended October 31, 2014 as compared to the same period in the prior fiscal year. Had applicable exchange rates from the nine months ended October 31, 2013 been in effect during the nine months ended October 31, 2014 and had we excluded foreign exchange hedge gains and losses from the nine months ended October 31, 2014, net revenue would have increased 10% on a constant currency basis during the nine months ended October 31, 2014 as compared to the same period in the prior fiscal year.</w:t>
      </w:r>
    </w:p>
    <w:p>
      <w:pPr>
        <w:spacing w:after="0" w:line="166"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Our total spend, defined as cost of revenue plus operating expenses, during the three months ended October 31, 2014, was positively impacted by foreign exchange rate changes. Total spend increased 24% on an as reported basis as compared to the same period in the prior fiscal year but had applicable exchange rates from the three months ended October 31, 2013 been in effect during the three months ended October 31, 2014 and had we excluded foreign exchange hedge gains and losses from the three months ended October 31, 2014, total spend would have increased 25% on a constant currency basis compared to the same period in the prior fiscal year.</w:t>
      </w:r>
    </w:p>
    <w:p>
      <w:pPr>
        <w:spacing w:after="0" w:line="188"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Our total spend during the nine months ended October 31, 2014 was minimally impacted by foreing exchange rate changes. Total spend increased 20% on an as reported basis as compared to the same period in the prior fiscal year. Had applicable exchange rates from the nine months ended October 31, 2013 been in effect during the nine months ended October 31, 2014 and had we excluded foreign exchange hedge gains and losses from the nine months ended October 31, 2014, total spend would have increased 20% on a constant currency basis compared to the same period in the prior fiscal year.</w:t>
      </w:r>
    </w:p>
    <w:p>
      <w:pPr>
        <w:spacing w:after="0" w:line="154"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color w:val="auto"/>
        </w:rPr>
        <w:t>Changes in the value of the U.S. dollar may have a significant effect on net revenue, total spend and income from operations in future periods. We use foreign currency contracts to reduce the exchange rate effect on a portion of the net revenue and operating expenses of certain anticipated transactions but do not attempt to completely mitigate the impact of fluctuations of such foreign currency against the U.S. dollar.</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At October 31, 2014, we had $2,156.9 million in cash and marketable securities. We completed the nine months ended October 31, 2014 with higher deferred revenue and lower accounts receivable balances as compared to the end of the fiscal year ended January 31, 2014. Our deferred revenue balance at October 31, 2014 included $838.8 million of deferred subscription revenue primarily related to customer maintenance contracts, which will be recognized as revenue ratably over the life of the contracts. The term of our maintenance contracts is typically between one and three years. Our cash flow from operations increased 19% to $450.9 million as of October 31, 2014 from $380.0 million at October 31, 2013. We repurchased 1.9 million shares of our common stock for $103.3 million during the three months ended October 31, 2014. Comparatively, we repurchased 2.0 million shares of our common stock for $78.9 million during the three months ended October 31, 2013. We repurchased 5.8 million shares of our common stock for $307.6 million during the nine months ended October 31, 2014. Comparatively, we repurchased 8.3 million shares of our common stock for $318.7 million during the nine months ended October 31, 2013. Further discussion regarding the balance sheet and cash flow activities are discussed below under the heading “Liquidity and Capital Resources.”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Outlook</w:t>
      </w:r>
    </w:p>
    <w:p>
      <w:pPr>
        <w:spacing w:after="0" w:line="22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Autodesk's business model is evolving. We continue to assess current business offerings including introducing more flexible license and service offerings that have ratable revenue streams, and discontinuing the sale of new perpetual offerings. The accounting impact of these offerings and other business decisions are expected to result in an increase in the percentage of our ratable revenue, making for a more predictable business over time, while correspondingly reducing our upfront revenue stream. Over time, we expect our business model transition to expand our customer base by eliminating higher up-front licensing costs and providing more flexibility in how our customers gain access to and pay for our products. We also expect our traditional perpetual license revenue to decline without a corresponding decrease in expenses over the next 12 to 24 months. In the future, we expect this business model transition will increase our long-term billings and revenue growth rate by increasing total subscriptions and customer value over time.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33" w:name="page34"/>
    <w:bookmarkEnd w:id="33"/>
    <w:p>
      <w:pPr>
        <w:ind w:right="180" w:firstLine="405"/>
        <w:spacing w:after="0" w:line="312" w:lineRule="auto"/>
        <w:rPr>
          <w:sz w:val="20"/>
          <w:szCs w:val="20"/>
          <w:color w:val="auto"/>
        </w:rPr>
      </w:pPr>
      <w:r>
        <w:rPr>
          <w:rFonts w:ascii="Arial" w:cs="Arial" w:eastAsia="Arial" w:hAnsi="Arial"/>
          <w:sz w:val="16"/>
          <w:szCs w:val="16"/>
          <w:color w:val="auto"/>
        </w:rPr>
        <w:t>We expect net revenue for the fourth quarter of fiscal 2015 will range from $640 million to $655 million, and GAAP diluted earnings per share will range from a loss of $0.03 to break-even while non-GAAP diluted earnings per share will range from $0.22 to $0.25. Non-GAAP earnings per diluted share exclude $0.17 related to stock-based compensation expense and $0.08 related to the amortization of acquisition related intangibles, net of tax.</w:t>
      </w:r>
    </w:p>
    <w:p>
      <w:pPr>
        <w:spacing w:after="0" w:line="106"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Given our strong performance in the third quarter of fiscal 2015, we've raised our full year fiscal 2015 guidance ranges for revenue, billings, and subscriptions. We expect net revenue for fiscal 2015 to increase by approximately 9% to 10% compared to fiscal 2014. We expect billings for fiscal 2015 to increase by approximately 15% to 17% compared to fiscal 2014. We anticipate fiscal 2015 GAAP operating margin to be approximately 4.5% to 5% and non-GAAP operating margin to be approximately 15% to 15.5%. The 15% to 15.5% non-GAAP operating margin excludes 6.5 percentage points related to stock-based compensation expense, and 4 percentage points related to the amortization of acquisition related intangibles. We anticipate GAAP diluted earnings per share will range from $0.30 to $0.33 while non-GAAP diluted earnings per share will range from $1.15 to $1.18. Non-GAAP earnings per diluted share exclude $0.52 related to stock-based compensation expense, $0.30 for the amortization of acquisition related intangibles, $0.02 related to losses on strategic investments and $0.01 related to restructuring charges, net of tax. We expect to add 325,000-375,000 subscriptions during fiscal 2015.</w:t>
      </w:r>
    </w:p>
    <w:p>
      <w:pPr>
        <w:spacing w:after="0" w:line="126"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We remain diligent about managing our spend to make essential investments to drive growth. If we are unable to successfully achieve our major business initiatives we may not achieve our financial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14"/>
                <w:szCs w:val="14"/>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Increase (Decrease)</w:t>
            </w:r>
          </w:p>
        </w:tc>
        <w:tc>
          <w:tcPr>
            <w:tcW w:w="10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w:t>
            </w:r>
          </w:p>
        </w:tc>
        <w:tc>
          <w:tcPr>
            <w:tcW w:w="220" w:type="dxa"/>
            <w:vAlign w:val="bottom"/>
          </w:tcPr>
          <w:p>
            <w:pPr>
              <w:spacing w:after="0"/>
              <w:rPr>
                <w:sz w:val="14"/>
                <w:szCs w:val="14"/>
                <w:color w:val="auto"/>
              </w:rPr>
            </w:pPr>
          </w:p>
        </w:tc>
        <w:tc>
          <w:tcPr>
            <w:tcW w:w="16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Increase (Decrease)</w:t>
            </w:r>
          </w:p>
        </w:tc>
        <w:tc>
          <w:tcPr>
            <w:tcW w:w="140" w:type="dxa"/>
            <w:vAlign w:val="bottom"/>
          </w:tcPr>
          <w:p>
            <w:pPr>
              <w:spacing w:after="0"/>
              <w:rPr>
                <w:sz w:val="14"/>
                <w:szCs w:val="14"/>
                <w:color w:val="auto"/>
              </w:rPr>
            </w:pPr>
          </w:p>
        </w:tc>
        <w:tc>
          <w:tcPr>
            <w:tcW w:w="9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compared to</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compared to</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64"/>
        </w:trPr>
        <w:tc>
          <w:tcPr>
            <w:tcW w:w="27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October 31, 2014</w:t>
            </w:r>
          </w:p>
        </w:tc>
        <w:tc>
          <w:tcPr>
            <w:tcW w:w="200" w:type="dxa"/>
            <w:vAlign w:val="bottom"/>
          </w:tcPr>
          <w:p>
            <w:pPr>
              <w:spacing w:after="0"/>
              <w:rPr>
                <w:sz w:val="22"/>
                <w:szCs w:val="22"/>
                <w:color w:val="auto"/>
              </w:rPr>
            </w:pPr>
          </w:p>
        </w:tc>
        <w:tc>
          <w:tcPr>
            <w:tcW w:w="580" w:type="dxa"/>
            <w:vAlign w:val="bottom"/>
          </w:tcPr>
          <w:p>
            <w:pPr>
              <w:jc w:val="right"/>
              <w:ind w:right="341"/>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 2013</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 2014</w:t>
            </w:r>
          </w:p>
        </w:tc>
        <w:tc>
          <w:tcPr>
            <w:tcW w:w="220" w:type="dxa"/>
            <w:vAlign w:val="bottom"/>
          </w:tcPr>
          <w:p>
            <w:pPr>
              <w:spacing w:after="0"/>
              <w:rPr>
                <w:sz w:val="22"/>
                <w:szCs w:val="22"/>
                <w:color w:val="auto"/>
              </w:rPr>
            </w:pPr>
          </w:p>
        </w:tc>
        <w:tc>
          <w:tcPr>
            <w:tcW w:w="580" w:type="dxa"/>
            <w:vAlign w:val="bottom"/>
          </w:tcPr>
          <w:p>
            <w:pPr>
              <w:jc w:val="right"/>
              <w:ind w:right="281"/>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October 31, 2013</w:t>
            </w: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7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320.5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23.0</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8 %</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297.5</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987.1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52.9</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934.2</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39.8</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15 %</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107.4</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753.1</w:t>
            </w:r>
          </w:p>
        </w:tc>
        <w:tc>
          <w:tcPr>
            <w:tcW w:w="0" w:type="dxa"/>
            <w:vAlign w:val="bottom"/>
          </w:tcPr>
          <w:p>
            <w:pPr>
              <w:spacing w:after="0"/>
              <w:rPr>
                <w:sz w:val="1"/>
                <w:szCs w:val="1"/>
                <w:color w:val="auto"/>
              </w:rPr>
            </w:pPr>
          </w:p>
        </w:tc>
      </w:tr>
      <w:tr>
        <w:trPr>
          <w:trHeight w:val="284"/>
        </w:trPr>
        <w:tc>
          <w:tcPr>
            <w:tcW w:w="27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618.0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62.8</w:t>
            </w:r>
          </w:p>
        </w:tc>
        <w:tc>
          <w:tcPr>
            <w:tcW w:w="10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11 %</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555.2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1,847.6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160.3</w:t>
            </w:r>
          </w:p>
        </w:tc>
        <w:tc>
          <w:tcPr>
            <w:tcW w:w="10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1,687.3</w:t>
            </w:r>
          </w:p>
        </w:tc>
        <w:tc>
          <w:tcPr>
            <w:tcW w:w="0" w:type="dxa"/>
            <w:vAlign w:val="bottom"/>
          </w:tcPr>
          <w:p>
            <w:pPr>
              <w:spacing w:after="0"/>
              <w:rPr>
                <w:sz w:val="1"/>
                <w:szCs w:val="1"/>
                <w:color w:val="auto"/>
              </w:rPr>
            </w:pPr>
          </w:p>
        </w:tc>
      </w:tr>
      <w:tr>
        <w:trPr>
          <w:trHeight w:val="184"/>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7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230.8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22.5</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208.3</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659.8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47.7</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612.1</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33.8</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84.8</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622.4</w:t>
            </w:r>
          </w:p>
        </w:tc>
        <w:tc>
          <w:tcPr>
            <w:tcW w:w="0" w:type="dxa"/>
            <w:vAlign w:val="bottom"/>
          </w:tcPr>
          <w:p>
            <w:pPr>
              <w:spacing w:after="0"/>
              <w:rPr>
                <w:sz w:val="1"/>
                <w:szCs w:val="1"/>
                <w:color w:val="auto"/>
              </w:rPr>
            </w:pPr>
          </w:p>
        </w:tc>
      </w:tr>
      <w:tr>
        <w:trPr>
          <w:trHeight w:val="237"/>
        </w:trPr>
        <w:tc>
          <w:tcPr>
            <w:tcW w:w="270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1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149.0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6.5</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480.6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27.8</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452.8</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62.8</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1,847.6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160.3</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1,687.3</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40"/>
              <w:spacing w:after="0"/>
              <w:rPr>
                <w:sz w:val="20"/>
                <w:szCs w:val="20"/>
                <w:color w:val="auto"/>
              </w:rPr>
            </w:pPr>
            <w:r>
              <w:rPr>
                <w:rFonts w:ascii="Arial" w:cs="Arial" w:eastAsia="Arial" w:hAnsi="Arial"/>
                <w:sz w:val="16"/>
                <w:szCs w:val="16"/>
                <w:color w:val="auto"/>
              </w:rPr>
              <w:t>Net Revenue by Operating Segment:</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7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8"/>
              </w:rPr>
              <w:t>Platform Solutions and Emerging</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14.4</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593.4</w:t>
            </w:r>
          </w:p>
        </w:tc>
        <w:tc>
          <w:tcPr>
            <w:tcW w:w="0" w:type="dxa"/>
            <w:vAlign w:val="bottom"/>
          </w:tcPr>
          <w:p>
            <w:pPr>
              <w:spacing w:after="0"/>
              <w:rPr>
                <w:sz w:val="1"/>
                <w:szCs w:val="1"/>
                <w:color w:val="auto"/>
              </w:rPr>
            </w:pPr>
          </w:p>
        </w:tc>
      </w:tr>
      <w:tr>
        <w:trPr>
          <w:trHeight w:val="219"/>
        </w:trPr>
        <w:tc>
          <w:tcPr>
            <w:tcW w:w="2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Business</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00" w:type="dxa"/>
            <w:vAlign w:val="bottom"/>
          </w:tcPr>
          <w:p>
            <w:pPr>
              <w:ind w:left="380"/>
              <w:spacing w:after="0"/>
              <w:rPr>
                <w:sz w:val="20"/>
                <w:szCs w:val="20"/>
                <w:color w:val="auto"/>
              </w:rPr>
            </w:pPr>
            <w:r>
              <w:rPr>
                <w:rFonts w:ascii="Arial" w:cs="Arial" w:eastAsia="Arial" w:hAnsi="Arial"/>
                <w:sz w:val="16"/>
                <w:szCs w:val="16"/>
                <w:color w:val="auto"/>
              </w:rPr>
              <w:t>Architecture, Engineering and</w:t>
            </w:r>
          </w:p>
        </w:tc>
        <w:tc>
          <w:tcPr>
            <w:tcW w:w="16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217.1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31.2</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185.9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630.5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95.4</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535.1</w:t>
            </w:r>
          </w:p>
        </w:tc>
        <w:tc>
          <w:tcPr>
            <w:tcW w:w="0" w:type="dxa"/>
            <w:vAlign w:val="bottom"/>
          </w:tcPr>
          <w:p>
            <w:pPr>
              <w:spacing w:after="0"/>
              <w:rPr>
                <w:sz w:val="1"/>
                <w:szCs w:val="1"/>
                <w:color w:val="auto"/>
              </w:rPr>
            </w:pPr>
          </w:p>
        </w:tc>
      </w:tr>
      <w:tr>
        <w:trPr>
          <w:trHeight w:val="206"/>
        </w:trPr>
        <w:tc>
          <w:tcPr>
            <w:tcW w:w="2700" w:type="dxa"/>
            <w:vAlign w:val="bottom"/>
          </w:tcPr>
          <w:p>
            <w:pPr>
              <w:ind w:left="620"/>
              <w:spacing w:after="0"/>
              <w:rPr>
                <w:sz w:val="20"/>
                <w:szCs w:val="20"/>
                <w:color w:val="auto"/>
              </w:rPr>
            </w:pPr>
            <w:r>
              <w:rPr>
                <w:rFonts w:ascii="Arial" w:cs="Arial" w:eastAsia="Arial" w:hAnsi="Arial"/>
                <w:sz w:val="16"/>
                <w:szCs w:val="16"/>
                <w:color w:val="auto"/>
              </w:rPr>
              <w:t>Construction</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27.7</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60.1</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425.1</w:t>
            </w:r>
          </w:p>
        </w:tc>
        <w:tc>
          <w:tcPr>
            <w:tcW w:w="0" w:type="dxa"/>
            <w:vAlign w:val="bottom"/>
          </w:tcPr>
          <w:p>
            <w:pPr>
              <w:spacing w:after="0"/>
              <w:rPr>
                <w:sz w:val="1"/>
                <w:szCs w:val="1"/>
                <w:color w:val="auto"/>
              </w:rPr>
            </w:pPr>
          </w:p>
        </w:tc>
      </w:tr>
      <w:tr>
        <w:trPr>
          <w:trHeight w:val="224"/>
        </w:trPr>
        <w:tc>
          <w:tcPr>
            <w:tcW w:w="2700" w:type="dxa"/>
            <w:vAlign w:val="bottom"/>
          </w:tcPr>
          <w:p>
            <w:pPr>
              <w:ind w:left="380"/>
              <w:spacing w:after="0"/>
              <w:rPr>
                <w:sz w:val="20"/>
                <w:szCs w:val="20"/>
                <w:color w:val="auto"/>
              </w:rPr>
            </w:pPr>
            <w:r>
              <w:rPr>
                <w:rFonts w:ascii="Arial" w:cs="Arial" w:eastAsia="Arial" w:hAnsi="Arial"/>
                <w:sz w:val="16"/>
                <w:szCs w:val="16"/>
                <w:color w:val="auto"/>
              </w:rPr>
              <w:t>Media and Entertainment</w:t>
            </w:r>
          </w:p>
        </w:tc>
        <w:tc>
          <w:tcPr>
            <w:tcW w:w="16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47"/>
        </w:trPr>
        <w:tc>
          <w:tcPr>
            <w:tcW w:w="27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62.8</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1,847.6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160.3</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1,687.3</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License and other revenue consists of two components: (1) all forms of product license revenue and (2) other revenue. Product license revenue includes software license revenue from the sale of seat licenses, software license revenue from the sale of seat term-based licenses from our desktop subscription and enterprise offerings, and upgrades and product revenue for Creative Finishing. Other revenue includes revenue from consulting, training, Autodesk Developers Network and Creative Finishing customer support, and is recognized as the services are performed.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firstLine="405"/>
        <w:spacing w:after="0" w:line="312" w:lineRule="auto"/>
        <w:rPr>
          <w:sz w:val="20"/>
          <w:szCs w:val="20"/>
          <w:color w:val="auto"/>
        </w:rPr>
      </w:pPr>
      <w:r>
        <w:rPr>
          <w:rFonts w:ascii="Arial" w:cs="Arial" w:eastAsia="Arial" w:hAnsi="Arial"/>
          <w:sz w:val="16"/>
          <w:szCs w:val="16"/>
          <w:color w:val="auto"/>
        </w:rPr>
        <w:t>License and other revenue increased 8% during the three months ended October 31, 2014, as compared to the three months ended October 31, 2013. This increase was primarily due to a 9% increase in product license revenue as compared to the same period in the prior fiscal year. The increase in product license revenue was primarily due to a 9% increase in revenue from our flagship products and a 36% increase in revenue from our new and adjacent products.</w:t>
      </w:r>
    </w:p>
    <w:p>
      <w:pPr>
        <w:spacing w:after="0" w:line="147"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During the three months ended October 31, 2014, the 9% increase in product license revenue was due to a 9% increase in the number of seats sold. Product license revenue, as a percentage of License and other revenue, was 89% and 87% for the three months ended October 31, 2014 and 2013, respectively.</w:t>
      </w:r>
    </w:p>
    <w:p>
      <w:pPr>
        <w:spacing w:after="0" w:line="18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three months ended October 31, 2014, other revenue represented 11% of License and other revenue. Other revenue decreased by 4% during the three months ended October 31, 2014, as compared to the three months ended October 31, 2013 primarily due to a 92% decrease in revenue from our education products as a result of our strategic transition to offer software licenses to students, educators and institutions for little or no fees partially offset by a 17% increase in revenue from consulting.</w:t>
      </w:r>
    </w:p>
    <w:p>
      <w:pPr>
        <w:spacing w:after="0" w:line="18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License and other revenue increased 6% during the nine months ended October 31, 2014, as compared to the nine months ended October 31, 2013. This increase was primarily due to a 6% increase in product license revenue as compared to the same period in the prior fiscal year. The increase in product license revenue was primarily due to a 5% increase in revenue from our flagship products and a 6% increase in revenue in our suites products.</w:t>
      </w:r>
    </w:p>
    <w:p>
      <w:pPr>
        <w:spacing w:after="0" w:line="147"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During the nine months ended October 31, 2014, the 6% increase in product license revenue was due to a 7% increase in the average net revenue per seat partially offset by a 1% decrease in the number of seats sold. Product license revenue, as a percentage of License and other revenue, was 89% for both the nine months ended October 31, 2014 and 2013.</w:t>
      </w:r>
    </w:p>
    <w:p>
      <w:pPr>
        <w:spacing w:after="0" w:line="181"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During the nine months ended October 31, 2014, other revenue represented 11% of License and other revenue. Other revenue increased by 2% during the nine months ended October 31, 2014, as compared to the nine months ended October 31, 2013 primarily due to a 14% increase in revenue from consulting, partially offset by a 63% decrease in revenue from our education products as a result of our strategic transition to offer software licenses to students, educators and institutions for little or no fees.</w:t>
      </w:r>
    </w:p>
    <w:p>
      <w:pPr>
        <w:spacing w:after="0" w:line="187"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Backlog related to current software license product orders that had not shipped at the end of the quarter increased by $1.4 million during the nine months ended October 31, 2014 from $19.7 million at January 31, 2014 to $21.1 million at October 31, 2014. Backlog from current software license product orders that we have not yet shipped consists of orders for currently available licensed software products from customers with approved credit status.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Autodesk subscription revenue consists of three components: (1) maintenance revenue from our software products; (2) maintenance revenue from our term-based desktop subscription and enterprise offerings; and (3) revenue from our cloud service offerings. Our maintenance program provides our commercial and educational customers of software products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term of the maintenance agreement, which is generally between one and three years but can occasionally be as long as five years. Revenue for our cloud service offerings is recognized ratably over the contract term commencing with the date our service is made available to customers and all other revenue recognition criteria have been satisfied.</w:t>
      </w:r>
    </w:p>
    <w:p>
      <w:pPr>
        <w:spacing w:after="0" w:line="179"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Subscription revenue increased 15% during the three months ended October 31, 2014, as compared to the three months ended October 31, 2013, primarily due to a 16% increase in commercial maintenance revenue. The 16% increase in commercial maintenance revenue was due to a 10% increase from net revenue per maintenance seat and a 6% increase from commercial enrollment during the corresponding maintenance contract term. Commercial maintenance revenue represented 96% of Subscription revenue for both the three months ended October 31, 2014 and 2013.</w:t>
      </w:r>
    </w:p>
    <w:p>
      <w:pPr>
        <w:spacing w:after="0" w:line="17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Subscription revenue increased 14% during the nine months ended October 31, 2014, as compared to the nine months ended October 31, 2013, primarily due to a 15% increase in commercial maintenance revenue. The 15% increase in commercial maintenance revenue was due to a 10% increase from net revenue per maintenance seat and a 5% increase from commercial enrollment during the corresponding maintenance contract term. Commercial maintenance revenue represented 96% and 95% of Subscription revenue for the nine months ended October 31, 2014 and 2013, respectively.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800" w:right="279" w:bottom="1440" w:gutter="0" w:footer="0" w:header="0"/>
        </w:sectPr>
      </w:pPr>
    </w:p>
    <w:bookmarkStart w:id="35" w:name="page36"/>
    <w:bookmarkEnd w:id="35"/>
    <w:p>
      <w:pPr>
        <w:ind w:right="220" w:firstLine="432"/>
        <w:spacing w:after="0" w:line="264" w:lineRule="auto"/>
        <w:rPr>
          <w:sz w:val="20"/>
          <w:szCs w:val="20"/>
          <w:color w:val="auto"/>
        </w:rPr>
      </w:pPr>
      <w:r>
        <w:rPr>
          <w:rFonts w:ascii="Arial" w:cs="Arial" w:eastAsia="Arial" w:hAnsi="Arial"/>
          <w:sz w:val="18"/>
          <w:szCs w:val="18"/>
          <w:color w:val="auto"/>
        </w:rPr>
        <w:t>Changes in Subscription revenue lag changes in subscription billings. Subscription billings increased 31% and 27% during the three and nine months ended October 31, 2014, respectively, as compared to the same periods in the prior fiscal year primarily due to an increase in maintenance subscription billings.</w:t>
      </w:r>
    </w:p>
    <w:p>
      <w:pPr>
        <w:spacing w:after="0" w:line="18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deferred subscription revenue balance at October 31, 2014 and January 31, 2014 was $838.8 million and $789.3 million, respectively, and primarily related to customer maintenance agreements, which will be recognized as revenue ratably over the term of the maintenance agreement.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Net revenue in the Americas geography increased by 11% on an as reported basis and on a constant currency basis, during the three months ended October 31, 2014, as compared to the same period in the prior fiscal year. This increase was primarily due to a 13% increase in our suites revenue and a 27% increase in our new and adjacent product revenue in this geography during the three months ended October 31, 2014 as compared to the three months ended October 31, 2013. The increase in our revenue in this geography was led by the U.S.</w:t>
      </w:r>
    </w:p>
    <w:p>
      <w:pPr>
        <w:spacing w:after="0" w:line="18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Net revenue in the Americas geography increased by 8% on an as reported basis and on a constant currency basis, during the nine months ended October 31, 2014, as compared to the same period in the prior fiscal year. This increase was primarily due to a 17% increase in our suites revenue and a 15% increase in our new and adjacent product revenue in this geography during the nine months ended October 31, 2014 as compared to the nine months ended October 31, 2013. The increase in our revenue in this geography was led by the U.S.</w:t>
      </w:r>
    </w:p>
    <w:p>
      <w:pPr>
        <w:spacing w:after="0" w:line="187" w:lineRule="exact"/>
        <w:rPr>
          <w:sz w:val="20"/>
          <w:szCs w:val="20"/>
          <w:color w:val="auto"/>
        </w:rPr>
      </w:pPr>
    </w:p>
    <w:p>
      <w:pPr>
        <w:jc w:val="both"/>
        <w:ind w:right="140" w:firstLine="432"/>
        <w:spacing w:after="0" w:line="279" w:lineRule="auto"/>
        <w:rPr>
          <w:sz w:val="20"/>
          <w:szCs w:val="20"/>
          <w:color w:val="auto"/>
        </w:rPr>
      </w:pPr>
      <w:r>
        <w:rPr>
          <w:rFonts w:ascii="Arial" w:cs="Arial" w:eastAsia="Arial" w:hAnsi="Arial"/>
          <w:sz w:val="17"/>
          <w:szCs w:val="17"/>
          <w:color w:val="auto"/>
        </w:rPr>
        <w:t>Net revenue in the EMEA geography increased by 17% on an as reported basis and 15% on a constant currency basis, during the three months ended October 31, 2014 as compared to the same period in the prior fiscal year. This increase was primarily due to a 17% increase in our suites revenue and a 49% increase in our new and adjacent product revenue in this geography during the three months ended October 31, 2014 as compared to the three months ended October 31, 2013. The increase in our revenue in this geography was led by Germany and France.</w:t>
      </w:r>
    </w:p>
    <w:p>
      <w:pPr>
        <w:spacing w:after="0" w:line="171"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Net revenue in the EMEA geography increased by 14% on an as reported basis and 11% on a constant currency basis, during the nine months ended October 31, 2014 as compared to the same period in the prior fiscal year. This increase was primarily due to a 23% increase in our suites revenue and a 35% increase in our new and adjacent product revenue in this geography during the nine months ended October 31, 2014 as compared to the nine months ended October 31, 2013. The increase in our revenue in this geography was led by France and Germany.</w:t>
      </w:r>
    </w:p>
    <w:p>
      <w:pPr>
        <w:spacing w:after="0" w:line="171"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Net revenue in the APAC geography increased 5% on an as reported basis and 10% on a constant currency basis, during the three months ended October 31, 2014, as compared to the same period in the prior fiscal year. The increase was primarily due to a 3% increase in our flagship products and a 6% increase in our suites revenue in this geography during the three months ended October 31, 2014 as compared to the same period in the prior fiscal year. The increase in our revenue in this geography during the three months ended October 31, 2014 was led by China and India.</w:t>
      </w:r>
    </w:p>
    <w:p>
      <w:pPr>
        <w:spacing w:after="0" w:line="17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Net revenue in the APAC geography increased 6% on an as reported basis and 13% on a constant currency basis, during the nine months ended October 31, 2014, as compared to the same period in the prior fiscal year. The increase was primarily due to a 6% increase in our flagship products and an 8% increase in our suites revenue in this geography during the nine months ended October 31, 2014 as compared to the same period in the prior fiscal year. The increase in our revenue in this geography during the nine months ended October 31, 2014 was led by South Korea and Japan.</w:t>
      </w:r>
    </w:p>
    <w:p>
      <w:pPr>
        <w:spacing w:after="0" w:line="17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Net revenue in emerging economies increased by 13% during the three months ended October 31, 2014 as compared to the same period in the prior fiscal year, primarily due to increases in revenue from China. Revenue from emerging economies represented 15% of net revenue for both the three months ended October 31, 2014 and 2013, respectively.</w:t>
      </w:r>
    </w:p>
    <w:p>
      <w:pPr>
        <w:spacing w:after="0" w:line="18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Net revenue in emerging economies increased by 11% during the nine months ended October 31, 2014 as compared to the same period in the prior fiscal year, primarily due to increases in revenue from India, Brazil and Poland. Revenue from emerging economies represented 15% of net revenue for both the nine months ended October 31, 2014 and 2013, respectively.</w:t>
      </w:r>
    </w:p>
    <w:p>
      <w:pPr>
        <w:spacing w:after="0" w:line="18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International net revenue represented 69% and 71% of our net revenue for the three and nine months ended October 31, 2014, respectively. International net revenue represented 69% and 70% of our net revenue for the three and nine months ended October 31, 2013, respectively. We believe that international revenue will continue to comprise a majority of our net revenue. Unfavorable economic conditions in the countries that contribute a significant portion of our net revenue, including in emerging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800" w:right="259" w:bottom="1440" w:gutter="0" w:footer="0" w:header="0"/>
        </w:sectPr>
      </w:pPr>
    </w:p>
    <w:bookmarkStart w:id="36" w:name="page37"/>
    <w:bookmarkEnd w:id="36"/>
    <w:p>
      <w:pPr>
        <w:ind w:right="440"/>
        <w:spacing w:after="0" w:line="279" w:lineRule="auto"/>
        <w:rPr>
          <w:sz w:val="20"/>
          <w:szCs w:val="20"/>
          <w:color w:val="auto"/>
        </w:rPr>
      </w:pPr>
      <w:r>
        <w:rPr>
          <w:rFonts w:ascii="Arial" w:cs="Arial" w:eastAsia="Arial" w:hAnsi="Arial"/>
          <w:sz w:val="17"/>
          <w:szCs w:val="17"/>
          <w:color w:val="auto"/>
        </w:rPr>
        <w:t>economies,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Additionally, weak global economic conditions that have been characterized by restructuring of sovereign debt, high unemployment, and volatility in the financial markets may impact our future financial results.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four reportable segments: PSEB, AEC, MFG and Media and Entertainment ("M&amp;E"). We have no material inter-segment revenue.</w:t>
      </w:r>
    </w:p>
    <w:p>
      <w:pPr>
        <w:spacing w:after="0" w:line="237"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During the three months ended October 31, 2014, net revenue for PSEB increased by 3% as compared to the same period in the prior fiscal year primarily due to a 6% increase in revenue from AutoCAD LT and a 2% increase in revenue from AutoCAD.</w:t>
      </w:r>
    </w:p>
    <w:p>
      <w:pPr>
        <w:spacing w:after="0" w:line="170"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During the nine months ended October 31, 2014, net revenue for PSEB increased by 2% as compared to the same period in the prior fiscal year primarily due to a 6% increase in revenue from AutoCAD LT.</w:t>
      </w:r>
    </w:p>
    <w:p>
      <w:pPr>
        <w:spacing w:after="0" w:line="17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During the three months ended October 31, 2014, net revenue for AEC increased by 17% as compared to the same period in the prior fiscal year primarily due to a 23% increase in revenue from our AEC suites, which was primarily driven by Autodesk Building Design Suite and Autodesk Infrastructure Design Suite.</w:t>
      </w:r>
    </w:p>
    <w:p>
      <w:pPr>
        <w:spacing w:after="0" w:line="1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During the nine months ended October 31, 2014, net revenue for AEC increased by 18% as compared to the same period in the prior fiscal year primarily due to a 38% increase in revenue from our AEC suites, which was primarily driven by Autodesk Building Design Suite and Autodesk Infrastructure Design Suite.</w:t>
      </w:r>
    </w:p>
    <w:p>
      <w:pPr>
        <w:spacing w:after="0" w:line="181"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During the three months ended October 31, 2014, net revenue for MFG increased by 20% as compared to the same period of the prior fiscal year primarily due to a 9% increase in revenue from our MFG suites, which was primarily driven by the Autodesk Product Design Suite.</w:t>
      </w:r>
    </w:p>
    <w:p>
      <w:pPr>
        <w:spacing w:after="0" w:line="147" w:lineRule="exact"/>
        <w:rPr>
          <w:sz w:val="20"/>
          <w:szCs w:val="20"/>
          <w:color w:val="auto"/>
        </w:rPr>
      </w:pPr>
    </w:p>
    <w:p>
      <w:pPr>
        <w:ind w:right="580" w:firstLine="432"/>
        <w:spacing w:after="0" w:line="308" w:lineRule="auto"/>
        <w:rPr>
          <w:sz w:val="20"/>
          <w:szCs w:val="20"/>
          <w:color w:val="auto"/>
        </w:rPr>
      </w:pPr>
      <w:r>
        <w:rPr>
          <w:rFonts w:ascii="Arial" w:cs="Arial" w:eastAsia="Arial" w:hAnsi="Arial"/>
          <w:sz w:val="17"/>
          <w:szCs w:val="17"/>
          <w:color w:val="auto"/>
        </w:rPr>
        <w:t>During the nine months ended October 31, 2014, net revenue for MFG increased by 14% as compared to the same period of the prior fiscal year primarily due to an 9% increase in revenue from our MFG suites, which was primarily driven by the Autodesk Product Design Suite.</w:t>
      </w:r>
    </w:p>
    <w:p>
      <w:pPr>
        <w:spacing w:after="0" w:line="14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During the three months ended October 31, 2014, net revenue for M&amp;E decreased by 3% as compared to the same period in the prior fiscal year primarily due to a 3% decrease in revenue from Animation. Revenue from Creative Finishing decreased 1% as compared to the same period in the prior fiscal year. The decrease in Animation revenue was primarily due to a 28% decrease in revenue from our M&amp;E suites, in particular our Autodesk Entertainment Creation Suite. Creative Finishing was impacted by a general decrease in M&amp;E industry end-market demand partially offset by a 47% increase in sales of our Creative Finishing hardware products and services.</w:t>
      </w:r>
    </w:p>
    <w:p>
      <w:pPr>
        <w:spacing w:after="0" w:line="18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During the nine months ended October 31, 2014, net revenue for M&amp;E decreased by 7% as compared to the same period in the prior fiscal year, due to a 6% decrease in revenue from Animation and a 12% decrease in revenue from Creative Finishing. The decrease in Animation revenue was primarily due to a 25% decrease in revenue from our M&amp;E suites, in particular our Autodesk Entertainment Creation Suite. The decline in Creative Finishing was impacted by a general decrease in M&amp;E industry end-market demand. M&amp;E revenue is impacted by a general decrease in the M&amp;E industry end-market demand, the planned inclusion of our M&amp;E products in other Autodesk industry suites, and our business model transition as customers are opting for desktop subscription.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84"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auto"/>
        </w:rPr>
        <w:t>Cost of Revenue and 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14"/>
                <w:szCs w:val="14"/>
                <w:color w:val="auto"/>
              </w:rPr>
            </w:pPr>
          </w:p>
        </w:tc>
        <w:tc>
          <w:tcPr>
            <w:tcW w:w="1760" w:type="dxa"/>
            <w:vAlign w:val="bottom"/>
            <w:gridSpan w:val="4"/>
          </w:tcPr>
          <w:p>
            <w:pPr>
              <w:ind w:left="80"/>
              <w:spacing w:after="0"/>
              <w:rPr>
                <w:sz w:val="20"/>
                <w:szCs w:val="20"/>
                <w:color w:val="auto"/>
              </w:rPr>
            </w:pPr>
            <w:r>
              <w:rPr>
                <w:rFonts w:ascii="Arial" w:cs="Arial" w:eastAsia="Arial" w:hAnsi="Arial"/>
                <w:sz w:val="14"/>
                <w:szCs w:val="14"/>
                <w:b w:val="1"/>
                <w:bCs w:val="1"/>
                <w:color w:val="auto"/>
              </w:rPr>
              <w:t>Increase compared to</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Nine Months</w:t>
            </w:r>
          </w:p>
        </w:tc>
        <w:tc>
          <w:tcPr>
            <w:tcW w:w="180" w:type="dxa"/>
            <w:vAlign w:val="bottom"/>
          </w:tcPr>
          <w:p>
            <w:pPr>
              <w:spacing w:after="0"/>
              <w:rPr>
                <w:sz w:val="14"/>
                <w:szCs w:val="14"/>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rPr>
              <w:t>Increase compared to</w:t>
            </w:r>
          </w:p>
        </w:tc>
        <w:tc>
          <w:tcPr>
            <w:tcW w:w="160" w:type="dxa"/>
            <w:vAlign w:val="bottom"/>
          </w:tcPr>
          <w:p>
            <w:pPr>
              <w:spacing w:after="0"/>
              <w:rPr>
                <w:sz w:val="14"/>
                <w:szCs w:val="14"/>
                <w:color w:val="auto"/>
              </w:rPr>
            </w:pPr>
          </w:p>
        </w:tc>
        <w:tc>
          <w:tcPr>
            <w:tcW w:w="102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22"/>
                <w:szCs w:val="22"/>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October 31, 2014</w:t>
            </w:r>
          </w:p>
        </w:tc>
        <w:tc>
          <w:tcPr>
            <w:tcW w:w="200" w:type="dxa"/>
            <w:vAlign w:val="bottom"/>
          </w:tcPr>
          <w:p>
            <w:pPr>
              <w:spacing w:after="0"/>
              <w:rPr>
                <w:sz w:val="22"/>
                <w:szCs w:val="22"/>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October 31, 2013</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October 31, 2014</w:t>
            </w:r>
          </w:p>
        </w:tc>
        <w:tc>
          <w:tcPr>
            <w:tcW w:w="18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October 31, 2013</w:t>
            </w:r>
          </w:p>
        </w:tc>
      </w:tr>
      <w:tr>
        <w:trPr>
          <w:trHeight w:val="210"/>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60"/>
        </w:trPr>
        <w:tc>
          <w:tcPr>
            <w:tcW w:w="2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3"/>
              <w:spacing w:after="0"/>
              <w:rPr>
                <w:sz w:val="20"/>
                <w:szCs w:val="20"/>
                <w:color w:val="auto"/>
              </w:rPr>
            </w:pPr>
            <w:r>
              <w:rPr>
                <w:rFonts w:ascii="Arial" w:cs="Arial" w:eastAsia="Arial" w:hAnsi="Arial"/>
                <w:sz w:val="16"/>
                <w:szCs w:val="16"/>
                <w:color w:val="auto"/>
              </w:rPr>
              <w:t>8.5</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3"/>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ind w:left="220"/>
              <w:spacing w:after="0"/>
              <w:rPr>
                <w:sz w:val="20"/>
                <w:szCs w:val="20"/>
                <w:color w:val="auto"/>
              </w:rPr>
            </w:pPr>
            <w:r>
              <w:rPr>
                <w:rFonts w:ascii="Arial" w:cs="Arial" w:eastAsia="Arial" w:hAnsi="Arial"/>
                <w:sz w:val="16"/>
                <w:szCs w:val="16"/>
                <w:color w:val="auto"/>
              </w:rPr>
              <w:t>24.0</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130.6</w:t>
            </w:r>
          </w:p>
        </w:tc>
      </w:tr>
      <w:tr>
        <w:trPr>
          <w:trHeight w:val="33"/>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10.4</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26.2</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71.8</w:t>
            </w:r>
          </w:p>
        </w:tc>
      </w:tr>
      <w:tr>
        <w:trPr>
          <w:trHeight w:val="284"/>
        </w:trPr>
        <w:tc>
          <w:tcPr>
            <w:tcW w:w="24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86.0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18.9</w:t>
            </w:r>
          </w:p>
        </w:tc>
        <w:tc>
          <w:tcPr>
            <w:tcW w:w="10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6"/>
                <w:szCs w:val="16"/>
                <w:color w:val="auto"/>
              </w:rPr>
              <w:t>67.1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252.6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color w:val="auto"/>
              </w:rPr>
              <w:t>50.2</w:t>
            </w:r>
          </w:p>
        </w:tc>
        <w:tc>
          <w:tcPr>
            <w:tcW w:w="9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202.4</w:t>
            </w:r>
          </w:p>
        </w:tc>
      </w:tr>
      <w:tr>
        <w:trPr>
          <w:trHeight w:val="224"/>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 a percentage of net revenue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2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Cost of license and other revenue includes labor costs associated with product setup and fulfillment and costs of consulting and training services contracts and collaborative project management services contracts. Cost of license and other revenue also includes stock-based compensation expense, direct material and overhead charges, amortization of developed technology, professional services fees and royalties. Direct material and overhead charges include the cost of hardware sold (mainly PC-based workstations for Creative Finishing in the M&amp;E segment), costs associated with transferring our software to electronic media, physical media, packaging materials and shipping and handling costs.</w:t>
      </w:r>
    </w:p>
    <w:p>
      <w:pPr>
        <w:spacing w:after="0" w:line="17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Cost of license and other revenue increased 20% and 18% for the three and nine months ended October 31, 2014, respectively, as compared to the same periods in the prior fiscal year, primarily due to higher employee-related costs related to salaries associated with an increased headcount, primarily from acquisitions such as Delcam and higher amortization expense of developed technologies.</w:t>
      </w:r>
    </w:p>
    <w:p>
      <w:pPr>
        <w:spacing w:after="0" w:line="181"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Cost of subscription revenue includes the labor costs of providing product support to our maintenance and cloud subscription customers, including rent and occupancy, shipping and handling costs, professional services fees related to operating our network and cloud infrastructure, including depreciation expense and operating lease payments associated with computer equipment, data center costs, salaries and related expenses of network operations.</w:t>
      </w:r>
    </w:p>
    <w:p>
      <w:pPr>
        <w:spacing w:after="0" w:line="14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Cost of subscription revenue increased 44% during the three months ended October 31, 2014, as compared to the same period in the prior fiscal year, primarily due to higher employee-related costs for product support and higher cloud services-related expenses. Cost of subscription revenue increased 36% during the nine months ended October 31, 2014, as compared to the same period in the prior fiscal year, primarily due to higher cloud services-related expenses and higher employee-related costs for product support.</w:t>
      </w:r>
    </w:p>
    <w:p>
      <w:pPr>
        <w:spacing w:after="0" w:line="18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expect cost of revenue to increase in absolute dollars and slightly increase as a percentage of net revenue during the fourth quarter of fiscal 2015, as compared to the fourth quarter of fiscal 2014.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ind w:left="220"/>
        <w:spacing w:after="0"/>
        <w:rPr>
          <w:sz w:val="20"/>
          <w:szCs w:val="20"/>
          <w:color w:val="auto"/>
        </w:rPr>
      </w:pPr>
      <w:r>
        <w:rPr>
          <w:rFonts w:ascii="Arial" w:cs="Arial" w:eastAsia="Arial" w:hAnsi="Arial"/>
          <w:sz w:val="18"/>
          <w:szCs w:val="18"/>
          <w:i w:val="1"/>
          <w:iCs w:val="1"/>
          <w:color w:val="auto"/>
        </w:rPr>
        <w:t>Marketing and Sales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2040" w:type="dxa"/>
            <w:vAlign w:val="bottom"/>
            <w:gridSpan w:val="7"/>
          </w:tcPr>
          <w:p>
            <w:pPr>
              <w:ind w:left="260"/>
              <w:spacing w:after="0"/>
              <w:rPr>
                <w:sz w:val="20"/>
                <w:szCs w:val="20"/>
                <w:color w:val="auto"/>
              </w:rPr>
            </w:pPr>
            <w:r>
              <w:rPr>
                <w:rFonts w:ascii="Arial" w:cs="Arial" w:eastAsia="Arial" w:hAnsi="Arial"/>
                <w:sz w:val="14"/>
                <w:szCs w:val="14"/>
                <w:b w:val="1"/>
                <w:bCs w:val="1"/>
                <w:color w:val="auto"/>
              </w:rPr>
              <w:t>Increase compared to</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Nine Months</w:t>
            </w:r>
          </w:p>
        </w:tc>
        <w:tc>
          <w:tcPr>
            <w:tcW w:w="200" w:type="dxa"/>
            <w:vAlign w:val="bottom"/>
          </w:tcPr>
          <w:p>
            <w:pPr>
              <w:spacing w:after="0"/>
              <w:rPr>
                <w:sz w:val="14"/>
                <w:szCs w:val="14"/>
                <w:color w:val="auto"/>
              </w:rPr>
            </w:pPr>
          </w:p>
        </w:tc>
        <w:tc>
          <w:tcPr>
            <w:tcW w:w="17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Increase compared to</w:t>
            </w:r>
          </w:p>
        </w:tc>
        <w:tc>
          <w:tcPr>
            <w:tcW w:w="16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prior fiscal year</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83"/>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3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October 31, 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October 31, 2013</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2013</w:t>
            </w:r>
          </w:p>
        </w:tc>
      </w:tr>
      <w:tr>
        <w:trPr>
          <w:trHeight w:val="236"/>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245.1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w w:val="89"/>
              </w:rPr>
              <w:t>41.7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203.4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708.1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97.8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610.3</w:t>
            </w:r>
          </w:p>
        </w:tc>
      </w:tr>
      <w:tr>
        <w:trPr>
          <w:trHeight w:val="237"/>
        </w:trPr>
        <w:tc>
          <w:tcPr>
            <w:tcW w:w="232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r>
    </w:tbl>
    <w:p>
      <w:pPr>
        <w:spacing w:after="0" w:line="235"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w:t>
      </w:r>
    </w:p>
    <w:p>
      <w:pPr>
        <w:spacing w:after="0" w:line="1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Marketing and sales expenses increased 21% and 16% for the three and nine months ended October 31, 2014, respectively, as compared to the same periods in the prior fiscal year, primarily due to increased employee-related costs from salaries, bonus, commissions and fringe benefits predominately driven by increased headcount from acquisitions such as Delcam.</w:t>
      </w:r>
    </w:p>
    <w:p>
      <w:pPr>
        <w:spacing w:after="0" w:line="18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For the fourth quarter of fiscal 2015, as compared to the fourth quarter of fiscal 2014, we expect marketing and sales expense to increase in absolute dollars and slightly increase as a percentage of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4"/>
                <w:szCs w:val="14"/>
                <w:color w:val="auto"/>
              </w:rPr>
            </w:pPr>
          </w:p>
        </w:tc>
        <w:tc>
          <w:tcPr>
            <w:tcW w:w="1840" w:type="dxa"/>
            <w:vAlign w:val="bottom"/>
            <w:gridSpan w:val="4"/>
          </w:tcPr>
          <w:p>
            <w:pPr>
              <w:ind w:left="120"/>
              <w:spacing w:after="0"/>
              <w:rPr>
                <w:sz w:val="20"/>
                <w:szCs w:val="20"/>
                <w:color w:val="auto"/>
              </w:rPr>
            </w:pPr>
            <w:r>
              <w:rPr>
                <w:rFonts w:ascii="Arial" w:cs="Arial" w:eastAsia="Arial" w:hAnsi="Arial"/>
                <w:sz w:val="14"/>
                <w:szCs w:val="14"/>
                <w:b w:val="1"/>
                <w:bCs w:val="1"/>
                <w:color w:val="auto"/>
              </w:rPr>
              <w:t>Increase compared to</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Nine Months</w:t>
            </w:r>
          </w:p>
        </w:tc>
        <w:tc>
          <w:tcPr>
            <w:tcW w:w="220" w:type="dxa"/>
            <w:vAlign w:val="bottom"/>
          </w:tcPr>
          <w:p>
            <w:pPr>
              <w:spacing w:after="0"/>
              <w:rPr>
                <w:sz w:val="14"/>
                <w:szCs w:val="14"/>
                <w:color w:val="auto"/>
              </w:rPr>
            </w:pPr>
          </w:p>
        </w:tc>
        <w:tc>
          <w:tcPr>
            <w:tcW w:w="1840" w:type="dxa"/>
            <w:vAlign w:val="bottom"/>
            <w:gridSpan w:val="4"/>
          </w:tcPr>
          <w:p>
            <w:pPr>
              <w:ind w:left="120"/>
              <w:spacing w:after="0"/>
              <w:rPr>
                <w:sz w:val="20"/>
                <w:szCs w:val="20"/>
                <w:color w:val="auto"/>
              </w:rPr>
            </w:pPr>
            <w:r>
              <w:rPr>
                <w:rFonts w:ascii="Arial" w:cs="Arial" w:eastAsia="Arial" w:hAnsi="Arial"/>
                <w:sz w:val="14"/>
                <w:szCs w:val="14"/>
                <w:b w:val="1"/>
                <w:bCs w:val="1"/>
                <w:color w:val="auto"/>
              </w:rPr>
              <w:t>Increase compared to</w:t>
            </w:r>
          </w:p>
        </w:tc>
        <w:tc>
          <w:tcPr>
            <w:tcW w:w="16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October 31, 2014</w:t>
            </w:r>
          </w:p>
        </w:tc>
        <w:tc>
          <w:tcPr>
            <w:tcW w:w="22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96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October 31, 2013</w:t>
            </w: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October 31, 2014</w:t>
            </w:r>
          </w:p>
        </w:tc>
        <w:tc>
          <w:tcPr>
            <w:tcW w:w="220" w:type="dxa"/>
            <w:vAlign w:val="bottom"/>
          </w:tcPr>
          <w:p>
            <w:pPr>
              <w:spacing w:after="0"/>
              <w:rPr>
                <w:sz w:val="22"/>
                <w:szCs w:val="22"/>
                <w:color w:val="auto"/>
              </w:rPr>
            </w:pPr>
          </w:p>
        </w:tc>
        <w:tc>
          <w:tcPr>
            <w:tcW w:w="680" w:type="dxa"/>
            <w:vAlign w:val="bottom"/>
          </w:tcPr>
          <w:p>
            <w:pPr>
              <w:jc w:val="right"/>
              <w:ind w:right="34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96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October 31, 2013</w:t>
            </w:r>
          </w:p>
        </w:tc>
      </w:tr>
      <w:tr>
        <w:trPr>
          <w:trHeight w:val="236"/>
        </w:trPr>
        <w:tc>
          <w:tcPr>
            <w:tcW w:w="2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183.9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34.9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149.0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533.7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85.0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448.7</w:t>
            </w:r>
          </w:p>
        </w:tc>
      </w:tr>
      <w:tr>
        <w:trPr>
          <w:trHeight w:val="237"/>
        </w:trPr>
        <w:tc>
          <w:tcPr>
            <w:tcW w:w="232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r>
    </w:tbl>
    <w:p>
      <w:pPr>
        <w:spacing w:after="0" w:line="23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and professional services such as fees paid to software development firms and independent contractors.</w:t>
      </w:r>
    </w:p>
    <w:p>
      <w:pPr>
        <w:spacing w:after="0" w:line="181"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Research and development expenses increased 23% and 19% during the three and nine months ended October 31, 2014, respectively, as compared to the same periods in the prior fiscal year, primarily due to increased employee-related costs from salaries, bonus and fringe benefits predominately driven by increased headcount from acquisitions such as Delcam.</w:t>
      </w:r>
    </w:p>
    <w:p>
      <w:pPr>
        <w:spacing w:after="0" w:line="181"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For the fourth quarter of fiscal 2015, as compared to the fourth quarter of fiscal 2014, we expect research and development expense to increase in absolute dollars and slightly increase as a percentage of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4"/>
                <w:szCs w:val="14"/>
                <w:color w:val="auto"/>
              </w:rPr>
            </w:pPr>
          </w:p>
        </w:tc>
        <w:tc>
          <w:tcPr>
            <w:tcW w:w="1740" w:type="dxa"/>
            <w:vAlign w:val="bottom"/>
            <w:gridSpan w:val="4"/>
          </w:tcPr>
          <w:p>
            <w:pPr>
              <w:ind w:left="80"/>
              <w:spacing w:after="0"/>
              <w:rPr>
                <w:sz w:val="20"/>
                <w:szCs w:val="20"/>
                <w:color w:val="auto"/>
              </w:rPr>
            </w:pPr>
            <w:r>
              <w:rPr>
                <w:rFonts w:ascii="Arial" w:cs="Arial" w:eastAsia="Arial" w:hAnsi="Arial"/>
                <w:sz w:val="14"/>
                <w:szCs w:val="14"/>
                <w:b w:val="1"/>
                <w:bCs w:val="1"/>
                <w:color w:val="auto"/>
              </w:rPr>
              <w:t>Increase compared to</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180" w:type="dxa"/>
            <w:vAlign w:val="bottom"/>
          </w:tcPr>
          <w:p>
            <w:pPr>
              <w:spacing w:after="0"/>
              <w:rPr>
                <w:sz w:val="14"/>
                <w:szCs w:val="14"/>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rPr>
              <w:t>Increase compared to</w:t>
            </w:r>
          </w:p>
        </w:tc>
        <w:tc>
          <w:tcPr>
            <w:tcW w:w="16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October 31, 2014</w:t>
            </w:r>
          </w:p>
        </w:tc>
        <w:tc>
          <w:tcPr>
            <w:tcW w:w="200" w:type="dxa"/>
            <w:vAlign w:val="bottom"/>
          </w:tcPr>
          <w:p>
            <w:pPr>
              <w:spacing w:after="0"/>
              <w:rPr>
                <w:sz w:val="22"/>
                <w:szCs w:val="22"/>
                <w:color w:val="auto"/>
              </w:rPr>
            </w:pPr>
          </w:p>
        </w:tc>
        <w:tc>
          <w:tcPr>
            <w:tcW w:w="700" w:type="dxa"/>
            <w:vAlign w:val="bottom"/>
          </w:tcPr>
          <w:p>
            <w:pPr>
              <w:jc w:val="right"/>
              <w:ind w:right="40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840" w:type="dxa"/>
            <w:vAlign w:val="bottom"/>
          </w:tcPr>
          <w:p>
            <w:pPr>
              <w:jc w:val="right"/>
              <w:ind w:right="34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October 31, 2013</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October 31, 2014</w:t>
            </w:r>
          </w:p>
        </w:tc>
        <w:tc>
          <w:tcPr>
            <w:tcW w:w="180" w:type="dxa"/>
            <w:vAlign w:val="bottom"/>
          </w:tcPr>
          <w:p>
            <w:pPr>
              <w:spacing w:after="0"/>
              <w:rPr>
                <w:sz w:val="22"/>
                <w:szCs w:val="22"/>
                <w:color w:val="auto"/>
              </w:rPr>
            </w:pPr>
          </w:p>
        </w:tc>
        <w:tc>
          <w:tcPr>
            <w:tcW w:w="720" w:type="dxa"/>
            <w:vAlign w:val="bottom"/>
          </w:tcPr>
          <w:p>
            <w:pPr>
              <w:jc w:val="right"/>
              <w:ind w:right="34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840" w:type="dxa"/>
            <w:vAlign w:val="bottom"/>
          </w:tcPr>
          <w:p>
            <w:pPr>
              <w:jc w:val="right"/>
              <w:ind w:right="34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October 31, 2013</w:t>
            </w:r>
          </w:p>
        </w:tc>
      </w:tr>
      <w:tr>
        <w:trPr>
          <w:trHeight w:val="236"/>
        </w:trPr>
        <w:tc>
          <w:tcPr>
            <w:tcW w:w="2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23.1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212.9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54.1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158.8</w:t>
            </w:r>
          </w:p>
        </w:tc>
      </w:tr>
      <w:tr>
        <w:trPr>
          <w:trHeight w:val="237"/>
        </w:trPr>
        <w:tc>
          <w:tcPr>
            <w:tcW w:w="2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ind w:right="20" w:firstLine="432"/>
        <w:spacing w:after="0" w:line="264" w:lineRule="auto"/>
        <w:rPr>
          <w:sz w:val="20"/>
          <w:szCs w:val="20"/>
          <w:color w:val="auto"/>
        </w:rPr>
      </w:pPr>
      <w:r>
        <w:rPr>
          <w:rFonts w:ascii="Arial" w:cs="Arial" w:eastAsia="Arial" w:hAnsi="Arial"/>
          <w:sz w:val="18"/>
          <w:szCs w:val="18"/>
          <w:color w:val="auto"/>
        </w:rPr>
        <w:t>General and administrative expenses include salaries, bonuses, benefits and stock-based compensation expense for our finance, human resources and legal employees, as well as professional fees for legal and accounting services, gains and losses on our operating expense cash flow hedges, expense of travel, entertainment and training, expense of communication and the cost of supplies and equipment.</w:t>
      </w:r>
    </w:p>
    <w:p>
      <w:pPr>
        <w:spacing w:after="0" w:line="181"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General and administrative expenses increased 41% and 34% during the three and nine months ended October 31, 2014, respectively, as compared to the same period in the prior fiscal year, primarily due to increased employee-related costs from salaries, bonus and fringe benefits predominately driven by increased headcount from acquisitions such as Delcam.</w:t>
      </w:r>
    </w:p>
    <w:p>
      <w:pPr>
        <w:spacing w:after="0" w:line="18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For the fourth quarter of fiscal 2015, as compared to the fourth quarter of fiscal 2014, we expect general and administrative expenses to increase in absolute dollars and slightly increase as a percentage of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Amortization of Purchased Intangibles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4"/>
                <w:szCs w:val="14"/>
                <w:color w:val="auto"/>
              </w:rPr>
            </w:pPr>
          </w:p>
        </w:tc>
        <w:tc>
          <w:tcPr>
            <w:tcW w:w="1740" w:type="dxa"/>
            <w:vAlign w:val="bottom"/>
            <w:gridSpan w:val="4"/>
          </w:tcPr>
          <w:p>
            <w:pPr>
              <w:ind w:left="80"/>
              <w:spacing w:after="0"/>
              <w:rPr>
                <w:sz w:val="20"/>
                <w:szCs w:val="20"/>
                <w:color w:val="auto"/>
              </w:rPr>
            </w:pPr>
            <w:r>
              <w:rPr>
                <w:rFonts w:ascii="Arial" w:cs="Arial" w:eastAsia="Arial" w:hAnsi="Arial"/>
                <w:sz w:val="14"/>
                <w:szCs w:val="14"/>
                <w:b w:val="1"/>
                <w:bCs w:val="1"/>
                <w:color w:val="auto"/>
              </w:rPr>
              <w:t>Increase compared to</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180" w:type="dxa"/>
            <w:vAlign w:val="bottom"/>
          </w:tcPr>
          <w:p>
            <w:pPr>
              <w:spacing w:after="0"/>
              <w:rPr>
                <w:sz w:val="14"/>
                <w:szCs w:val="14"/>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rPr>
              <w:t>Increase compared to</w:t>
            </w:r>
          </w:p>
        </w:tc>
        <w:tc>
          <w:tcPr>
            <w:tcW w:w="16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October 31, 2014</w:t>
            </w:r>
          </w:p>
        </w:tc>
        <w:tc>
          <w:tcPr>
            <w:tcW w:w="200" w:type="dxa"/>
            <w:vAlign w:val="bottom"/>
          </w:tcPr>
          <w:p>
            <w:pPr>
              <w:spacing w:after="0"/>
              <w:rPr>
                <w:sz w:val="22"/>
                <w:szCs w:val="22"/>
                <w:color w:val="auto"/>
              </w:rPr>
            </w:pPr>
          </w:p>
        </w:tc>
        <w:tc>
          <w:tcPr>
            <w:tcW w:w="700" w:type="dxa"/>
            <w:vAlign w:val="bottom"/>
          </w:tcPr>
          <w:p>
            <w:pPr>
              <w:jc w:val="right"/>
              <w:ind w:right="40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840" w:type="dxa"/>
            <w:vAlign w:val="bottom"/>
          </w:tcPr>
          <w:p>
            <w:pPr>
              <w:jc w:val="right"/>
              <w:ind w:right="34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October 31, 2013</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October 31, 2014</w:t>
            </w:r>
          </w:p>
        </w:tc>
        <w:tc>
          <w:tcPr>
            <w:tcW w:w="180" w:type="dxa"/>
            <w:vAlign w:val="bottom"/>
          </w:tcPr>
          <w:p>
            <w:pPr>
              <w:spacing w:after="0"/>
              <w:rPr>
                <w:sz w:val="22"/>
                <w:szCs w:val="22"/>
                <w:color w:val="auto"/>
              </w:rPr>
            </w:pPr>
          </w:p>
        </w:tc>
        <w:tc>
          <w:tcPr>
            <w:tcW w:w="720" w:type="dxa"/>
            <w:vAlign w:val="bottom"/>
          </w:tcPr>
          <w:p>
            <w:pPr>
              <w:jc w:val="right"/>
              <w:ind w:right="34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840" w:type="dxa"/>
            <w:vAlign w:val="bottom"/>
          </w:tcPr>
          <w:p>
            <w:pPr>
              <w:jc w:val="right"/>
              <w:ind w:right="34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October 31, 2013</w:t>
            </w:r>
          </w:p>
        </w:tc>
      </w:tr>
      <w:tr>
        <w:trPr>
          <w:trHeight w:val="206"/>
        </w:trPr>
        <w:tc>
          <w:tcPr>
            <w:tcW w:w="2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purchased</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19"/>
        </w:trPr>
        <w:tc>
          <w:tcPr>
            <w:tcW w:w="2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intangibles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27.5</w:t>
            </w:r>
          </w:p>
        </w:tc>
      </w:tr>
      <w:tr>
        <w:trPr>
          <w:trHeight w:val="237"/>
        </w:trPr>
        <w:tc>
          <w:tcPr>
            <w:tcW w:w="2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35"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Amortization of purchased intangibles increased 28% and 11% during the three and nine months ended October 31, 2014, respectively, as compared to the same periods in the prior fiscal year, primarily related to the accumulated effects associated with amortization expense of intangible assets purchased over time, including $85.0 million in assets purchased in the current year.</w:t>
      </w:r>
    </w:p>
    <w:p>
      <w:pPr>
        <w:spacing w:after="0" w:line="181"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For the fourth quarter of fiscal 2015, as compared to the fourth quarter of fiscal 2014, we expect amortization of purchased intangibles to remain relatively flat in absolute dollars and as a percentage of net revenue.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Charges,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4"/>
                <w:szCs w:val="14"/>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Decrease compared to</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Nine Months</w:t>
            </w:r>
          </w:p>
        </w:tc>
        <w:tc>
          <w:tcPr>
            <w:tcW w:w="220" w:type="dxa"/>
            <w:vAlign w:val="bottom"/>
          </w:tcPr>
          <w:p>
            <w:pPr>
              <w:spacing w:after="0"/>
              <w:rPr>
                <w:sz w:val="14"/>
                <w:szCs w:val="14"/>
                <w:color w:val="auto"/>
              </w:rPr>
            </w:pPr>
          </w:p>
        </w:tc>
        <w:tc>
          <w:tcPr>
            <w:tcW w:w="1880" w:type="dxa"/>
            <w:vAlign w:val="bottom"/>
            <w:gridSpan w:val="4"/>
          </w:tcPr>
          <w:p>
            <w:pPr>
              <w:ind w:left="120"/>
              <w:spacing w:after="0"/>
              <w:rPr>
                <w:sz w:val="20"/>
                <w:szCs w:val="20"/>
                <w:color w:val="auto"/>
              </w:rPr>
            </w:pPr>
            <w:r>
              <w:rPr>
                <w:rFonts w:ascii="Arial" w:cs="Arial" w:eastAsia="Arial" w:hAnsi="Arial"/>
                <w:sz w:val="14"/>
                <w:szCs w:val="14"/>
                <w:b w:val="1"/>
                <w:bCs w:val="1"/>
                <w:color w:val="auto"/>
              </w:rPr>
              <w:t>Decrease compared to</w:t>
            </w: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w:t>
            </w:r>
          </w:p>
        </w:tc>
      </w:tr>
      <w:tr>
        <w:trPr>
          <w:trHeight w:val="192"/>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prior fiscal year</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4"/>
          </w:tcPr>
          <w:p>
            <w:pPr>
              <w:ind w:left="300"/>
              <w:spacing w:after="0"/>
              <w:rPr>
                <w:sz w:val="20"/>
                <w:szCs w:val="20"/>
                <w:color w:val="auto"/>
              </w:rPr>
            </w:pPr>
            <w:r>
              <w:rPr>
                <w:rFonts w:ascii="Arial" w:cs="Arial" w:eastAsia="Arial" w:hAnsi="Arial"/>
                <w:sz w:val="14"/>
                <w:szCs w:val="14"/>
                <w:b w:val="1"/>
                <w:bCs w:val="1"/>
                <w:color w:val="auto"/>
              </w:rPr>
              <w:t>prior fiscal year</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6"/>
                <w:szCs w:val="16"/>
                <w:color w:val="auto"/>
              </w:rPr>
            </w:pP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October 31,</w:t>
            </w:r>
          </w:p>
        </w:tc>
        <w:tc>
          <w:tcPr>
            <w:tcW w:w="4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October 31,</w:t>
            </w:r>
          </w:p>
        </w:tc>
        <w:tc>
          <w:tcPr>
            <w:tcW w:w="4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October 31,</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October 31,</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2013</w:t>
            </w:r>
          </w:p>
        </w:tc>
      </w:tr>
      <w:tr>
        <w:trPr>
          <w:trHeight w:val="236"/>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7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6.5</w:t>
            </w:r>
          </w:p>
        </w:tc>
      </w:tr>
      <w:tr>
        <w:trPr>
          <w:trHeight w:val="237"/>
        </w:trPr>
        <w:tc>
          <w:tcPr>
            <w:tcW w:w="2180" w:type="dxa"/>
            <w:vAlign w:val="bottom"/>
          </w:tcPr>
          <w:p>
            <w:pPr>
              <w:ind w:left="40"/>
              <w:spacing w:after="0"/>
              <w:rPr>
                <w:sz w:val="20"/>
                <w:szCs w:val="20"/>
                <w:color w:val="auto"/>
              </w:rPr>
            </w:pPr>
            <w:r>
              <w:rPr>
                <w:rFonts w:ascii="Arial" w:cs="Arial" w:eastAsia="Arial" w:hAnsi="Arial"/>
                <w:sz w:val="16"/>
                <w:szCs w:val="16"/>
                <w:color w:val="auto"/>
                <w:w w:val="94"/>
              </w:rPr>
              <w:t>As a percentage of net revenue</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w w:val="99"/>
              </w:rPr>
              <w:t>—%</w:t>
            </w:r>
          </w:p>
        </w:tc>
      </w:tr>
    </w:tbl>
    <w:p>
      <w:pPr>
        <w:spacing w:after="0" w:line="235"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During the third quarter of fiscal 2014, the Board of Directors approved a world-wide restructuring plan in order to re-balance staffing levels to better align them with the evolving needs of the business. The authorized plan included a reduction of approximately 85 positions and the consolidation of four leased facilities, with a total cost of approximately $15.0 million. We have substantially completed the actions authorized under this plan.</w:t>
      </w:r>
    </w:p>
    <w:p>
      <w:pPr>
        <w:spacing w:after="0" w:line="14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During the three months ended October 31, 2014, we recorded no restructuring charge. During the nine months ended October 31, 2014, we recorded an incremental restructuring charge associated with the Fiscal 2014 Plan of $3.1 million. See Note 13, “Restructuring,” in the Notes to the Condensed Consolidated Financial Statements for further discussion.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ind w:left="260"/>
        <w:spacing w:after="0"/>
        <w:rPr>
          <w:sz w:val="20"/>
          <w:szCs w:val="20"/>
          <w:color w:val="auto"/>
        </w:rPr>
      </w:pPr>
      <w:r>
        <w:rPr>
          <w:rFonts w:ascii="Arial" w:cs="Arial" w:eastAsia="Arial" w:hAnsi="Arial"/>
          <w:sz w:val="18"/>
          <w:szCs w:val="18"/>
          <w:i w:val="1"/>
          <w:iCs w:val="1"/>
          <w:color w:val="auto"/>
        </w:rPr>
        <w:t>Interest and Other (Expense) Income,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(expense) income,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October 31,</w:t>
            </w:r>
          </w:p>
        </w:tc>
        <w:tc>
          <w:tcPr>
            <w:tcW w:w="44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expense, net</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(1.8)</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Gain (loss) on foreign currency</w:t>
            </w:r>
          </w:p>
        </w:tc>
        <w:tc>
          <w:tcPr>
            <w:tcW w:w="9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7"/>
              </w:rPr>
              <w:t>(0.2)</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3"/>
        </w:trPr>
        <w:tc>
          <w:tcPr>
            <w:tcW w:w="5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strategic investments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9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33"/>
        </w:trPr>
        <w:tc>
          <w:tcPr>
            <w:tcW w:w="5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income, net</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Interest and other (expense) income, net decreased $4.1 million during the three months ended October 31, 2014 as compared to the same period in the prior fiscal year primarily due to a decrease in other income associated with a Canadian ecommerce tax credit.</w:t>
      </w:r>
    </w:p>
    <w:p>
      <w:pPr>
        <w:spacing w:after="0" w:line="170"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Interest and other (expense) income, net decreased $7.1 million during the nine months ended October 31, 2014 as compared to the same period in the prior fiscal year primarily due to an other-than-temporary impairment on one of our privately held strategic investments and losses on the derivative portion on certain of our strategic investments that are marked-to-market each period.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Interest and investment income fluctuates based on average cash, marketable securities and debt balances, average maturities and interest rates.</w:t>
      </w:r>
    </w:p>
    <w:p>
      <w:pPr>
        <w:spacing w:after="0" w:line="23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Our effective tax rate was 8% and 22% during the three and nine months ended October 31, 2014, respectively, compared to 17% and 22% during the three and nine months ended October 31, 2013, respectively. Our effective tax rate decreased 9% during the three months ended October 31, 2014 as compared to the same period in the prior fiscal year primarily due to greater tax rate benefits from foreign earnings, stock-based compensation expense and true-up of prior year U.S. foreign tax credits, partially offset by tax rate detriments from accrual for uncertain tax positions, the tax impact of an increase in the forecasted annual rate from the previous quarter, and expiration of the federal research and development tax credit provision. Our effective tax rate remained flat during the nine months ended October 31, 2014, as compared to the same period in the prior fiscal year, primarily due to greater tax rate benefits from foreign earnings and true-up of prior year U.S. foreign tax credits, offset by tax rate detriments from stock-based compensation expense, accrual for uncertain tax positions and expiration of the federal research and development tax credit provision. Excluding the impact of discrete tax items, the effective tax rate for three and nine months ended October 31, 2014 was 31% and was lower than the Federal statutory tax rate of 35%, primarily due to foreign income taxed at lower rates partially offset by the impact of non-deductible stock based compensation expense and accrual for uncertain tax positions.</w:t>
      </w:r>
    </w:p>
    <w:p>
      <w:pPr>
        <w:spacing w:after="0" w:line="16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Asia 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jc w:val="both"/>
        <w:ind w:right="280" w:firstLine="432"/>
        <w:spacing w:after="0" w:line="264" w:lineRule="auto"/>
        <w:rPr>
          <w:sz w:val="20"/>
          <w:szCs w:val="20"/>
          <w:color w:val="auto"/>
        </w:rPr>
      </w:pPr>
      <w:r>
        <w:rPr>
          <w:rFonts w:ascii="Arial" w:cs="Arial" w:eastAsia="Arial" w:hAnsi="Arial"/>
          <w:sz w:val="18"/>
          <w:szCs w:val="18"/>
          <w:color w:val="auto"/>
        </w:rPr>
        <w:t>At October 31, 2014, we had net deferred tax assets of $178.4 million. Pursuant to the adoption of ASU 2013-11, $51.7 million of unrecognized tax benefits have been presented as a reduction of deferred tax assets at October 31, 2014. We believe that we will generate sufficient future taxable income in appropriate tax jurisdictions to realize these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three and nine months ended October 31, 2014, and 2013, our gross profit, gross margin, income from operations, operating margin, net income and diluted earnings per share on a GAAP and non-GAAP basis were as follows (in millions except for gross margin, operating margin and per share data):</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 October 31,</w:t>
            </w:r>
          </w:p>
        </w:tc>
        <w:tc>
          <w:tcPr>
            <w:tcW w:w="260" w:type="dxa"/>
            <w:vAlign w:val="bottom"/>
          </w:tcPr>
          <w:p>
            <w:pPr>
              <w:spacing w:after="0"/>
              <w:rPr>
                <w:sz w:val="16"/>
                <w:szCs w:val="16"/>
                <w:color w:val="auto"/>
              </w:rPr>
            </w:pPr>
          </w:p>
        </w:tc>
        <w:tc>
          <w:tcPr>
            <w:tcW w:w="25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Nine Months Ended October 31,</w:t>
            </w:r>
          </w:p>
        </w:tc>
      </w:tr>
      <w:tr>
        <w:trPr>
          <w:trHeight w:val="264"/>
        </w:trPr>
        <w:tc>
          <w:tcPr>
            <w:tcW w:w="56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2013</w:t>
            </w:r>
          </w:p>
        </w:tc>
      </w:tr>
      <w:tr>
        <w:trPr>
          <w:trHeight w:val="250"/>
        </w:trPr>
        <w:tc>
          <w:tcPr>
            <w:tcW w:w="5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532.0</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488.1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1,595.0</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1,484.9</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w w:val="89"/>
              </w:rPr>
              <w:t>547.4</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500.3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1,641.7</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1,521.8</w:t>
            </w:r>
          </w:p>
        </w:tc>
      </w:tr>
      <w:tr>
        <w:trPr>
          <w:trHeight w:val="33"/>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86%</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8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89%</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14.6</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106.7</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233.1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80.3</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122.3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297.4</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395.8</w:t>
            </w:r>
          </w:p>
        </w:tc>
      </w:tr>
      <w:tr>
        <w:trPr>
          <w:trHeight w:val="33"/>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8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10.7</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70.3</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174.9</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57.7</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213.5</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292.4</w:t>
            </w:r>
          </w:p>
        </w:tc>
      </w:tr>
      <w:tr>
        <w:trPr>
          <w:trHeight w:val="33"/>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 (1)</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0.05</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0.30</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0.77</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Non-GAAP diluted earnings per share (1)</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0.25</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0.92</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1.28</w:t>
            </w:r>
          </w:p>
        </w:tc>
      </w:tr>
      <w:tr>
        <w:trPr>
          <w:trHeight w:val="249"/>
        </w:trPr>
        <w:tc>
          <w:tcPr>
            <w:tcW w:w="5620" w:type="dxa"/>
            <w:vAlign w:val="bottom"/>
          </w:tcPr>
          <w:p>
            <w:pPr>
              <w:spacing w:after="0"/>
              <w:rPr>
                <w:sz w:val="20"/>
                <w:szCs w:val="20"/>
                <w:color w:val="auto"/>
              </w:rPr>
            </w:pPr>
            <w:r>
              <w:rPr>
                <w:rFonts w:ascii="Arial" w:cs="Arial" w:eastAsia="Arial" w:hAnsi="Arial"/>
                <w:sz w:val="18"/>
                <w:szCs w:val="18"/>
                <w:color w:val="auto"/>
              </w:rPr>
              <w:t>_______________</w:t>
            </w:r>
          </w:p>
        </w:tc>
        <w:tc>
          <w:tcPr>
            <w:tcW w:w="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4" w:lineRule="exact"/>
        <w:rPr>
          <w:sz w:val="20"/>
          <w:szCs w:val="20"/>
          <w:color w:val="auto"/>
        </w:rPr>
      </w:pPr>
    </w:p>
    <w:p>
      <w:pPr>
        <w:ind w:left="420" w:right="40" w:hanging="412"/>
        <w:spacing w:after="0" w:line="281"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spacing w:after="0" w:line="17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7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0"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Reconciliation of GAAP Financial Measures to 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600"/>
        <w:spacing w:after="0"/>
        <w:rPr>
          <w:sz w:val="20"/>
          <w:szCs w:val="20"/>
          <w:color w:val="auto"/>
        </w:rPr>
      </w:pPr>
      <w:r>
        <w:rPr>
          <w:rFonts w:ascii="Arial" w:cs="Arial" w:eastAsia="Arial" w:hAnsi="Arial"/>
          <w:sz w:val="13"/>
          <w:szCs w:val="13"/>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31115</wp:posOffset>
            </wp:positionV>
            <wp:extent cx="19812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14" w:lineRule="exact"/>
        <w:rPr>
          <w:sz w:val="20"/>
          <w:szCs w:val="20"/>
          <w:color w:val="auto"/>
        </w:rPr>
      </w:pPr>
    </w:p>
    <w:p>
      <w:pPr>
        <w:ind w:left="5720"/>
        <w:spacing w:after="0"/>
        <w:tabs>
          <w:tab w:leader="none" w:pos="732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23495</wp:posOffset>
            </wp:positionV>
            <wp:extent cx="1981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89"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31115</wp:posOffset>
            </wp:positionV>
            <wp:extent cx="19894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114"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23495</wp:posOffset>
            </wp:positionV>
            <wp:extent cx="19894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8160" w:space="720"/>
            <w:col w:w="254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1,595.0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1,484.9</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6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547.4</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500.3</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1,641.7</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1,521.8</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Gross margin</w:t>
            </w:r>
          </w:p>
        </w:tc>
        <w:tc>
          <w:tcPr>
            <w:tcW w:w="6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600" w:type="dxa"/>
            <w:vAlign w:val="bottom"/>
          </w:tcPr>
          <w:p>
            <w:pPr>
              <w:spacing w:after="0"/>
              <w:rPr>
                <w:sz w:val="20"/>
                <w:szCs w:val="20"/>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6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Income from operations</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106.7</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233.1</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6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6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122.3</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297.4</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395.8</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Operating margin</w:t>
            </w:r>
          </w:p>
        </w:tc>
        <w:tc>
          <w:tcPr>
            <w:tcW w:w="6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6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Net income</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70.3</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174.9</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6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6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Loss (gain) on strategic investments</w:t>
            </w:r>
          </w:p>
        </w:tc>
        <w:tc>
          <w:tcPr>
            <w:tcW w:w="6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provision items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6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33"/>
        </w:trPr>
        <w:tc>
          <w:tcPr>
            <w:tcW w:w="5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net income</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292.4</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 (1)</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60" w:type="dxa"/>
            <w:vAlign w:val="bottom"/>
            <w:vMerge w:val="continue"/>
          </w:tcPr>
          <w:p>
            <w:pPr>
              <w:spacing w:after="0"/>
              <w:rPr>
                <w:sz w:val="17"/>
                <w:szCs w:val="17"/>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6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6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(gain) on strategic investments</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6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diluted net income per share (1)</w:t>
            </w: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0.92</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50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vMerge w:val="continue"/>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20" w:right="40" w:hanging="412"/>
        <w:spacing w:after="0" w:line="281"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sectPr>
          <w:pgSz w:w="11900" w:h="16838" w:orient="portrait"/>
          <w:cols w:equalWidth="0" w:num="1">
            <w:col w:w="11420"/>
          </w:cols>
          <w:pgMar w:left="240" w:top="796" w:right="2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796" w:right="239" w:bottom="1440" w:gutter="0" w:footer="0" w:header="0"/>
          <w:type w:val="continuous"/>
        </w:sectPr>
      </w:pPr>
    </w:p>
    <w:bookmarkStart w:id="43" w:name="page44"/>
    <w:bookmarkEnd w:id="43"/>
    <w:p>
      <w:pPr>
        <w:ind w:left="420"/>
        <w:spacing w:after="0"/>
        <w:rPr>
          <w:sz w:val="20"/>
          <w:szCs w:val="20"/>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Restructuring charges (benefits), net. </w:t>
      </w:r>
      <w:r>
        <w:rPr>
          <w:rFonts w:ascii="Arial" w:cs="Arial" w:eastAsia="Arial" w:hAnsi="Arial"/>
          <w:sz w:val="17"/>
          <w:szCs w:val="17"/>
          <w:color w:val="auto"/>
        </w:rPr>
        <w:t>These expenses are associated with realigning our business strategies based on current economic conditions.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these restructuring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Loss (gain) on strategic investments. </w:t>
      </w:r>
      <w:r>
        <w:rPr>
          <w:rFonts w:ascii="Arial" w:cs="Arial" w:eastAsia="Arial" w:hAnsi="Arial"/>
          <w:sz w:val="17"/>
          <w:szCs w:val="17"/>
          <w:color w:val="auto"/>
        </w:rPr>
        <w:t>We exclude gains and losses related to our strategic investments from our non-GAAP measures primarily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finds it useful to exclude these variable gains and losses on these investments in assessing our financial results. Included in these amounts are non-cash unrealized gains and losses on the derivative components, realized gains and losses on the sales or losses on the impairment of these investments. We believe excluding these items is useful to investors because these excluded items do not correlate to the underlying performance of our business and these losses or gains were incurred in connection with strategic investments which do not occur regularly.</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income, and include a non-GAAP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the Company's operational performance.</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Income tax effects on the difference between GAAP and non-GAAP costs and expenses. </w:t>
      </w:r>
      <w:r>
        <w:rPr>
          <w:rFonts w:ascii="Arial" w:cs="Arial" w:eastAsia="Arial" w:hAnsi="Arial"/>
          <w:sz w:val="18"/>
          <w:szCs w:val="18"/>
          <w:color w:val="auto"/>
        </w:rPr>
        <w:t>The income tax effects that are excluded from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relate to the tax impact on the difference between GAAP and non-GAAP expenses, primarily due to stock-based compensation, amortization of purchased intangibles and restructuring charges (benefits) for GAAP and non-GAAP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40" w:firstLine="405"/>
        <w:spacing w:after="0" w:line="264" w:lineRule="auto"/>
        <w:rPr>
          <w:sz w:val="20"/>
          <w:szCs w:val="20"/>
          <w:color w:val="auto"/>
        </w:rPr>
      </w:pPr>
      <w:r>
        <w:rPr>
          <w:rFonts w:ascii="Arial" w:cs="Arial" w:eastAsia="Arial" w:hAnsi="Arial"/>
          <w:sz w:val="18"/>
          <w:szCs w:val="18"/>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4" w:name="page45"/>
    <w:bookmarkEnd w:id="44"/>
    <w:p>
      <w:pPr>
        <w:ind w:right="240"/>
        <w:spacing w:after="0" w:line="277" w:lineRule="auto"/>
        <w:rPr>
          <w:sz w:val="20"/>
          <w:szCs w:val="20"/>
          <w:color w:val="auto"/>
        </w:rPr>
      </w:pPr>
      <w:r>
        <w:rPr>
          <w:rFonts w:ascii="Arial" w:cs="Arial" w:eastAsia="Arial" w:hAnsi="Arial"/>
          <w:sz w:val="18"/>
          <w:szCs w:val="18"/>
          <w:color w:val="auto"/>
        </w:rPr>
        <w:t>stock repurchase program and invest in our growth initiatives, which include acquisitions of products, technology and businesses. See further discussion of these items below.</w:t>
      </w:r>
    </w:p>
    <w:p>
      <w:pPr>
        <w:spacing w:after="0" w:line="170"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At October 31, 2014, our principal sources of liquidity were cash, cash equivalents and marketable securities totaling $2,156.9 million and net accounts receivable of $375.7 million.</w:t>
      </w:r>
    </w:p>
    <w:p>
      <w:pPr>
        <w:spacing w:after="0" w:line="170"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In fiscal 2013, we issued $400.0 million aggregate principal amount of 1.95% senior notes due December 15, 2017 and $350.0 million aggregate principal amount of 3.6% senior notes due December 15, 2022, (collectively, the “Senior Notes”). As of December 5, 2014, we have $750.0 million aggregate principal amount of Senior Notes outstanding. In addition, we have a line of credit facility that permits unsecured short-term borrowings of up to $400.0 million. As of December 5, 2014, we have no amounts outstanding under the credit facility. The credit facility expires in May 2018. Borrowings under the credit facility and the net proceeds from the offering of the Senior Notes are available for general corporate purposes.</w:t>
      </w:r>
    </w:p>
    <w:p>
      <w:pPr>
        <w:spacing w:after="0" w:line="1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decrease in our cash, cash equivalents and marketable securities from $2,544.4 million at January 31, 2014 to $2,156.9 million at October 31, 2014 is primarily due to cash used for acquisitions, including business combination and technology purchases, repurchases of common stock, and capital expenditures partially offset by cash generated by operating activities, and proceeds from the issuance of common stock following stock option exercises and employee stock plan purchases. The cash proceeds from issuance of common stock varies based on our stock price, stock option exercise activity and the volume of employee purchases under the Employee Stock Purchase Plan.</w:t>
      </w:r>
    </w:p>
    <w:p>
      <w:pPr>
        <w:spacing w:after="0" w:line="188"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The primary sources for net cash provided by operating activities of $450.9 million for the nine months ended October 31, 2014 were the cash effect of expenses totaling $226.4 million associated with depreciation, amortization and accretion and stock-based compensation, changes in operating assets and liabilities of $141.6 million and net income of $70.3 million. The primary source of working capital was an increase in deferred revenue and a decrease in accounts receivable. Our days sales outstanding in trade receivables was 55 at October 31, 2014 compared to 66 days at January 31, 2014. The days sales outstanding decrease relates primarily to a seasonal billings linearity shift and lower maintenance renewal billings. The primary working capital uses of cash was a decrease in income tax payables.</w:t>
      </w:r>
    </w:p>
    <w:p>
      <w:pPr>
        <w:spacing w:after="0" w:line="193"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At October 31, 2014, our short-term investment portfolio had an estimated fair value of $556.4 million and a cost basis of $550.9 million. The portfolio fair value consisted of $242.5 million invested in commercial paper and certificates of deposit, $132.3 million invested in time deposits with remaining maturities at the date of purchase greater than 90 days and less than one year, $99.6 million invested in corporate debt securities, $44.1 million invested in mutual funds, $22.4 million invested in municipal securities, $9.5 million invested in other short-term securities, and $6.0 million invested in U.S. treasury bills.</w:t>
      </w:r>
    </w:p>
    <w:p>
      <w:pPr>
        <w:spacing w:after="0" w:line="188" w:lineRule="exact"/>
        <w:rPr>
          <w:sz w:val="20"/>
          <w:szCs w:val="20"/>
          <w:color w:val="auto"/>
        </w:rPr>
      </w:pPr>
    </w:p>
    <w:p>
      <w:pPr>
        <w:ind w:right="280" w:firstLine="405"/>
        <w:spacing w:after="0" w:line="342" w:lineRule="auto"/>
        <w:rPr>
          <w:sz w:val="20"/>
          <w:szCs w:val="20"/>
          <w:color w:val="auto"/>
        </w:rPr>
      </w:pPr>
      <w:r>
        <w:rPr>
          <w:rFonts w:ascii="Arial" w:cs="Arial" w:eastAsia="Arial" w:hAnsi="Arial"/>
          <w:sz w:val="16"/>
          <w:szCs w:val="16"/>
          <w:color w:val="auto"/>
        </w:rPr>
        <w:t>At October 31, 2014, $44.1 million of trading securities were invested in a defined set of mutual funds as directed by the participants in our Deferred Compensation Plan (see Note 10, “Deferred Compensation,” in the Notes to Condensed Consolidated Financial Statements for further discussion).</w:t>
      </w:r>
    </w:p>
    <w:p>
      <w:pPr>
        <w:spacing w:after="0" w:line="124" w:lineRule="exact"/>
        <w:rPr>
          <w:sz w:val="20"/>
          <w:szCs w:val="20"/>
          <w:color w:val="auto"/>
        </w:rPr>
      </w:pPr>
    </w:p>
    <w:p>
      <w:pPr>
        <w:ind w:right="74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October 31, 2014,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ind w:firstLine="405"/>
        <w:spacing w:after="0" w:line="253" w:lineRule="auto"/>
        <w:rPr>
          <w:sz w:val="20"/>
          <w:szCs w:val="20"/>
          <w:color w:val="auto"/>
        </w:rPr>
      </w:pPr>
      <w:r>
        <w:rPr>
          <w:rFonts w:ascii="Arial" w:cs="Arial" w:eastAsia="Arial" w:hAnsi="Arial"/>
          <w:sz w:val="18"/>
          <w:szCs w:val="18"/>
          <w:color w:val="auto"/>
        </w:rPr>
        <w:t>Our cash, cash equivalent and marketable securities balances are concentrated in a few locations around the world, with substantial amounts held outside of the U.S. As of October 31, 2014, approximately 83% of our total cash, cash equivalents and marketable securities are located offshore and will fluctuate subject to business needs.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regularly review our capital structure and consider a variety of potential financing alternatives and planning strategies to ensure we have the proper liquidity available in the locations in which it is needed and to fund our existing stock buyback program with cash that has not been permanently reinvested outside the U.S.</w:t>
      </w:r>
    </w:p>
    <w:p>
      <w:pPr>
        <w:spacing w:after="0" w:line="19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During the three and nine months ended October 31, 2014, we repurchased 1.9 million and 5.8 million shares, respectively, of our common stock. At October 31, 2014, 16.0 million shares remained available for repurchase under the repurchase program approved by the Board of Directors. This program does not have a fixed expiration date. See Note 15, “Common Stock Repurchase Program,” in the Notes to Condensed Consolidated Financial Statements for further discussion.</w:t>
      </w:r>
    </w:p>
    <w:p>
      <w:pPr>
        <w:spacing w:after="0" w:line="192"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following table provides information about the repurchase of common stock in open-market transactions during the quarter ended October 31, 2014:</w:t>
      </w:r>
    </w:p>
    <w:p>
      <w:pPr>
        <w:sectPr>
          <w:pgSz w:w="11900" w:h="16838" w:orient="portrait"/>
          <w:cols w:equalWidth="0" w:num="1">
            <w:col w:w="11360"/>
          </w:cols>
          <w:pgMar w:left="240" w:top="584" w:right="299" w:bottom="1440" w:gutter="0" w:footer="0" w:header="0"/>
        </w:sect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04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Total Number of</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89"/>
              </w:rPr>
              <w:t>Average Price</w:t>
            </w:r>
          </w:p>
        </w:tc>
        <w:tc>
          <w:tcPr>
            <w:tcW w:w="296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Total Number of Shares Purchased as Part of</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04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89"/>
              </w:rPr>
              <w:t>Shares</w:t>
            </w:r>
          </w:p>
        </w:tc>
        <w:tc>
          <w:tcPr>
            <w:tcW w:w="1440" w:type="dxa"/>
            <w:vAlign w:val="bottom"/>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860" w:type="dxa"/>
            <w:vAlign w:val="bottom"/>
          </w:tcPr>
          <w:p>
            <w:pPr>
              <w:spacing w:after="0"/>
              <w:rPr>
                <w:sz w:val="20"/>
                <w:szCs w:val="20"/>
                <w:color w:val="auto"/>
              </w:rPr>
            </w:pPr>
            <w:r>
              <w:rPr>
                <w:rFonts w:ascii="Arial" w:cs="Arial" w:eastAsia="Arial" w:hAnsi="Arial"/>
                <w:sz w:val="14"/>
                <w:szCs w:val="14"/>
                <w:i w:val="1"/>
                <w:iCs w:val="1"/>
                <w:color w:val="auto"/>
              </w:rPr>
              <w:t>(Shares in millions)</w:t>
            </w:r>
          </w:p>
        </w:tc>
        <w:tc>
          <w:tcPr>
            <w:tcW w:w="204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Purchased</w:t>
            </w:r>
          </w:p>
        </w:tc>
        <w:tc>
          <w:tcPr>
            <w:tcW w:w="1440" w:type="dxa"/>
            <w:vAlign w:val="bottom"/>
          </w:tcPr>
          <w:p>
            <w:pPr>
              <w:jc w:val="center"/>
              <w:ind w:left="48"/>
              <w:spacing w:after="0"/>
              <w:rPr>
                <w:sz w:val="20"/>
                <w:szCs w:val="20"/>
                <w:color w:val="auto"/>
              </w:rPr>
            </w:pPr>
            <w:r>
              <w:rPr>
                <w:rFonts w:ascii="Arial" w:cs="Arial" w:eastAsia="Arial" w:hAnsi="Arial"/>
                <w:sz w:val="14"/>
                <w:szCs w:val="14"/>
                <w:b w:val="1"/>
                <w:bCs w:val="1"/>
                <w:color w:val="auto"/>
                <w:w w:val="97"/>
              </w:rPr>
              <w:t>Paid per Share</w:t>
            </w:r>
          </w:p>
        </w:tc>
        <w:tc>
          <w:tcPr>
            <w:tcW w:w="296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Publicly Announced 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8340" w:space="200"/>
            <w:col w:w="2820"/>
          </w:cols>
          <w:pgMar w:left="240" w:top="584" w:right="29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2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August 1 - August 31</w:t>
            </w:r>
          </w:p>
        </w:tc>
        <w:tc>
          <w:tcPr>
            <w:tcW w:w="15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September 1 - September 30</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54.28</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2920" w:type="dxa"/>
            <w:vAlign w:val="bottom"/>
            <w:gridSpan w:val="2"/>
          </w:tcPr>
          <w:p>
            <w:pPr>
              <w:jc w:val="right"/>
              <w:ind w:right="1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 October 31</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53.94</w:t>
            </w:r>
          </w:p>
        </w:tc>
        <w:tc>
          <w:tcPr>
            <w:tcW w:w="10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29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44"/>
        </w:trPr>
        <w:tc>
          <w:tcPr>
            <w:tcW w:w="238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1.9</w:t>
            </w:r>
          </w:p>
        </w:tc>
        <w:tc>
          <w:tcPr>
            <w:tcW w:w="6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54.11</w:t>
            </w:r>
          </w:p>
        </w:tc>
        <w:tc>
          <w:tcPr>
            <w:tcW w:w="100" w:type="dxa"/>
            <w:vAlign w:val="bottom"/>
          </w:tcPr>
          <w:p>
            <w:pPr>
              <w:spacing w:after="0"/>
              <w:rPr>
                <w:sz w:val="21"/>
                <w:szCs w:val="21"/>
                <w:color w:val="auto"/>
              </w:rPr>
            </w:pPr>
          </w:p>
        </w:tc>
        <w:tc>
          <w:tcPr>
            <w:tcW w:w="2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420" w:right="100" w:hanging="412"/>
        <w:spacing w:after="0" w:line="257"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These amounts correspond to the plan approved by the Board of Directors in June 2012 that authorized the repurchase of 30.0 million shares. This plan does not have a fixed expiration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nine months ended October 31,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October 31, 2014, we did not have any significant off-balance sheet arrangements, as defined in Item 303(a)(4)(ii) of Regulation S-K.</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584" w:right="29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ind w:right="300" w:firstLine="405"/>
        <w:spacing w:after="0" w:line="266" w:lineRule="auto"/>
        <w:rPr>
          <w:sz w:val="20"/>
          <w:szCs w:val="20"/>
          <w:color w:val="auto"/>
        </w:rPr>
      </w:pPr>
      <w:r>
        <w:rPr>
          <w:rFonts w:ascii="Arial" w:cs="Arial" w:eastAsia="Arial" w:hAnsi="Arial"/>
          <w:sz w:val="18"/>
          <w:szCs w:val="18"/>
          <w:i w:val="1"/>
          <w:iCs w:val="1"/>
          <w:color w:val="auto"/>
        </w:rPr>
        <w:t>Constant currency growth rates</w:t>
      </w:r>
      <w:r>
        <w:rPr>
          <w:rFonts w:ascii="Arial" w:cs="Arial" w:eastAsia="Arial" w:hAnsi="Arial"/>
          <w:sz w:val="18"/>
          <w:szCs w:val="18"/>
          <w:b w:val="1"/>
          <w:bCs w:val="1"/>
          <w:color w:val="auto"/>
        </w:rPr>
        <w:t>—</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periods. Our constant currency methodology removes all hedging gains and losses from the calculation.</w:t>
      </w:r>
    </w:p>
    <w:p>
      <w:pPr>
        <w:spacing w:after="0" w:line="176" w:lineRule="exact"/>
        <w:rPr>
          <w:sz w:val="20"/>
          <w:szCs w:val="20"/>
          <w:color w:val="auto"/>
        </w:rPr>
      </w:pPr>
    </w:p>
    <w:p>
      <w:pPr>
        <w:ind w:right="120" w:firstLine="405"/>
        <w:spacing w:after="0" w:line="282" w:lineRule="auto"/>
        <w:rPr>
          <w:sz w:val="20"/>
          <w:szCs w:val="20"/>
          <w:color w:val="auto"/>
        </w:rPr>
      </w:pPr>
      <w:r>
        <w:rPr>
          <w:rFonts w:ascii="Arial" w:cs="Arial" w:eastAsia="Arial" w:hAnsi="Arial"/>
          <w:sz w:val="18"/>
          <w:szCs w:val="18"/>
          <w:i w:val="1"/>
          <w:iCs w:val="1"/>
          <w:color w:val="auto"/>
        </w:rPr>
        <w:t>Digital prototyping</w:t>
      </w:r>
      <w:r>
        <w:rPr>
          <w:rFonts w:ascii="Arial" w:cs="Arial" w:eastAsia="Arial" w:hAnsi="Arial"/>
          <w:sz w:val="18"/>
          <w:szCs w:val="18"/>
          <w:b w:val="1"/>
          <w:bCs w:val="1"/>
          <w:color w:val="auto"/>
        </w:rPr>
        <w:t>—</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a physical model.</w:t>
      </w:r>
    </w:p>
    <w:p>
      <w:pPr>
        <w:spacing w:after="0" w:line="162" w:lineRule="exact"/>
        <w:rPr>
          <w:sz w:val="20"/>
          <w:szCs w:val="20"/>
          <w:color w:val="auto"/>
        </w:rPr>
      </w:pPr>
    </w:p>
    <w:p>
      <w:pPr>
        <w:ind w:firstLine="405"/>
        <w:spacing w:after="0" w:line="266" w:lineRule="auto"/>
        <w:rPr>
          <w:sz w:val="20"/>
          <w:szCs w:val="20"/>
          <w:color w:val="auto"/>
        </w:rPr>
      </w:pPr>
      <w:r>
        <w:rPr>
          <w:rFonts w:ascii="Arial" w:cs="Arial" w:eastAsia="Arial" w:hAnsi="Arial"/>
          <w:sz w:val="18"/>
          <w:szCs w:val="18"/>
          <w:i w:val="1"/>
          <w:iCs w:val="1"/>
          <w:color w:val="auto"/>
        </w:rPr>
        <w:t>Flagship</w:t>
      </w:r>
      <w:r>
        <w:rPr>
          <w:rFonts w:ascii="Arial" w:cs="Arial" w:eastAsia="Arial" w:hAnsi="Arial"/>
          <w:sz w:val="18"/>
          <w:szCs w:val="18"/>
          <w:b w:val="1"/>
          <w:bCs w:val="1"/>
          <w:color w:val="auto"/>
        </w:rPr>
        <w:t>—</w:t>
      </w:r>
      <w:r>
        <w:rPr>
          <w:rFonts w:ascii="Arial" w:cs="Arial" w:eastAsia="Arial" w:hAnsi="Arial"/>
          <w:sz w:val="18"/>
          <w:szCs w:val="18"/>
          <w:color w:val="auto"/>
        </w:rPr>
        <w:t>Autodesk flagship products are our core design products. Flagship includes the following products: 3ds Max, AutoCAD, AutoCAD LT,</w:t>
      </w:r>
      <w:r>
        <w:rPr>
          <w:rFonts w:ascii="Arial" w:cs="Arial" w:eastAsia="Arial" w:hAnsi="Arial"/>
          <w:sz w:val="18"/>
          <w:szCs w:val="18"/>
          <w:i w:val="1"/>
          <w:iCs w:val="1"/>
          <w:color w:val="auto"/>
        </w:rPr>
        <w:t xml:space="preserve"> </w:t>
      </w:r>
      <w:r>
        <w:rPr>
          <w:rFonts w:ascii="Arial" w:cs="Arial" w:eastAsia="Arial" w:hAnsi="Arial"/>
          <w:sz w:val="18"/>
          <w:szCs w:val="18"/>
          <w:color w:val="auto"/>
        </w:rPr>
        <w:t>AutoCAD vertical products (such as AutoCAD Architecture and AutoCAD Mechanical), Civil 3D, Inventor products (standalone), Maya, Plant 3D, and Revit products (standalone).</w:t>
      </w:r>
    </w:p>
    <w:p>
      <w:pPr>
        <w:spacing w:after="0" w:line="176" w:lineRule="exact"/>
        <w:rPr>
          <w:sz w:val="20"/>
          <w:szCs w:val="20"/>
          <w:color w:val="auto"/>
        </w:rPr>
      </w:pPr>
    </w:p>
    <w:p>
      <w:pPr>
        <w:ind w:right="40" w:firstLine="405"/>
        <w:spacing w:after="0" w:line="303" w:lineRule="auto"/>
        <w:rPr>
          <w:sz w:val="20"/>
          <w:szCs w:val="20"/>
          <w:color w:val="auto"/>
        </w:rPr>
      </w:pPr>
      <w:r>
        <w:rPr>
          <w:rFonts w:ascii="Arial" w:cs="Arial" w:eastAsia="Arial" w:hAnsi="Arial"/>
          <w:sz w:val="16"/>
          <w:szCs w:val="16"/>
          <w:i w:val="1"/>
          <w:iCs w:val="1"/>
          <w:color w:val="auto"/>
        </w:rPr>
        <w:t>License and Other revenue</w:t>
      </w:r>
      <w:r>
        <w:rPr>
          <w:rFonts w:ascii="Arial" w:cs="Arial" w:eastAsia="Arial" w:hAnsi="Arial"/>
          <w:sz w:val="16"/>
          <w:szCs w:val="16"/>
          <w:b w:val="1"/>
          <w:bCs w:val="1"/>
          <w:color w:val="auto"/>
        </w:rPr>
        <w:t>—</w:t>
      </w:r>
      <w:r>
        <w:rPr>
          <w:rFonts w:ascii="Arial" w:cs="Arial" w:eastAsia="Arial" w:hAnsi="Arial"/>
          <w:sz w:val="16"/>
          <w:szCs w:val="16"/>
          <w:color w:val="auto"/>
        </w:rPr>
        <w:t>License and other revenue consists of two components: (1) all forms of product license revenue and (2) other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license revenue includes software license revenue from the sale of seat licenses, software license revenue from the sale of seat term-based licenses from our desktop subscription and enterprise offerings, and product revenue for Creative Finishing. Other revenue includes revenue from consulting, training, Autodesk Developers Network and Creative Finishing customer support, and is recognized over time, as the services are performed.</w:t>
      </w:r>
    </w:p>
    <w:p>
      <w:pPr>
        <w:spacing w:after="0" w:line="151" w:lineRule="exact"/>
        <w:rPr>
          <w:sz w:val="20"/>
          <w:szCs w:val="20"/>
          <w:color w:val="auto"/>
        </w:rPr>
      </w:pPr>
    </w:p>
    <w:p>
      <w:pPr>
        <w:ind w:right="100" w:firstLine="405"/>
        <w:spacing w:after="0" w:line="281" w:lineRule="auto"/>
        <w:rPr>
          <w:sz w:val="20"/>
          <w:szCs w:val="20"/>
          <w:color w:val="auto"/>
        </w:rPr>
      </w:pPr>
      <w:r>
        <w:rPr>
          <w:rFonts w:ascii="Arial" w:cs="Arial" w:eastAsia="Arial" w:hAnsi="Arial"/>
          <w:sz w:val="17"/>
          <w:szCs w:val="17"/>
          <w:i w:val="1"/>
          <w:iCs w:val="1"/>
          <w:color w:val="auto"/>
        </w:rPr>
        <w:t>Maintenance</w:t>
      </w:r>
      <w:r>
        <w:rPr>
          <w:rFonts w:ascii="Arial" w:cs="Arial" w:eastAsia="Arial" w:hAnsi="Arial"/>
          <w:sz w:val="17"/>
          <w:szCs w:val="17"/>
          <w:b w:val="1"/>
          <w:bCs w:val="1"/>
          <w:color w:val="auto"/>
        </w:rPr>
        <w:t>—</w:t>
      </w:r>
      <w:r>
        <w:rPr>
          <w:rFonts w:ascii="Arial" w:cs="Arial" w:eastAsia="Arial" w:hAnsi="Arial"/>
          <w:sz w:val="17"/>
          <w:szCs w:val="17"/>
          <w:color w:val="auto"/>
        </w:rPr>
        <w:t>Our maintenance program provides our commercial and educational customers with a cost effective and predictable budgetary option to</w:t>
      </w:r>
      <w:r>
        <w:rPr>
          <w:rFonts w:ascii="Arial" w:cs="Arial" w:eastAsia="Arial" w:hAnsi="Arial"/>
          <w:sz w:val="17"/>
          <w:szCs w:val="17"/>
          <w:i w:val="1"/>
          <w:iCs w:val="1"/>
          <w:color w:val="auto"/>
        </w:rPr>
        <w:t xml:space="preserve"> </w:t>
      </w:r>
      <w:r>
        <w:rPr>
          <w:rFonts w:ascii="Arial" w:cs="Arial" w:eastAsia="Arial" w:hAnsi="Arial"/>
          <w:sz w:val="17"/>
          <w:szCs w:val="17"/>
          <w:color w:val="auto"/>
        </w:rPr>
        <w:t>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over the term of the agreements, generally between one and three years.</w:t>
      </w:r>
    </w:p>
    <w:p>
      <w:pPr>
        <w:spacing w:after="0" w:line="165"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i w:val="1"/>
          <w:iCs w:val="1"/>
          <w:color w:val="auto"/>
        </w:rPr>
        <w:t>New and Adjacent</w:t>
      </w:r>
      <w:r>
        <w:rPr>
          <w:rFonts w:ascii="Arial" w:cs="Arial" w:eastAsia="Arial" w:hAnsi="Arial"/>
          <w:sz w:val="18"/>
          <w:szCs w:val="18"/>
          <w:b w:val="1"/>
          <w:bCs w:val="1"/>
          <w:color w:val="auto"/>
        </w:rPr>
        <w:t>—</w:t>
      </w:r>
      <w:r>
        <w:rPr>
          <w:rFonts w:ascii="Arial" w:cs="Arial" w:eastAsia="Arial" w:hAnsi="Arial"/>
          <w:sz w:val="18"/>
          <w:szCs w:val="18"/>
          <w:color w:val="auto"/>
        </w:rPr>
        <w:t>Autodesk new and adjacent products include Autodesk's new product offerings as well as products that are not included in flagship</w:t>
      </w:r>
      <w:r>
        <w:rPr>
          <w:rFonts w:ascii="Arial" w:cs="Arial" w:eastAsia="Arial" w:hAnsi="Arial"/>
          <w:sz w:val="18"/>
          <w:szCs w:val="18"/>
          <w:i w:val="1"/>
          <w:iCs w:val="1"/>
          <w:color w:val="auto"/>
        </w:rPr>
        <w:t xml:space="preserve"> </w:t>
      </w:r>
      <w:r>
        <w:rPr>
          <w:rFonts w:ascii="Arial" w:cs="Arial" w:eastAsia="Arial" w:hAnsi="Arial"/>
          <w:sz w:val="18"/>
          <w:szCs w:val="18"/>
          <w:color w:val="auto"/>
        </w:rPr>
        <w:t>or suites. New and adjacent includes the following services and products: Autodesk Alias Design products, Autodesk 360 products, Autodesk Consulting, Autodesk Simulation, Autodesk Simulation Multiphysics, Autodesk Buzzsaw, Autodesk CF Design, Autodesk Constructware, Autodesk consumer products, Autodesk Creative Finishing products, Autodesk Moldflow products, Autodesk Navisworks, Autodesk Scaleform, Autodesk Vault products, Delcam products and all other products.</w:t>
      </w:r>
    </w:p>
    <w:p>
      <w:pPr>
        <w:spacing w:after="0" w:line="184"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i w:val="1"/>
          <w:iCs w:val="1"/>
          <w:color w:val="auto"/>
        </w:rPr>
        <w:t>Suites</w:t>
      </w:r>
      <w:r>
        <w:rPr>
          <w:rFonts w:ascii="Arial" w:cs="Arial" w:eastAsia="Arial" w:hAnsi="Arial"/>
          <w:sz w:val="18"/>
          <w:szCs w:val="18"/>
          <w:b w:val="1"/>
          <w:bCs w:val="1"/>
          <w:color w:val="auto"/>
        </w:rPr>
        <w:t>—</w:t>
      </w:r>
      <w:r>
        <w:rPr>
          <w:rFonts w:ascii="Arial" w:cs="Arial" w:eastAsia="Arial" w:hAnsi="Arial"/>
          <w:sz w:val="18"/>
          <w:szCs w:val="18"/>
          <w:color w:val="auto"/>
        </w:rPr>
        <w:t>Autodesk design suites are a combination of products that target a specific user objective (product design, building design, etc.) and support a</w:t>
      </w:r>
      <w:r>
        <w:rPr>
          <w:rFonts w:ascii="Arial" w:cs="Arial" w:eastAsia="Arial" w:hAnsi="Arial"/>
          <w:sz w:val="18"/>
          <w:szCs w:val="18"/>
          <w:i w:val="1"/>
          <w:iCs w:val="1"/>
          <w:color w:val="auto"/>
        </w:rPr>
        <w:t xml:space="preserve"> </w:t>
      </w:r>
      <w:r>
        <w:rPr>
          <w:rFonts w:ascii="Arial" w:cs="Arial" w:eastAsia="Arial" w:hAnsi="Arial"/>
          <w:sz w:val="18"/>
          <w:szCs w:val="18"/>
          <w:color w:val="auto"/>
        </w:rPr>
        <w:t>set of workflows for that objective. Our current design and creation suites include: AutoCAD Design Suite, Autodesk Building Design Suite, Autodesk Entertainment Creation Suite, Autodesk Factory Design Suite, Autodesk Infrastructure Design Suite, Autodesk Plant Design Suite, and Autodesk Product Design Suite.</w:t>
      </w:r>
    </w:p>
    <w:p>
      <w:pPr>
        <w:spacing w:after="0" w:line="180" w:lineRule="exact"/>
        <w:rPr>
          <w:sz w:val="20"/>
          <w:szCs w:val="20"/>
          <w:color w:val="auto"/>
        </w:rPr>
      </w:pPr>
    </w:p>
    <w:p>
      <w:pPr>
        <w:ind w:right="720" w:firstLine="405"/>
        <w:spacing w:after="0" w:line="347"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b w:val="1"/>
          <w:bCs w:val="1"/>
          <w:color w:val="auto"/>
        </w:rPr>
        <w:t>—</w:t>
      </w:r>
      <w:r>
        <w:rPr>
          <w:rFonts w:ascii="Arial" w:cs="Arial" w:eastAsia="Arial" w:hAnsi="Arial"/>
          <w:sz w:val="16"/>
          <w:szCs w:val="16"/>
          <w:color w:val="auto"/>
        </w:rPr>
        <w:t>Autodesk subscription revenue consists of three components: (1) maintenance revenue from our software products; (2)</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revenue from our term-based desktop subscription and enterprise offerings; and (3) revenue from our cloud service offerings.</w:t>
      </w:r>
    </w:p>
    <w:p>
      <w:pPr>
        <w:spacing w:after="0" w:line="120"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i w:val="1"/>
          <w:iCs w:val="1"/>
          <w:color w:val="auto"/>
        </w:rPr>
        <w:t>Total Subscriptions</w:t>
      </w:r>
      <w:r>
        <w:rPr>
          <w:rFonts w:ascii="Arial" w:cs="Arial" w:eastAsia="Arial" w:hAnsi="Arial"/>
          <w:sz w:val="16"/>
          <w:szCs w:val="16"/>
          <w:color w:val="auto"/>
        </w:rPr>
        <w:t>—Consists of subscriptions from our maintenance, desktop, cloud service and enterprise license offerings that are active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end date. For certain cloud based and enterprise license offerings, subscriptions represent the monthly average activity within the last three months of the quarter end date. Total subscriptions do not include data from education offerings, consumer product offerings, certain Creative Finishing product offerings, Autodesk Buzzsaw, Autodesk Constructware, and third party products. Subscriptions acquired with the acquisition of a business are captured once the data conforms to our subscription count methodology and when added, may cause variability in the quarterly comparisons of this calculation.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Billings</w:t>
      </w:r>
      <w:r>
        <w:rPr>
          <w:rFonts w:ascii="Arial" w:cs="Arial" w:eastAsia="Arial" w:hAnsi="Arial"/>
          <w:sz w:val="18"/>
          <w:szCs w:val="18"/>
          <w:b w:val="1"/>
          <w:bCs w:val="1"/>
          <w:color w:val="auto"/>
        </w:rPr>
        <w:t>—</w:t>
      </w:r>
      <w:r>
        <w:rPr>
          <w:rFonts w:ascii="Arial" w:cs="Arial" w:eastAsia="Arial" w:hAnsi="Arial"/>
          <w:sz w:val="18"/>
          <w:szCs w:val="18"/>
          <w:color w:val="auto"/>
        </w:rPr>
        <w:t>Amounts billed to customers during the current fiscal period net of any partner incentives or other discounts.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7" w:name="page48"/>
    <w:bookmarkEnd w:id="47"/>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October 31, 2014 and January 31, 2014,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net notional amount of our option and forward contracts was $425.5 million and $557.2 million at October 31, 2014 and January 31, 2014, respectively.</w:t>
      </w:r>
    </w:p>
    <w:p>
      <w:pPr>
        <w:spacing w:after="0" w:line="16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utilize foreign currency contracts to reduce the exchange rate impact on the net revenue and operating expenses of certain anticipated transactions. A sensitivity analysis performed on our hedging portfolio as of October 31, 2014 indicated that a hypothetical 10% appreciation of the U.S. dollar from its value at October 31, 2014 and January 31, 2014 would increase the fair value of our foreign currency contracts by $35.1 million and $7.9 million, respectively. A hypothetical 10% depreciation of the dollar from its value at October 31, 2014 would decrease the fair value of our foreign currency contracts by $10.0 million. A hypothetical 10% depreciation of the dollar from its value at January 31, 2014 would increase the fair value of our foreign currency contracts by $3.7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the market value of certain longer term securities. At October 31, 2014, we had $1,486.4 million of cash equivalents and marketable securities, including $556.4 million classified as short-term marketable securities and $255.5 million classified as long-term marketable securities. If interest rates were to move up or down by 50 or 100 basis points over a twelve month period, the market value change of our marketable securities would have a unrealized gain or loss of $3.1 million and $6.2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6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0" w:right="259" w:bottom="1440" w:gutter="0" w:footer="0" w:header="0"/>
        </w:sectPr>
      </w:pPr>
    </w:p>
    <w:bookmarkStart w:id="48" w:name="page49"/>
    <w:bookmarkEnd w:id="48"/>
    <w:p>
      <w:pPr>
        <w:spacing w:after="0" w:line="277" w:lineRule="auto"/>
        <w:rPr>
          <w:sz w:val="20"/>
          <w:szCs w:val="20"/>
          <w:color w:val="auto"/>
        </w:rPr>
      </w:pPr>
      <w:r>
        <w:rPr>
          <w:rFonts w:ascii="Arial" w:cs="Arial" w:eastAsia="Arial" w:hAnsi="Arial"/>
          <w:sz w:val="18"/>
          <w:szCs w:val="18"/>
          <w:color w:val="auto"/>
        </w:rPr>
        <w:t>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October 31, 2014 that have materially affected, or are reasonably likely to materially affect, our internal controls over financial reporting.</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584" w:right="31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business, financial results and financial condition.</w:t>
      </w:r>
    </w:p>
    <w:p>
      <w:pPr>
        <w:spacing w:after="0" w:line="225"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As our business has expanded globally, we have increasingly become subject to risks arising from adverse changes in global economic and political conditions. The past several years were characterized by weak global economic conditions, volatile credit markets, relatively high unemployment, a low level of liquidity in many financial markets, increased government deficit spending and debt levels, uncertainty about certain governments' abilities to repay such debt or to address certain fiscal issues, and volatility in many financial instrument markets. If economic growth in countries where we do business slows, or if such countries experience further economic recessions, customers may delay or reduce technology purchases. This could result in reductions in sales of our products and services, longer sales cycles and slower adoption of our technologies.</w:t>
      </w:r>
    </w:p>
    <w:p>
      <w:pPr>
        <w:spacing w:after="0" w:line="178"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have caused many countries to reduce spending and in some cases have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Moreover, our financial performance may be negatively impacted by:</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which may impair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decreased borrowing and spending by our end users on small and large projects in the industries we serve, thereby reducing demand for our products.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96" w:right="239" w:bottom="1440" w:gutter="0" w:footer="0" w:header="0"/>
        </w:sectPr>
      </w:pPr>
    </w:p>
    <w:bookmarkStart w:id="50" w:name="page51"/>
    <w:bookmarkEnd w:id="50"/>
    <w:p>
      <w:pPr>
        <w:ind w:right="120" w:firstLine="405"/>
        <w:spacing w:after="0" w:line="277" w:lineRule="auto"/>
        <w:rPr>
          <w:sz w:val="20"/>
          <w:szCs w:val="20"/>
          <w:color w:val="auto"/>
        </w:rPr>
      </w:pPr>
      <w:r>
        <w:rPr>
          <w:rFonts w:ascii="Arial" w:cs="Arial" w:eastAsia="Arial" w:hAnsi="Arial"/>
          <w:sz w:val="18"/>
          <w:szCs w:val="18"/>
          <w:color w:val="auto"/>
        </w:rPr>
        <w:t>Uncertainty about current and future economic and political conditions on us, our customers and partners, makes it difficult for us to forecast operating results and to make decisions about future investments.</w:t>
      </w:r>
    </w:p>
    <w:p>
      <w:pPr>
        <w:spacing w:after="0" w:line="170"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A slower economic recovery in industries important to our business may adversely affect our business, financial results and financial condition. If a macro-economic recovery does not occur as rapidly as anticipated, our ability to meet our long-term financial targets may also be adversely affected.</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3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To address the industry transition from personal computer to cloud, social, and mobile computing, we have accelerated our move to the cloud and are offering more flexible product licenses. As part of this transition, we announced in fiscal 2014 that we are discontinuing upgrades after fiscal 2015 and, in October 2014, we announced that we plan to discontinue new perpetual offerings over the next 12 to 24 months. As a result, we expect to derive an increasing portion of our revenues in the future from subscriptions. This subscription model prices and delivers our products in a way that differs from the historical perpetual pricing and delivery methods. These changes reflect a significant shift from perpetual license sales and distribution of our software in favor of providing our customers the right to access certain of our software in a hosted environment or use downloaded software for a specified subscription period.</w:t>
      </w:r>
    </w:p>
    <w:p>
      <w:pPr>
        <w:spacing w:after="0" w:line="12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While we expect to increase our total subscriptions, customer value, billings, bookings, ratable and recurring revenue over time as a result of this business model transition, our ability to achieve these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4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that may not result in additional net revenue or could result in decreased net revenue.</w:t>
      </w:r>
    </w:p>
    <w:p>
      <w:pPr>
        <w:spacing w:after="0" w:line="17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are also developing consumer products for digital art, personal design and creativity, and home design. We devote significant resources to the development of new technologies. In addition, we frequently introduce new business models or methods that require a considerable investment of technical and financial resources such as an increase in our portfolio of, and focus on, suites and, most recently, our introduction of flexible license and service offerings.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If we are not able to meet customer requirements, either with respect to our software products or the manner in which we provide such products, or if we are not able to adapt our business model to meet our customers' requirements, our business, financial condition or results of operations may be adversely impacted.</w:t>
      </w:r>
    </w:p>
    <w:p>
      <w:pPr>
        <w:spacing w:after="0" w:line="18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In particular, a critical component of our growth strategy is to have customers of our AutoCAD and AutoCAD LT products expand their portfolios to include our suites and cloud-based services. Over time, we aim to migrate customers using standalone Autodesk products to expand their portfolio with our suites and cloud-based offerings, and we have recently taken steps to accelerate this migration. At times, sales of licenses of our AutoCAD and AutoCAD LT or standalone Autodesk flagship products have decreased without a corresponding increase in suites product or cloud-based services revenue or without purchases of customer seats to our suites. Should this continue, our results of operations will be adversely affected. Also, adoption of our cloud and mobile computing offerings and changes in the delivery of our software and services to our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4" w:right="259" w:bottom="1440" w:gutter="0" w:footer="0" w:header="0"/>
        </w:sectPr>
      </w:pPr>
    </w:p>
    <w:bookmarkStart w:id="51" w:name="page52"/>
    <w:bookmarkEnd w:id="51"/>
    <w:p>
      <w:pPr>
        <w:ind w:right="60"/>
        <w:spacing w:after="0" w:line="293" w:lineRule="auto"/>
        <w:rPr>
          <w:sz w:val="20"/>
          <w:szCs w:val="20"/>
          <w:color w:val="auto"/>
        </w:rPr>
      </w:pPr>
      <w:r>
        <w:rPr>
          <w:rFonts w:ascii="Arial" w:cs="Arial" w:eastAsia="Arial" w:hAnsi="Arial"/>
          <w:sz w:val="16"/>
          <w:szCs w:val="16"/>
          <w:color w:val="auto"/>
        </w:rPr>
        <w:t>customers, such as desktop subscription (formally referred to as rental)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potentially reducing our upfront perpetual revenue stream. 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165"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dependent on our international operations for a significant portion of our revenue. International net revenue represented 69% and 71% of our net revenue for the three and nine months ended October 31, 2014,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 Our intent is that amounts related to foreign earnings permanently reinvested outside the U.S. will remain outside the U.S., and we will meet our U.S. liquidity needs through ongoing cash flows, external borrowings (such as our Senior Notes), or both. However, if, in the future, amounts held by foreign subsidiaries are needed to fund our operations in the U.S., or to service our external borrowings, the repatriation of such amounts to the U.S. could result in a significant incremental tax liability in the period in which the decision to repatriate occurs and payment of any such tax liability would reduce the cash available to fund our operations.</w:t>
      </w:r>
    </w:p>
    <w:p>
      <w:pPr>
        <w:spacing w:after="0" w:line="180"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particularly in emerging economies, increasing enforcement by the U.S. under the Foreign Corrupt Practices Act, adoption of stricter anti-corruption laws in certain countries, including the United Kingdom, difficulties in staffing and managing foreign sales and development operations, longer collection cycles for accounts receivable, potential changes in tax laws, including possible U.S. and foreign tax law changes that, if enacted, could significantly impact how multinational companies are taxed, tax arrangements with foreign governments, including our ability to meet and renew the terms of those tax arrangements, and laws regarding the management of and access to data and public networks, possible future limitations upon foreign owned businesses, increased financial accounting and reporting burdens and complexities, inadequate local infrastructure, greater difficulty in protecting intellectual property, and other factors beyond our control, including popular uprisings, terrorism, war, natural disasters and diseases.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markets in which we compete are characterized by vigorous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2" w:name="page53"/>
    <w:bookmarkEnd w:id="52"/>
    <w:p>
      <w:pPr>
        <w:spacing w:after="0" w:line="273" w:lineRule="auto"/>
        <w:rPr>
          <w:sz w:val="20"/>
          <w:szCs w:val="20"/>
          <w:color w:val="auto"/>
        </w:rPr>
      </w:pPr>
      <w:r>
        <w:rPr>
          <w:rFonts w:ascii="Arial" w:cs="Arial" w:eastAsia="Arial" w:hAnsi="Arial"/>
          <w:sz w:val="17"/>
          <w:szCs w:val="17"/>
          <w:color w:val="auto"/>
        </w:rPr>
        <w:t>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7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believe that our future results largely depend upon our ability to offer products that compete favorably with respect to reliability, performance, ease of use, range of useful features, continuing product enhancements, reputation and price.</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the three and nine months ended October 31, 2014, approximately 83% and 84% of our revenue was derived from indirect channel sales through distributors and resellers, respectively,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Corporation and its global affiliates (“Tech Data”). Tech Data accounted for 26% of our total net revenue for both the three and nine months ended October 31, 2014, as compared to 24% and 25% of our total net revenue for the three and nine months ended October 31, 2013, respectively.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93"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In addition to the other factors described in this Part II, Item 1A, some of the factors that could cause our financial results to fluctuate include:</w:t>
      </w:r>
    </w:p>
    <w:p>
      <w:pPr>
        <w:spacing w:after="0" w:line="18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3" w:name="page54"/>
    <w:bookmarkEnd w:id="53"/>
    <w:p>
      <w:pPr>
        <w:ind w:left="328" w:hanging="328"/>
        <w:spacing w:after="0"/>
        <w:tabs>
          <w:tab w:leader="none" w:pos="328"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results and future projections related to our business model transition, including the impact of the end of upgrades and perpetual licenses;</w:t>
      </w:r>
    </w:p>
    <w:p>
      <w:pPr>
        <w:spacing w:after="0" w:line="236" w:lineRule="exact"/>
        <w:rPr>
          <w:rFonts w:ascii="Arial" w:cs="Arial" w:eastAsia="Arial" w:hAnsi="Arial"/>
          <w:sz w:val="17"/>
          <w:szCs w:val="17"/>
          <w:color w:val="auto"/>
        </w:rPr>
      </w:pPr>
    </w:p>
    <w:p>
      <w:pPr>
        <w:ind w:left="328" w:right="680" w:hanging="328"/>
        <w:spacing w:after="0" w:line="277"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328" w:right="200" w:hanging="328"/>
        <w:spacing w:after="0" w:line="277"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weak or negative growth in one or more of the industries we serve, including architecture, engineering and construction, manufacturing, education and digital media and entertainment markets;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and maintain cost reductions and productivity increases;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growth or contraction of our maintenance program;</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expand our AutoCAD and AutoCAD LT products customer base to related design products;</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and new computing platforms;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328" w:right="400" w:hanging="328"/>
        <w:spacing w:after="0" w:line="277"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328" w:right="320" w:hanging="328"/>
        <w:spacing w:after="0" w:line="277"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75"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68"/>
          </w:cols>
          <w:pgMar w:left="572" w:top="584" w:right="259" w:bottom="1440" w:gutter="0" w:footer="0" w:header="0"/>
        </w:sectPr>
      </w:pPr>
    </w:p>
    <w:bookmarkStart w:id="54" w:name="page55"/>
    <w:bookmarkEnd w:id="54"/>
    <w:p>
      <w:pPr>
        <w:ind w:left="660" w:right="2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or other rule-making bodies;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associated with acquisitions of companies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Asia Pacific operations typically experience seasonal slowing in our third and fourth quarters.</w:t>
      </w:r>
    </w:p>
    <w:p>
      <w:pPr>
        <w:spacing w:after="0" w:line="19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47" w:lineRule="exact"/>
        <w:rPr>
          <w:sz w:val="20"/>
          <w:szCs w:val="20"/>
          <w:color w:val="auto"/>
        </w:rPr>
      </w:pPr>
    </w:p>
    <w:p>
      <w:pPr>
        <w:jc w:val="both"/>
        <w:ind w:right="12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800"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22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regularly acquire or invest in businesses, software products and technologies that are complementary to our business through acquisitions, strategic alliances or equity or debt investments. For example, we recently acquired Delcam plc (“Delcam”). a leading supplier of advanced CADCAM and industrial measurement solutions for the manufacturing industry.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A breach of security in our products, services or computer systems may compromise the integrity of our products or services, harm our reputation, create additional liability and adversely impact our financial results.</w:t>
      </w:r>
    </w:p>
    <w:p>
      <w:pPr>
        <w:spacing w:after="0" w:line="184" w:lineRule="exact"/>
        <w:rPr>
          <w:sz w:val="20"/>
          <w:szCs w:val="20"/>
          <w:color w:val="auto"/>
        </w:rPr>
      </w:pPr>
    </w:p>
    <w:p>
      <w:pPr>
        <w:ind w:firstLine="432"/>
        <w:spacing w:after="0" w:line="303" w:lineRule="auto"/>
        <w:rPr>
          <w:sz w:val="20"/>
          <w:szCs w:val="20"/>
          <w:color w:val="auto"/>
        </w:rPr>
      </w:pPr>
      <w:r>
        <w:rPr>
          <w:rFonts w:ascii="Arial" w:cs="Arial" w:eastAsia="Arial" w:hAnsi="Arial"/>
          <w:sz w:val="16"/>
          <w:szCs w:val="16"/>
          <w:color w:val="auto"/>
        </w:rPr>
        <w:t xml:space="preserve">We make significant efforts to maintain the security and integrity of our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services or computer systems. Despite significant efforts to create security barriers to such programs, it is virtually impossible for us to entirely eliminate this risk. Like all software, our software is vulnerable to cyber attacks. In the past, hackers have targeted our software, and they may do so in the future. The impact of cyber attacks could disrupt the proper functioning of our software products or services, cause errors in the output of our customers' work, allow unauthorized access to sensitive, proprietary or confidential information of ours or our customers, and other destructive outcomes. </w:t>
      </w:r>
      <w:r>
        <w:rPr>
          <w:rFonts w:ascii="Arial" w:cs="Arial" w:eastAsia="Arial" w:hAnsi="Arial"/>
          <w:sz w:val="17"/>
          <w:szCs w:val="17"/>
          <w:color w:val="auto"/>
        </w:rPr>
        <w:t>M</w:t>
      </w:r>
      <w:r>
        <w:rPr>
          <w:rFonts w:ascii="Arial" w:cs="Arial" w:eastAsia="Arial" w:hAnsi="Arial"/>
          <w:sz w:val="16"/>
          <w:szCs w:val="16"/>
          <w:color w:val="auto"/>
        </w:rPr>
        <w:t>oreover, as we continue to invest in new lines of consumer products and services we are exposed to increased security risks and the potential for unauthorized access to, or improper use of, the information of our consumer users. If any of the foregoing were to occur, our reputation may suffer, customers may stop buying our products or services, we could face lawsuits and potential liability, and our financial performance could be negatively impacted.</w:t>
      </w:r>
    </w:p>
    <w:p>
      <w:pPr>
        <w:spacing w:after="0" w:line="1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and certain of our customer services and other operations; any interruption or delay in service from these third parties, breaches of security 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584" w:right="27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privacy, or failures in data collection could expose us to liability, harm our reputation and adversely impact our financial performance.</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93"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and suites, if these products are not successful, our revenue will be adversely affected.</w:t>
      </w:r>
    </w:p>
    <w:p>
      <w:pPr>
        <w:spacing w:after="0" w:line="17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derive a substantial portion of our net revenue from sales of licenses of a limited number of our products, including AutoCAD software, products based on AutoCAD, which include our suites that serve specific markets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and nine months ended October 31, 2014, combined revenue from our AutoCAD and AutoCAD LT products, not including suites having AutoCAD or AutoCAD LT as a component, represented 27% and 29% of our total net revenue, respectively.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7" w:name="page58"/>
    <w:bookmarkEnd w:id="57"/>
    <w:p>
      <w:pPr>
        <w:ind w:right="56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would negatively impact our future revenue and financial results.</w:t>
      </w:r>
    </w:p>
    <w:p>
      <w:pPr>
        <w:spacing w:after="0" w:line="1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the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188"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81"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maintenance billings will negatively impact future maintenance revenue, however future maintenance revenue will also be impacted by other factors such as the amount, timing and mix of contract terms of future billings.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As part of our effort to accommodate our customers' needs and demands and the rapid evolution of technology, we from time to time evolve our business and sales initiatives such as realigning our development and marketing organizations, and expanding our portfolio of suites and our offering of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restructuring and cost reduction actions may not be as effective as anticipated.</w:t>
      </w:r>
    </w:p>
    <w:p>
      <w:pPr>
        <w:spacing w:after="0" w:line="22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the past, we have undertaken restructuring plans. In the future, we may need to undertake additional restructuring efforts, and our business and operating results may be harmed. In taking any future restructuring actions, we may incur additional costs that negatively impact our operating margins. Additionally, a prolonged and slow economic recovery or recessions in the markets in which we operate could also lead to additional restructuring actions and associated costs.</w:t>
      </w:r>
    </w:p>
    <w:p>
      <w:pPr>
        <w:spacing w:after="0" w:line="2" w:lineRule="exact"/>
        <w:rPr>
          <w:sz w:val="20"/>
          <w:szCs w:val="20"/>
          <w:color w:val="auto"/>
        </w:rPr>
      </w:pPr>
    </w:p>
    <w:p>
      <w:pPr>
        <w:jc w:val="both"/>
        <w:ind w:right="140" w:firstLine="405"/>
        <w:spacing w:after="0" w:line="295" w:lineRule="auto"/>
        <w:rPr>
          <w:sz w:val="20"/>
          <w:szCs w:val="20"/>
          <w:color w:val="auto"/>
        </w:rPr>
      </w:pPr>
      <w:r>
        <w:rPr>
          <w:rFonts w:ascii="Arial" w:cs="Arial" w:eastAsia="Arial" w:hAnsi="Arial"/>
          <w:sz w:val="16"/>
          <w:szCs w:val="16"/>
          <w:color w:val="auto"/>
        </w:rPr>
        <w:t>In the past, we have taken actions to reduce our cost structure to more closely align our costs with our revenue levels. In taking these actions, we have attempted to balance the cost of such initiatives against their longer term benefits. If we do not achieve the proper balance of these cost reduction initiatives, we may eliminate critical elements of our operations, the loss of which could negatively impact our ability to benefit from an economic recovery. We cannot assure that our cost cutting efforts will achieve appropriate levels of expenses, and we may take additional actions in the future.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225"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earnings, billings, subscriptions or other key performance metrics;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801" w:right="259" w:bottom="1440" w:gutter="0" w:footer="0" w:header="0"/>
        </w:sectPr>
      </w:pPr>
    </w:p>
    <w:bookmarkStart w:id="58" w:name="page59"/>
    <w:bookmarkEnd w:id="58"/>
    <w:p>
      <w:pPr>
        <w:ind w:left="660" w:right="7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Changes in laws and/or regulations related to the Internet or related to privacy and data security concerns may impact our business or expose us to increased liability.</w:t>
      </w:r>
    </w:p>
    <w:p>
      <w:pPr>
        <w:spacing w:after="0" w:line="170"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Several other countries, including Canada and several Latin American and Asian countries, have constitutional protections for, or have adopted legislation protecting, individuals' personal information. Additionally, some federal, state, or foreign governmental bodies have established laws which seek to censor the transmission of certain types of content over the Internet or require that individuals be provided with the ability to permanently delete all electronic personal information, such as the German Multimedia Law of 1997.</w:t>
      </w:r>
    </w:p>
    <w:p>
      <w:pPr>
        <w:spacing w:after="0" w:line="394"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59" w:name="page60"/>
    <w:bookmarkEnd w:id="59"/>
    <w:p>
      <w:pPr>
        <w:ind w:right="340"/>
        <w:spacing w:after="0" w:line="286" w:lineRule="auto"/>
        <w:rPr>
          <w:sz w:val="20"/>
          <w:szCs w:val="20"/>
          <w:color w:val="auto"/>
        </w:rPr>
      </w:pPr>
      <w:r>
        <w:rPr>
          <w:rFonts w:ascii="Arial" w:cs="Arial" w:eastAsia="Arial" w:hAnsi="Arial"/>
          <w:sz w:val="17"/>
          <w:szCs w:val="17"/>
          <w:color w:val="auto"/>
        </w:rPr>
        <w:t>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implementation of additional technological safeguards.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and earnings per share.</w:t>
      </w:r>
    </w:p>
    <w:p>
      <w:pPr>
        <w:spacing w:after="0" w:line="178"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73"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 for our securities.</w:t>
      </w:r>
    </w:p>
    <w:p>
      <w:pPr>
        <w:spacing w:after="0" w:line="18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Although outcomes of such actions vary,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66"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IFRS outside of the U.S. These efforts by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584" w:right="259" w:bottom="1440" w:gutter="0" w:footer="0" w:header="0"/>
        </w:sectPr>
      </w:pPr>
    </w:p>
    <w:bookmarkStart w:id="60" w:name="page61"/>
    <w:bookmarkEnd w:id="60"/>
    <w:p>
      <w:pPr>
        <w:ind w:right="220"/>
        <w:spacing w:after="0" w:line="277" w:lineRule="auto"/>
        <w:rPr>
          <w:sz w:val="20"/>
          <w:szCs w:val="20"/>
          <w:color w:val="auto"/>
        </w:rPr>
      </w:pPr>
      <w:r>
        <w:rPr>
          <w:rFonts w:ascii="Arial" w:cs="Arial" w:eastAsia="Arial" w:hAnsi="Arial"/>
          <w:sz w:val="18"/>
          <w:szCs w:val="18"/>
          <w:color w:val="auto"/>
        </w:rPr>
        <w:t>FASB and IASB may result in different accounting principles under GAAP that may result in materially different financial results for us in areas including, but not limited to principles for recognizing revenue and lease accounting.</w:t>
      </w:r>
    </w:p>
    <w:p>
      <w:pPr>
        <w:spacing w:after="0" w:line="17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We regularly invest resources to update and improve our information technology systems. Should our investments not succeed, or if delays or other issues with new or existing internal technology systems disrupt our operations, our business could be harmed.</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rely on our network and data center infrastructure, technology systems and our websites for our development, marketing, operational, support, sales, accounting and financial reporting activities. We are continually investing resources to update and improve these systems and environments in order to meet the growing and evolving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Although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8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Although we have determined that our internal control over financial reporting was effective as of January 31, 2014, as indicated in our Management Report on Internal Control over Financial Reporting, included in our Annual Report on Form 10-K for the fiscal year ended January 31, 2014, we must continue to monitor and assess our internal control over financial reporting. If our management identifies one or more material weaknesses in our internal control over financial reporting and such weakness remains uncorrected at fiscal year-end, we will be unable to assert such internal control is effective at fiscal year-end.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overturned by tax authorities.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84" w:right="259" w:bottom="1440" w:gutter="0" w:footer="0" w:header="0"/>
        </w:sectPr>
      </w:pPr>
    </w:p>
    <w:bookmarkStart w:id="61" w:name="page62"/>
    <w:bookmarkEnd w:id="61"/>
    <w:p>
      <w:pPr>
        <w:ind w:right="240"/>
        <w:spacing w:after="0" w:line="342" w:lineRule="auto"/>
        <w:rPr>
          <w:sz w:val="20"/>
          <w:szCs w:val="20"/>
          <w:color w:val="auto"/>
        </w:rPr>
      </w:pPr>
      <w:r>
        <w:rPr>
          <w:rFonts w:ascii="Arial" w:cs="Arial" w:eastAsia="Arial" w:hAnsi="Arial"/>
          <w:sz w:val="16"/>
          <w:szCs w:val="16"/>
          <w:color w:val="auto"/>
        </w:rPr>
        <w:t>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4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584" w:right="259" w:bottom="1440" w:gutter="0" w:footer="0" w:header="0"/>
        </w:sectPr>
      </w:pPr>
    </w:p>
    <w:bookmarkStart w:id="62" w:name="page63"/>
    <w:bookmarkEnd w:id="62"/>
    <w:p>
      <w:pPr>
        <w:ind w:right="300"/>
        <w:spacing w:after="0" w:line="308" w:lineRule="auto"/>
        <w:rPr>
          <w:sz w:val="20"/>
          <w:szCs w:val="20"/>
          <w:color w:val="auto"/>
        </w:rPr>
      </w:pPr>
      <w:r>
        <w:rPr>
          <w:rFonts w:ascii="Arial" w:cs="Arial" w:eastAsia="Arial" w:hAnsi="Arial"/>
          <w:sz w:val="17"/>
          <w:szCs w:val="17"/>
          <w:i w:val="1"/>
          <w:iCs w:val="1"/>
          <w:color w:val="auto"/>
        </w:rPr>
        <w:t>We issued $750.0 million aggregate principal amount of senior unsecured notes in a debt offering in December 2012 and have an existing $400.0 million revolving credit facility, and may incur other debt in the future, which may adversely affect our financial condition and future financial results.</w:t>
      </w:r>
    </w:p>
    <w:p>
      <w:pPr>
        <w:spacing w:after="0" w:line="147"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In December 2012, we issued 1.95% notes due December 15, 2017 in an aggregate principal amount of $400.0 million and 3.6% notes due December 15, 2022 in an aggregate principal amount of $350.0 million. As the December 2017 and December 2022 debt matures, we will have to expend significant resources to either repay or refinance these notes. If we decide to refinance the notes, we may be required to do so on different or less favorable terms or we may be unable to refinance the notes at all, both of which may adversely affect our financial condition.</w:t>
      </w:r>
    </w:p>
    <w:p>
      <w:pPr>
        <w:spacing w:after="0" w:line="17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also have a $400.0 million revolving credit facility. As of October 31, 2014,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are required to comply with the covenants set forth in our senior unsecured notes and revolving credit facility. Our ability to comply with these covenants may be affected by events beyond our control. If we breach any of the covenants and do not obtain a waiver from the note 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October 31, 2014.</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584" w:right="319" w:bottom="1440" w:gutter="0" w:footer="0" w:header="0"/>
        </w:sectPr>
      </w:pPr>
    </w:p>
    <w:bookmarkStart w:id="63" w:name="page64"/>
    <w:bookmarkEnd w:id="63"/>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or incorporated by reference as part of this Form 10-Q.</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3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100" w:type="dxa"/>
            <w:vAlign w:val="bottom"/>
          </w:tcPr>
          <w:p>
            <w:pPr>
              <w:spacing w:after="0"/>
              <w:rPr>
                <w:sz w:val="14"/>
                <w:szCs w:val="14"/>
                <w:color w:val="auto"/>
              </w:rPr>
            </w:pPr>
          </w:p>
        </w:tc>
      </w:tr>
      <w:tr>
        <w:trPr>
          <w:trHeight w:val="379"/>
        </w:trPr>
        <w:tc>
          <w:tcPr>
            <w:tcW w:w="700" w:type="dxa"/>
            <w:vAlign w:val="bottom"/>
          </w:tcPr>
          <w:p>
            <w:pPr>
              <w:spacing w:after="0"/>
              <w:rPr>
                <w:sz w:val="20"/>
                <w:szCs w:val="20"/>
                <w:color w:val="auto"/>
              </w:rPr>
            </w:pPr>
            <w:r>
              <w:rPr>
                <w:rFonts w:ascii="Arial" w:cs="Arial" w:eastAsia="Arial" w:hAnsi="Arial"/>
                <w:sz w:val="16"/>
                <w:szCs w:val="16"/>
                <w:color w:val="auto"/>
              </w:rPr>
              <w:t>10.1*</w:t>
            </w:r>
          </w:p>
        </w:tc>
        <w:tc>
          <w:tcPr>
            <w:tcW w:w="320" w:type="dxa"/>
            <w:vAlign w:val="bottom"/>
          </w:tcPr>
          <w:p>
            <w:pPr>
              <w:spacing w:after="0"/>
              <w:rPr>
                <w:sz w:val="24"/>
                <w:szCs w:val="24"/>
                <w:color w:val="auto"/>
              </w:rPr>
            </w:pPr>
          </w:p>
        </w:tc>
        <w:tc>
          <w:tcPr>
            <w:tcW w:w="9740" w:type="dxa"/>
            <w:vAlign w:val="bottom"/>
            <w:gridSpan w:val="3"/>
          </w:tcPr>
          <w:p>
            <w:pPr>
              <w:ind w:left="240"/>
              <w:spacing w:after="0"/>
              <w:rPr>
                <w:sz w:val="20"/>
                <w:szCs w:val="20"/>
                <w:color w:val="auto"/>
              </w:rPr>
            </w:pPr>
            <w:r>
              <w:rPr>
                <w:rFonts w:ascii="Arial" w:cs="Arial" w:eastAsia="Arial" w:hAnsi="Arial"/>
                <w:sz w:val="16"/>
                <w:szCs w:val="16"/>
                <w:color w:val="auto"/>
              </w:rPr>
              <w:t>R. Scott Herren Offer Letter dated September 23, 2014</w:t>
            </w:r>
          </w:p>
        </w:tc>
      </w:tr>
      <w:tr>
        <w:trPr>
          <w:trHeight w:val="378"/>
        </w:trPr>
        <w:tc>
          <w:tcPr>
            <w:tcW w:w="700" w:type="dxa"/>
            <w:vAlign w:val="bottom"/>
          </w:tcPr>
          <w:p>
            <w:pPr>
              <w:spacing w:after="0"/>
              <w:rPr>
                <w:sz w:val="20"/>
                <w:szCs w:val="20"/>
                <w:color w:val="auto"/>
              </w:rPr>
            </w:pPr>
            <w:r>
              <w:rPr>
                <w:rFonts w:ascii="Arial" w:cs="Arial" w:eastAsia="Arial" w:hAnsi="Arial"/>
                <w:sz w:val="16"/>
                <w:szCs w:val="16"/>
                <w:color w:val="auto"/>
              </w:rPr>
              <w:t>31.1</w:t>
            </w:r>
          </w:p>
        </w:tc>
        <w:tc>
          <w:tcPr>
            <w:tcW w:w="320" w:type="dxa"/>
            <w:vAlign w:val="bottom"/>
          </w:tcPr>
          <w:p>
            <w:pPr>
              <w:spacing w:after="0"/>
              <w:rPr>
                <w:sz w:val="24"/>
                <w:szCs w:val="24"/>
                <w:color w:val="auto"/>
              </w:rPr>
            </w:pPr>
          </w:p>
        </w:tc>
        <w:tc>
          <w:tcPr>
            <w:tcW w:w="9740" w:type="dxa"/>
            <w:vAlign w:val="bottom"/>
            <w:gridSpan w:val="3"/>
          </w:tcPr>
          <w:p>
            <w:pPr>
              <w:ind w:left="240"/>
              <w:spacing w:after="0"/>
              <w:rPr>
                <w:sz w:val="20"/>
                <w:szCs w:val="20"/>
                <w:color w:val="auto"/>
              </w:rPr>
            </w:pPr>
            <w:r>
              <w:rPr>
                <w:rFonts w:ascii="Arial" w:cs="Arial" w:eastAsia="Arial" w:hAnsi="Arial"/>
                <w:sz w:val="16"/>
                <w:szCs w:val="16"/>
                <w:color w:val="auto"/>
              </w:rPr>
              <w:t>Certification of Chief Executive Officer pursuant to Rule 13a-14(a) of the Securities Exchange Act of 1934</w:t>
            </w:r>
          </w:p>
        </w:tc>
      </w:tr>
      <w:tr>
        <w:trPr>
          <w:trHeight w:val="392"/>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320" w:type="dxa"/>
            <w:vAlign w:val="bottom"/>
          </w:tcPr>
          <w:p>
            <w:pPr>
              <w:spacing w:after="0"/>
              <w:rPr>
                <w:sz w:val="24"/>
                <w:szCs w:val="24"/>
                <w:color w:val="auto"/>
              </w:rPr>
            </w:pPr>
          </w:p>
        </w:tc>
        <w:tc>
          <w:tcPr>
            <w:tcW w:w="9740" w:type="dxa"/>
            <w:vAlign w:val="bottom"/>
            <w:gridSpan w:val="3"/>
          </w:tcPr>
          <w:p>
            <w:pPr>
              <w:ind w:left="240"/>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w:t>
            </w:r>
          </w:p>
        </w:tc>
      </w:tr>
      <w:tr>
        <w:trPr>
          <w:trHeight w:val="388"/>
        </w:trPr>
        <w:tc>
          <w:tcPr>
            <w:tcW w:w="1020" w:type="dxa"/>
            <w:vAlign w:val="bottom"/>
            <w:gridSpan w:val="2"/>
          </w:tcPr>
          <w:p>
            <w:pPr>
              <w:spacing w:after="0"/>
              <w:rPr>
                <w:sz w:val="20"/>
                <w:szCs w:val="20"/>
                <w:color w:val="auto"/>
              </w:rPr>
            </w:pPr>
            <w:r>
              <w:rPr>
                <w:rFonts w:ascii="Arial" w:cs="Arial" w:eastAsia="Arial" w:hAnsi="Arial"/>
                <w:sz w:val="16"/>
                <w:szCs w:val="16"/>
                <w:color w:val="auto"/>
              </w:rPr>
              <w:t>32.1 †</w:t>
            </w:r>
          </w:p>
        </w:tc>
        <w:tc>
          <w:tcPr>
            <w:tcW w:w="9740" w:type="dxa"/>
            <w:vAlign w:val="bottom"/>
            <w:gridSpan w:val="3"/>
          </w:tcPr>
          <w:p>
            <w:pPr>
              <w:ind w:left="240"/>
              <w:spacing w:after="0"/>
              <w:rPr>
                <w:sz w:val="20"/>
                <w:szCs w:val="20"/>
                <w:color w:val="auto"/>
              </w:rPr>
            </w:pPr>
            <w:r>
              <w:rPr>
                <w:rFonts w:ascii="Arial" w:cs="Arial" w:eastAsia="Arial" w:hAnsi="Arial"/>
                <w:sz w:val="16"/>
                <w:szCs w:val="16"/>
                <w:color w:val="auto"/>
                <w:w w:val="92"/>
              </w:rPr>
              <w:t>Certification of Chief Executive Officer and Chief Financial Officer pursuant to 18 U.S.C. Section 1350, as adopted pursuant to Section 906 of the</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40" w:type="dxa"/>
            <w:vAlign w:val="bottom"/>
            <w:gridSpan w:val="3"/>
          </w:tcPr>
          <w:p>
            <w:pPr>
              <w:ind w:left="240"/>
              <w:spacing w:after="0"/>
              <w:rPr>
                <w:sz w:val="20"/>
                <w:szCs w:val="20"/>
                <w:color w:val="auto"/>
              </w:rPr>
            </w:pPr>
            <w:r>
              <w:rPr>
                <w:rFonts w:ascii="Arial" w:cs="Arial" w:eastAsia="Arial" w:hAnsi="Arial"/>
                <w:sz w:val="16"/>
                <w:szCs w:val="16"/>
                <w:color w:val="auto"/>
              </w:rPr>
              <w:t>Sarbanes-Oxley Act of 2002</w:t>
            </w:r>
          </w:p>
        </w:tc>
      </w:tr>
      <w:tr>
        <w:trPr>
          <w:trHeight w:val="378"/>
        </w:trPr>
        <w:tc>
          <w:tcPr>
            <w:tcW w:w="102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9740" w:type="dxa"/>
            <w:vAlign w:val="bottom"/>
            <w:gridSpan w:val="3"/>
          </w:tcPr>
          <w:p>
            <w:pPr>
              <w:ind w:left="240"/>
              <w:spacing w:after="0"/>
              <w:rPr>
                <w:sz w:val="20"/>
                <w:szCs w:val="20"/>
                <w:color w:val="auto"/>
              </w:rPr>
            </w:pPr>
            <w:r>
              <w:rPr>
                <w:rFonts w:ascii="Arial" w:cs="Arial" w:eastAsia="Arial" w:hAnsi="Arial"/>
                <w:sz w:val="16"/>
                <w:szCs w:val="16"/>
                <w:color w:val="auto"/>
              </w:rPr>
              <w:t>XBRL Instance Document</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974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Schema</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974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Calculation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9740" w:type="dxa"/>
            <w:vAlign w:val="bottom"/>
            <w:gridSpan w:val="3"/>
          </w:tcPr>
          <w:p>
            <w:pPr>
              <w:ind w:left="240"/>
              <w:spacing w:after="0"/>
              <w:rPr>
                <w:sz w:val="20"/>
                <w:szCs w:val="20"/>
                <w:color w:val="auto"/>
              </w:rPr>
            </w:pPr>
            <w:r>
              <w:rPr>
                <w:rFonts w:ascii="Arial" w:cs="Arial" w:eastAsia="Arial" w:hAnsi="Arial"/>
                <w:sz w:val="16"/>
                <w:szCs w:val="16"/>
                <w:color w:val="auto"/>
              </w:rPr>
              <w:t>XBRL Taxonomy Definition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974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Label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974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199" w:lineRule="exact"/>
        <w:rPr>
          <w:sz w:val="20"/>
          <w:szCs w:val="20"/>
          <w:color w:val="auto"/>
        </w:rPr>
      </w:pPr>
    </w:p>
    <w:p>
      <w:pPr>
        <w:ind w:left="720" w:hanging="685"/>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248" w:lineRule="exact"/>
        <w:rPr>
          <w:sz w:val="20"/>
          <w:szCs w:val="20"/>
          <w:color w:val="auto"/>
        </w:rPr>
      </w:pPr>
    </w:p>
    <w:p>
      <w:pPr>
        <w:jc w:val="both"/>
        <w:ind w:left="720" w:hanging="685"/>
        <w:spacing w:after="0" w:line="335" w:lineRule="auto"/>
        <w:tabs>
          <w:tab w:leader="none" w:pos="7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8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64</w:t>
      </w:r>
    </w:p>
    <w:p>
      <w:pPr>
        <w:sectPr>
          <w:pgSz w:w="11900" w:h="16838" w:orient="portrait"/>
          <w:cols w:equalWidth="0" w:num="1">
            <w:col w:w="11280"/>
          </w:cols>
          <w:pgMar w:left="240" w:top="580" w:right="379" w:bottom="1440" w:gutter="0" w:footer="0" w:header="0"/>
        </w:sectPr>
      </w:pPr>
    </w:p>
    <w:bookmarkStart w:id="64" w:name="page65"/>
    <w:bookmarkEnd w:id="64"/>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5, 2014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7460"/>
        <w:spacing w:after="0"/>
        <w:tabs>
          <w:tab w:leader="none" w:pos="78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PAUL UNDERWOOD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Paul Underwood</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Vice President and Corporate Controller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Accounting Officer)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720"/>
          </w:cols>
          <w:pgMar w:left="240" w:top="580" w:right="93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75105"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40030"/>
                    </a:xfrm>
                    <a:prstGeom prst="rect">
                      <a:avLst/>
                    </a:prstGeom>
                    <a:noFill/>
                  </pic:spPr>
                </pic:pic>
              </a:graphicData>
            </a:graphic>
          </wp:anchor>
        </w:drawing>
        <w:t>September 23, 2014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R. Scott Herren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Scott,</w:t>
      </w:r>
    </w:p>
    <w:p>
      <w:pPr>
        <w:spacing w:after="0" w:line="260"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On behalf of Autodesk, Inc., (“Autodesk” or “Company”), I am pleased to offer you the position of Senior Vice President and Chief Financial Officer. In this position, you will report directly to Carl Bass. This offer of employment is conditioned on contingencies listed below. If you accept this offer, your start date will be mutually agreed upon.</w:t>
      </w:r>
    </w:p>
    <w:p>
      <w:pPr>
        <w:spacing w:after="0" w:line="220" w:lineRule="exact"/>
        <w:rPr>
          <w:sz w:val="20"/>
          <w:szCs w:val="20"/>
          <w:color w:val="auto"/>
        </w:rPr>
      </w:pPr>
    </w:p>
    <w:p>
      <w:pPr>
        <w:ind w:right="420"/>
        <w:spacing w:after="0" w:line="269" w:lineRule="auto"/>
        <w:rPr>
          <w:sz w:val="20"/>
          <w:szCs w:val="20"/>
          <w:color w:val="auto"/>
        </w:rPr>
      </w:pPr>
      <w:r>
        <w:rPr>
          <w:rFonts w:ascii="Arial" w:cs="Arial" w:eastAsia="Arial" w:hAnsi="Arial"/>
          <w:sz w:val="22"/>
          <w:szCs w:val="22"/>
          <w:b w:val="1"/>
          <w:bCs w:val="1"/>
          <w:color w:val="auto"/>
        </w:rPr>
        <w:t xml:space="preserve">Location. </w:t>
      </w:r>
      <w:r>
        <w:rPr>
          <w:rFonts w:ascii="Arial" w:cs="Arial" w:eastAsia="Arial" w:hAnsi="Arial"/>
          <w:sz w:val="22"/>
          <w:szCs w:val="22"/>
          <w:color w:val="auto"/>
        </w:rPr>
        <w:t>You will be located in our San Francisco office. Autodesk’s main U.S. office is located at 111 McInnis Parkway, San</w:t>
      </w:r>
      <w:r>
        <w:rPr>
          <w:rFonts w:ascii="Arial" w:cs="Arial" w:eastAsia="Arial" w:hAnsi="Arial"/>
          <w:sz w:val="22"/>
          <w:szCs w:val="22"/>
          <w:b w:val="1"/>
          <w:bCs w:val="1"/>
          <w:color w:val="auto"/>
        </w:rPr>
        <w:t xml:space="preserve"> </w:t>
      </w:r>
      <w:r>
        <w:rPr>
          <w:rFonts w:ascii="Arial" w:cs="Arial" w:eastAsia="Arial" w:hAnsi="Arial"/>
          <w:sz w:val="22"/>
          <w:szCs w:val="22"/>
          <w:color w:val="auto"/>
        </w:rPr>
        <w:t>Rafael, CA 94903 and its main phone number is 415-507-5000.</w:t>
      </w:r>
    </w:p>
    <w:p>
      <w:pPr>
        <w:spacing w:after="0" w:line="203" w:lineRule="exact"/>
        <w:rPr>
          <w:sz w:val="20"/>
          <w:szCs w:val="20"/>
          <w:color w:val="auto"/>
        </w:rPr>
      </w:pPr>
    </w:p>
    <w:p>
      <w:pPr>
        <w:ind w:right="200"/>
        <w:spacing w:after="0" w:line="350" w:lineRule="auto"/>
        <w:rPr>
          <w:sz w:val="20"/>
          <w:szCs w:val="20"/>
          <w:color w:val="auto"/>
        </w:rPr>
      </w:pPr>
      <w:r>
        <w:rPr>
          <w:rFonts w:ascii="Arial" w:cs="Arial" w:eastAsia="Arial" w:hAnsi="Arial"/>
          <w:sz w:val="19"/>
          <w:szCs w:val="19"/>
          <w:b w:val="1"/>
          <w:bCs w:val="1"/>
          <w:color w:val="auto"/>
        </w:rPr>
        <w:t xml:space="preserve">Compensation. </w:t>
      </w:r>
      <w:r>
        <w:rPr>
          <w:rFonts w:ascii="Arial" w:cs="Arial" w:eastAsia="Arial" w:hAnsi="Arial"/>
          <w:sz w:val="19"/>
          <w:szCs w:val="19"/>
          <w:color w:val="auto"/>
        </w:rPr>
        <w:t>Your starting base salary will be $10,961.54 per week annualized at $570,000. The Company pays employees bi-weekly. To determine specific pay dates, please go to the Company’s intranet site when you join us and click on Payroll.</w:t>
      </w:r>
    </w:p>
    <w:p>
      <w:pPr>
        <w:spacing w:after="0" w:line="133" w:lineRule="exact"/>
        <w:rPr>
          <w:sz w:val="20"/>
          <w:szCs w:val="20"/>
          <w:color w:val="auto"/>
        </w:rPr>
      </w:pPr>
    </w:p>
    <w:p>
      <w:pPr>
        <w:ind w:right="20"/>
        <w:spacing w:after="0" w:line="262" w:lineRule="auto"/>
        <w:rPr>
          <w:sz w:val="20"/>
          <w:szCs w:val="20"/>
          <w:color w:val="auto"/>
        </w:rPr>
      </w:pPr>
      <w:r>
        <w:rPr>
          <w:rFonts w:ascii="Arial" w:cs="Arial" w:eastAsia="Arial" w:hAnsi="Arial"/>
          <w:sz w:val="21"/>
          <w:szCs w:val="21"/>
          <w:b w:val="1"/>
          <w:bCs w:val="1"/>
          <w:color w:val="auto"/>
        </w:rPr>
        <w:t>Bonus</w:t>
      </w:r>
      <w:r>
        <w:rPr>
          <w:rFonts w:ascii="Arial" w:cs="Arial" w:eastAsia="Arial" w:hAnsi="Arial"/>
          <w:sz w:val="21"/>
          <w:szCs w:val="21"/>
          <w:color w:val="auto"/>
        </w:rPr>
        <w:t>. You will also be eligible to participate in the Autodesk Executive Incentive Plan (“EIP”). Your annual EIP target incentive</w:t>
      </w:r>
      <w:r>
        <w:rPr>
          <w:rFonts w:ascii="Arial" w:cs="Arial" w:eastAsia="Arial" w:hAnsi="Arial"/>
          <w:sz w:val="21"/>
          <w:szCs w:val="21"/>
          <w:b w:val="1"/>
          <w:bCs w:val="1"/>
          <w:color w:val="auto"/>
        </w:rPr>
        <w:t xml:space="preserve"> </w:t>
      </w:r>
      <w:r>
        <w:rPr>
          <w:rFonts w:ascii="Arial" w:cs="Arial" w:eastAsia="Arial" w:hAnsi="Arial"/>
          <w:sz w:val="21"/>
          <w:szCs w:val="21"/>
          <w:color w:val="auto"/>
        </w:rPr>
        <w:t>amount is 75% of your base salary. The decision whether to grant an EIP award to an eligible participant as well as the amount of any award is within the sole discretion of the Company, and is based on many factors including corporate as well as individual performance. The EIP is funded per fiscal year, which is February 1 through January 31. Because you are expected to be hired prior to January 1 you will be eligible to earn a bonus for the fiscal year ending January 31. You will receive details about the terms and conditions of the applicable EIP when you join Autodesk.</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Signing Bonus. </w:t>
      </w:r>
      <w:r>
        <w:rPr>
          <w:rFonts w:ascii="Arial" w:cs="Arial" w:eastAsia="Arial" w:hAnsi="Arial"/>
          <w:sz w:val="22"/>
          <w:szCs w:val="22"/>
          <w:color w:val="auto"/>
        </w:rPr>
        <w:t>You will be paid a sign-on bonus of $150,000, less applicable payroll withholdings. You will receive this in two</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You will receive the first payment in the amount of $75,000 in your first or second paycheck after your hire. You will receive the final amount of $75,000 at the end of your sixth full month of employment. If you resign from your employment with Autodesk at any time within one calendar year following your start date, you agree that on or before your last day of employment with Autodesk, you will repay Autodesk the full net amount of your bonus, meaning what you received after payroll withholdings. You will be eligible for a signing bonus as follows.</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5F5F5E"/>
        </w:rPr>
        <w:t>Autodesk, Inc.</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5F5F5E"/>
        </w:rPr>
        <w:t>111 McInnis Parkway, San Rafael, California 94903</w:t>
      </w:r>
    </w:p>
    <w:p>
      <w:pPr>
        <w:spacing w:after="0" w:line="57" w:lineRule="exact"/>
        <w:rPr>
          <w:sz w:val="20"/>
          <w:szCs w:val="20"/>
          <w:color w:val="auto"/>
        </w:rPr>
      </w:pPr>
    </w:p>
    <w:p>
      <w:pPr>
        <w:spacing w:after="0"/>
        <w:rPr>
          <w:sz w:val="20"/>
          <w:szCs w:val="20"/>
          <w:color w:val="auto"/>
        </w:rPr>
      </w:pPr>
      <w:r>
        <w:rPr>
          <w:rFonts w:ascii="Arial" w:cs="Arial" w:eastAsia="Arial" w:hAnsi="Arial"/>
          <w:sz w:val="10"/>
          <w:szCs w:val="10"/>
          <w:b w:val="1"/>
          <w:bCs w:val="1"/>
          <w:color w:val="5F5F5E"/>
        </w:rPr>
        <w:t xml:space="preserve">PHONE </w:t>
      </w:r>
      <w:r>
        <w:rPr>
          <w:rFonts w:ascii="Arial" w:cs="Arial" w:eastAsia="Arial" w:hAnsi="Arial"/>
          <w:sz w:val="12"/>
          <w:szCs w:val="12"/>
          <w:color w:val="5F5F5E"/>
        </w:rPr>
        <w:t>+1 415 507 5000 |</w:t>
      </w:r>
      <w:r>
        <w:rPr>
          <w:rFonts w:ascii="Arial" w:cs="Arial" w:eastAsia="Arial" w:hAnsi="Arial"/>
          <w:sz w:val="10"/>
          <w:szCs w:val="10"/>
          <w:b w:val="1"/>
          <w:bCs w:val="1"/>
          <w:color w:val="5F5F5E"/>
        </w:rPr>
        <w:t xml:space="preserve"> FAX </w:t>
      </w:r>
      <w:r>
        <w:rPr>
          <w:rFonts w:ascii="Arial" w:cs="Arial" w:eastAsia="Arial" w:hAnsi="Arial"/>
          <w:sz w:val="12"/>
          <w:szCs w:val="12"/>
          <w:color w:val="5F5F5E"/>
        </w:rPr>
        <w:t>+1 415 507 6338 | www.autodesk.com</w:t>
      </w:r>
    </w:p>
    <w:p>
      <w:pPr>
        <w:sectPr>
          <w:pgSz w:w="11900" w:h="16838" w:orient="portrait"/>
          <w:cols w:equalWidth="0" w:num="1">
            <w:col w:w="11420"/>
          </w:cols>
          <w:pgMar w:left="240" w:top="1009" w:right="239" w:bottom="1440" w:gutter="0" w:footer="0" w:header="0"/>
        </w:sectPr>
      </w:pPr>
    </w:p>
    <w:bookmarkStart w:id="66" w:name="page67"/>
    <w:bookmarkEnd w:id="66"/>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75105"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40030"/>
                    </a:xfrm>
                    <a:prstGeom prst="rect">
                      <a:avLst/>
                    </a:prstGeom>
                    <a:noFill/>
                  </pic:spPr>
                </pic:pic>
              </a:graphicData>
            </a:graphic>
          </wp:anchor>
        </w:drawing>
      </w:r>
    </w:p>
    <w:p>
      <w:pPr>
        <w:ind w:right="120"/>
        <w:spacing w:after="0" w:line="293" w:lineRule="auto"/>
        <w:rPr>
          <w:sz w:val="20"/>
          <w:szCs w:val="20"/>
          <w:color w:val="auto"/>
        </w:rPr>
      </w:pPr>
      <w:r>
        <w:rPr>
          <w:rFonts w:ascii="Arial" w:cs="Arial" w:eastAsia="Arial" w:hAnsi="Arial"/>
          <w:sz w:val="19"/>
          <w:szCs w:val="19"/>
          <w:b w:val="1"/>
          <w:bCs w:val="1"/>
          <w:color w:val="auto"/>
        </w:rPr>
        <w:t xml:space="preserve">Restricted Stock Units. </w:t>
      </w:r>
      <w:r>
        <w:rPr>
          <w:rFonts w:ascii="Arial" w:cs="Arial" w:eastAsia="Arial" w:hAnsi="Arial"/>
          <w:sz w:val="19"/>
          <w:szCs w:val="19"/>
          <w:color w:val="auto"/>
        </w:rPr>
        <w:t>We will recommend to the Compensation Committee of the Board of Directors (“</w:t>
      </w:r>
      <w:r>
        <w:rPr>
          <w:rFonts w:ascii="Arial" w:cs="Arial" w:eastAsia="Arial" w:hAnsi="Arial"/>
          <w:sz w:val="19"/>
          <w:szCs w:val="19"/>
          <w:b w:val="1"/>
          <w:bCs w:val="1"/>
          <w:color w:val="auto"/>
        </w:rPr>
        <w:t>Committee</w:t>
      </w:r>
      <w:r>
        <w:rPr>
          <w:rFonts w:ascii="Arial" w:cs="Arial" w:eastAsia="Arial" w:hAnsi="Arial"/>
          <w:sz w:val="19"/>
          <w:szCs w:val="19"/>
          <w:color w:val="auto"/>
        </w:rPr>
        <w:t>”) that at a</w:t>
      </w:r>
      <w:r>
        <w:rPr>
          <w:rFonts w:ascii="Arial" w:cs="Arial" w:eastAsia="Arial" w:hAnsi="Arial"/>
          <w:sz w:val="19"/>
          <w:szCs w:val="19"/>
          <w:b w:val="1"/>
          <w:bCs w:val="1"/>
          <w:color w:val="auto"/>
        </w:rPr>
        <w:t xml:space="preserve"> </w:t>
      </w:r>
      <w:r>
        <w:rPr>
          <w:rFonts w:ascii="Arial" w:cs="Arial" w:eastAsia="Arial" w:hAnsi="Arial"/>
          <w:sz w:val="19"/>
          <w:szCs w:val="19"/>
          <w:color w:val="auto"/>
        </w:rPr>
        <w:t>meeting following commencement of your employment, you be granted 36,000 restricted stock units that, upon vesting, convert to an equal number of shares of Autodesk common stock. The restricted stock units do not have a purchase price but are subject to taxation upon vesting. Any such grant will be subject to the terms and conditions of the applicable Autodesk employee equity plan and restricted stock unit agreement, which you would be required to sign to receive the restricted stock units. In addition, we will recommend to the Committee an additional 36,000 of performance-based restricted stock units are granted at the time the performance standards are established for fiscal year 2016, most likely in March 2015.</w:t>
      </w:r>
    </w:p>
    <w:p>
      <w:pPr>
        <w:spacing w:after="0" w:line="186" w:lineRule="exact"/>
        <w:rPr>
          <w:sz w:val="20"/>
          <w:szCs w:val="20"/>
          <w:color w:val="auto"/>
        </w:rPr>
      </w:pPr>
    </w:p>
    <w:p>
      <w:pPr>
        <w:ind w:right="420"/>
        <w:spacing w:after="0" w:line="269" w:lineRule="auto"/>
        <w:rPr>
          <w:sz w:val="20"/>
          <w:szCs w:val="20"/>
          <w:color w:val="auto"/>
        </w:rPr>
      </w:pPr>
      <w:r>
        <w:rPr>
          <w:rFonts w:ascii="Arial" w:cs="Arial" w:eastAsia="Arial" w:hAnsi="Arial"/>
          <w:sz w:val="22"/>
          <w:szCs w:val="22"/>
          <w:b w:val="1"/>
          <w:bCs w:val="1"/>
          <w:color w:val="auto"/>
        </w:rPr>
        <w:t xml:space="preserve">Relocation. </w:t>
      </w:r>
      <w:r>
        <w:rPr>
          <w:rFonts w:ascii="Arial" w:cs="Arial" w:eastAsia="Arial" w:hAnsi="Arial"/>
          <w:sz w:val="22"/>
          <w:szCs w:val="22"/>
          <w:color w:val="auto"/>
        </w:rPr>
        <w:t>You will relocate to the San Francisco Bay Area and will need to complete your relocation by within 24 months of</w:t>
      </w:r>
      <w:r>
        <w:rPr>
          <w:rFonts w:ascii="Arial" w:cs="Arial" w:eastAsia="Arial" w:hAnsi="Arial"/>
          <w:sz w:val="22"/>
          <w:szCs w:val="22"/>
          <w:b w:val="1"/>
          <w:bCs w:val="1"/>
          <w:color w:val="auto"/>
        </w:rPr>
        <w:t xml:space="preserve"> </w:t>
      </w:r>
      <w:r>
        <w:rPr>
          <w:rFonts w:ascii="Arial" w:cs="Arial" w:eastAsia="Arial" w:hAnsi="Arial"/>
          <w:sz w:val="22"/>
          <w:szCs w:val="22"/>
          <w:color w:val="auto"/>
        </w:rPr>
        <w:t>your hire date.</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Relocation Assistance</w:t>
      </w:r>
      <w:r>
        <w:rPr>
          <w:rFonts w:ascii="Arial" w:cs="Arial" w:eastAsia="Arial" w:hAnsi="Arial"/>
          <w:sz w:val="22"/>
          <w:szCs w:val="22"/>
          <w:color w:val="auto"/>
        </w:rPr>
        <w:t>. To assist you with your move, Autodesk will provide you with relocation services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attached Relocation Policy and Package details. Your signature below is confirmation by you that you have read and understood these attachments and agree to be bound by the terms therein. Please note that you must use these relocation services within two years after your start date and all terms of the attached Policy apply including your obligation to reimburse Autodesk for these relocation benefits in accordance with the Policy.</w:t>
      </w:r>
    </w:p>
    <w:p>
      <w:pPr>
        <w:spacing w:after="0" w:line="227" w:lineRule="exact"/>
        <w:rPr>
          <w:sz w:val="20"/>
          <w:szCs w:val="20"/>
          <w:color w:val="auto"/>
        </w:rPr>
      </w:pPr>
    </w:p>
    <w:p>
      <w:pPr>
        <w:ind w:right="80"/>
        <w:spacing w:after="0" w:line="259" w:lineRule="auto"/>
        <w:rPr>
          <w:sz w:val="20"/>
          <w:szCs w:val="20"/>
          <w:color w:val="auto"/>
        </w:rPr>
      </w:pPr>
      <w:r>
        <w:rPr>
          <w:rFonts w:ascii="Arial" w:cs="Arial" w:eastAsia="Arial" w:hAnsi="Arial"/>
          <w:sz w:val="21"/>
          <w:szCs w:val="21"/>
          <w:b w:val="1"/>
          <w:bCs w:val="1"/>
          <w:color w:val="auto"/>
        </w:rPr>
        <w:t xml:space="preserve">Tax Assistance. </w:t>
      </w:r>
      <w:r>
        <w:rPr>
          <w:rFonts w:ascii="Arial" w:cs="Arial" w:eastAsia="Arial" w:hAnsi="Arial"/>
          <w:sz w:val="21"/>
          <w:szCs w:val="21"/>
          <w:color w:val="auto"/>
        </w:rPr>
        <w:t>Most of the relocation expenses are considered taxable income to the employee. The Company will assist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tax liability associated with these expenses (referred to as a “gross up”). Using the marginal tax rate that applied based on your expected Autodesk income, the Company will “gross up” any non-deductible, approved relocation expenses that would otherwise be considered W-2 income. To the extent that reimbursements or other in-kind benefits under this Agreement constitute “nonqualified deferred compensation” (i) all such expenses or other reimbursements shall be made on or prior to the last day of the taxable year following the taxable year in which such expenses were incurred, (ii) any right to such reimbursement or in-kind benefits shall not be subject to liquidation or exchange for another benefit, and (iii) no such reimbursement, expenses eligible for reimbursement, or in-kind benefits provided in ay taxable year shall in any way affect the expenses eligible for reimbursement, or in-kind benefits to be provided, in any other taxable year.</w:t>
      </w:r>
    </w:p>
    <w:p>
      <w:pPr>
        <w:spacing w:after="0" w:line="221" w:lineRule="exact"/>
        <w:rPr>
          <w:sz w:val="20"/>
          <w:szCs w:val="20"/>
          <w:color w:val="auto"/>
        </w:rPr>
      </w:pPr>
    </w:p>
    <w:p>
      <w:pPr>
        <w:ind w:right="400"/>
        <w:spacing w:after="0" w:line="249" w:lineRule="auto"/>
        <w:rPr>
          <w:sz w:val="20"/>
          <w:szCs w:val="20"/>
          <w:color w:val="auto"/>
        </w:rPr>
      </w:pPr>
      <w:r>
        <w:rPr>
          <w:rFonts w:ascii="Arial" w:cs="Arial" w:eastAsia="Arial" w:hAnsi="Arial"/>
          <w:sz w:val="22"/>
          <w:szCs w:val="22"/>
          <w:b w:val="1"/>
          <w:bCs w:val="1"/>
          <w:color w:val="auto"/>
        </w:rPr>
        <w:t>Employment Benefits</w:t>
      </w:r>
      <w:r>
        <w:rPr>
          <w:rFonts w:ascii="Arial" w:cs="Arial" w:eastAsia="Arial" w:hAnsi="Arial"/>
          <w:sz w:val="22"/>
          <w:szCs w:val="22"/>
          <w:color w:val="auto"/>
        </w:rPr>
        <w:t>. If eligible, you will have the opportunity to participate in a wide variety of employee benefit programs.</w:t>
      </w:r>
      <w:r>
        <w:rPr>
          <w:rFonts w:ascii="Arial" w:cs="Arial" w:eastAsia="Arial" w:hAnsi="Arial"/>
          <w:sz w:val="22"/>
          <w:szCs w:val="22"/>
          <w:b w:val="1"/>
          <w:bCs w:val="1"/>
          <w:color w:val="auto"/>
        </w:rPr>
        <w:t xml:space="preserve"> </w:t>
      </w:r>
      <w:r>
        <w:rPr>
          <w:rFonts w:ascii="Arial" w:cs="Arial" w:eastAsia="Arial" w:hAnsi="Arial"/>
          <w:sz w:val="22"/>
          <w:szCs w:val="22"/>
          <w:color w:val="auto"/>
        </w:rPr>
        <w:t>These programs include health insurance, a 401(k) savings and investment plan with company match, employee stock purchase plan, paid vacation and sabbatical program. You can obtain details about the programs available at your new hire orientation or online after you join us. If you have specific questions about these programs beforehand, please contact Benefits at HR.benefits.USA@autodesk.com.</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65" w:lineRule="exact"/>
        <w:rPr>
          <w:sz w:val="20"/>
          <w:szCs w:val="20"/>
          <w:color w:val="auto"/>
        </w:rPr>
      </w:pPr>
    </w:p>
    <w:p>
      <w:pPr>
        <w:spacing w:after="0"/>
        <w:tabs>
          <w:tab w:leader="none" w:pos="1460" w:val="left"/>
        </w:tabs>
        <w:rPr>
          <w:sz w:val="20"/>
          <w:szCs w:val="20"/>
          <w:color w:val="auto"/>
        </w:rPr>
      </w:pPr>
      <w:r>
        <w:rPr>
          <w:rFonts w:ascii="Arial" w:cs="Arial" w:eastAsia="Arial" w:hAnsi="Arial"/>
          <w:sz w:val="11"/>
          <w:szCs w:val="11"/>
          <w:b w:val="1"/>
          <w:bCs w:val="1"/>
          <w:color w:val="5F5F5E"/>
        </w:rPr>
        <w:t>Autodesk, Inc. Offer Letter</w:t>
      </w:r>
      <w:r>
        <w:rPr>
          <w:sz w:val="20"/>
          <w:szCs w:val="20"/>
          <w:color w:val="auto"/>
        </w:rPr>
        <w:tab/>
      </w:r>
      <w:r>
        <w:rPr>
          <w:rFonts w:ascii="Arial" w:cs="Arial" w:eastAsia="Arial" w:hAnsi="Arial"/>
          <w:sz w:val="9"/>
          <w:szCs w:val="9"/>
          <w:b w:val="1"/>
          <w:bCs w:val="1"/>
          <w:color w:val="5F5F5E"/>
        </w:rPr>
        <w:t>Last Revised March 2014</w:t>
      </w:r>
    </w:p>
    <w:p>
      <w:pPr>
        <w:sectPr>
          <w:pgSz w:w="11900" w:h="16838" w:orient="portrait"/>
          <w:cols w:equalWidth="0" w:num="1">
            <w:col w:w="11420"/>
          </w:cols>
          <w:pgMar w:left="240" w:top="1440" w:right="239" w:bottom="1440" w:gutter="0" w:footer="0" w:header="0"/>
        </w:sectPr>
      </w:pPr>
    </w:p>
    <w:bookmarkStart w:id="67" w:name="page68"/>
    <w:bookmarkEnd w:id="67"/>
    <w:p>
      <w:pPr>
        <w:ind w:right="400"/>
        <w:spacing w:after="0" w:line="256"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75105"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40030"/>
                    </a:xfrm>
                    <a:prstGeom prst="rect">
                      <a:avLst/>
                    </a:prstGeom>
                    <a:noFill/>
                  </pic:spPr>
                </pic:pic>
              </a:graphicData>
            </a:graphic>
          </wp:anchor>
        </w:drawing>
        <w:t>At-Will Employment</w:t>
      </w:r>
      <w:r>
        <w:rPr>
          <w:rFonts w:ascii="Arial" w:cs="Arial" w:eastAsia="Arial" w:hAnsi="Arial"/>
          <w:sz w:val="22"/>
          <w:szCs w:val="22"/>
          <w:color w:val="auto"/>
        </w:rPr>
        <w:t>. Please understand that this letter does not constitute a contract of employment for any specific period of</w:t>
      </w:r>
      <w:r>
        <w:rPr>
          <w:rFonts w:ascii="Arial" w:cs="Arial" w:eastAsia="Arial" w:hAnsi="Arial"/>
          <w:sz w:val="22"/>
          <w:szCs w:val="22"/>
          <w:b w:val="1"/>
          <w:bCs w:val="1"/>
          <w:color w:val="auto"/>
        </w:rPr>
        <w:t xml:space="preserve"> </w:t>
      </w:r>
      <w:r>
        <w:rPr>
          <w:rFonts w:ascii="Arial" w:cs="Arial" w:eastAsia="Arial" w:hAnsi="Arial"/>
          <w:sz w:val="22"/>
          <w:szCs w:val="22"/>
          <w:color w:val="auto"/>
        </w:rPr>
        <w:t>time. Your employment with Autodesk will be at-will. This means that you or the Company may terminate your employment relationship without notice and for any reason at any time.</w:t>
      </w:r>
    </w:p>
    <w:p>
      <w:pPr>
        <w:spacing w:after="0" w:line="217" w:lineRule="exact"/>
        <w:rPr>
          <w:sz w:val="20"/>
          <w:szCs w:val="20"/>
          <w:color w:val="auto"/>
        </w:rPr>
      </w:pPr>
    </w:p>
    <w:p>
      <w:pPr>
        <w:ind w:right="20"/>
        <w:spacing w:after="0" w:line="262" w:lineRule="auto"/>
        <w:rPr>
          <w:sz w:val="20"/>
          <w:szCs w:val="20"/>
          <w:color w:val="auto"/>
        </w:rPr>
      </w:pPr>
      <w:r>
        <w:rPr>
          <w:rFonts w:ascii="Arial" w:cs="Arial" w:eastAsia="Arial" w:hAnsi="Arial"/>
          <w:sz w:val="21"/>
          <w:szCs w:val="21"/>
          <w:b w:val="1"/>
          <w:bCs w:val="1"/>
          <w:color w:val="auto"/>
        </w:rPr>
        <w:t xml:space="preserve">Confidentiality and Intellectual Property Obligations </w:t>
      </w:r>
      <w:r>
        <w:rPr>
          <w:rFonts w:ascii="Arial" w:cs="Arial" w:eastAsia="Arial" w:hAnsi="Arial"/>
          <w:sz w:val="21"/>
          <w:szCs w:val="21"/>
          <w:color w:val="auto"/>
        </w:rPr>
        <w:t>As a condition of your employment, you must review and sign the</w:t>
      </w:r>
      <w:r>
        <w:rPr>
          <w:rFonts w:ascii="Arial" w:cs="Arial" w:eastAsia="Arial" w:hAnsi="Arial"/>
          <w:sz w:val="21"/>
          <w:szCs w:val="21"/>
          <w:b w:val="1"/>
          <w:bCs w:val="1"/>
          <w:color w:val="auto"/>
        </w:rPr>
        <w:t xml:space="preserve"> </w:t>
      </w:r>
      <w:r>
        <w:rPr>
          <w:rFonts w:ascii="Arial" w:cs="Arial" w:eastAsia="Arial" w:hAnsi="Arial"/>
          <w:sz w:val="21"/>
          <w:szCs w:val="21"/>
          <w:color w:val="auto"/>
        </w:rPr>
        <w:t>attached Employee Nondisclosure and Assignment Agreement. You agree that you have disclosed to Autodesk any non-compete or non-solicitation obligations that you may have to your former employer(s), including providing Autodesk with a copy of any such agreements and by answering any inquiries Autodesk may have about them. We want to emphasize that you should not violate any obligations you have to any person or entity by, for example, using or sharing any confidential information you have regarding such person or entity in doing work for Autodesk.</w:t>
      </w:r>
    </w:p>
    <w:p>
      <w:pPr>
        <w:spacing w:after="0" w:line="214" w:lineRule="exact"/>
        <w:rPr>
          <w:sz w:val="20"/>
          <w:szCs w:val="20"/>
          <w:color w:val="auto"/>
        </w:rPr>
      </w:pPr>
    </w:p>
    <w:p>
      <w:pPr>
        <w:ind w:right="360"/>
        <w:spacing w:after="0" w:line="252" w:lineRule="auto"/>
        <w:rPr>
          <w:sz w:val="20"/>
          <w:szCs w:val="20"/>
          <w:color w:val="auto"/>
        </w:rPr>
      </w:pPr>
      <w:r>
        <w:rPr>
          <w:rFonts w:ascii="Arial" w:cs="Arial" w:eastAsia="Arial" w:hAnsi="Arial"/>
          <w:sz w:val="22"/>
          <w:szCs w:val="22"/>
          <w:b w:val="1"/>
          <w:bCs w:val="1"/>
          <w:color w:val="auto"/>
        </w:rPr>
        <w:t>Employment Eligibility Verification</w:t>
      </w:r>
      <w:r>
        <w:rPr>
          <w:rFonts w:ascii="Arial" w:cs="Arial" w:eastAsia="Arial" w:hAnsi="Arial"/>
          <w:sz w:val="22"/>
          <w:szCs w:val="22"/>
          <w:color w:val="auto"/>
        </w:rPr>
        <w:t>. In accordance with the Immigration Reform and Control Act of 1986, we are required to</w:t>
      </w:r>
      <w:r>
        <w:rPr>
          <w:rFonts w:ascii="Arial" w:cs="Arial" w:eastAsia="Arial" w:hAnsi="Arial"/>
          <w:sz w:val="22"/>
          <w:szCs w:val="22"/>
          <w:b w:val="1"/>
          <w:bCs w:val="1"/>
          <w:color w:val="auto"/>
        </w:rPr>
        <w:t xml:space="preserve"> </w:t>
      </w:r>
      <w:r>
        <w:rPr>
          <w:rFonts w:ascii="Arial" w:cs="Arial" w:eastAsia="Arial" w:hAnsi="Arial"/>
          <w:sz w:val="22"/>
          <w:szCs w:val="22"/>
          <w:color w:val="auto"/>
        </w:rPr>
        <w:t>verify your identity and work authorization. This offer of employment is conditioned upon your satisfactory completion of this process and having proper work authorization. So that we can do so, please read and follow the instructions in the attached Employment Eligibility Verification and Lists of Acceptable Documents.</w:t>
      </w:r>
    </w:p>
    <w:p>
      <w:pPr>
        <w:spacing w:after="0" w:line="221" w:lineRule="exact"/>
        <w:rPr>
          <w:sz w:val="20"/>
          <w:szCs w:val="20"/>
          <w:color w:val="auto"/>
        </w:rPr>
      </w:pPr>
    </w:p>
    <w:p>
      <w:pPr>
        <w:ind w:right="100"/>
        <w:spacing w:after="0" w:line="264" w:lineRule="auto"/>
        <w:rPr>
          <w:sz w:val="20"/>
          <w:szCs w:val="20"/>
          <w:color w:val="auto"/>
        </w:rPr>
      </w:pPr>
      <w:r>
        <w:rPr>
          <w:rFonts w:ascii="Arial" w:cs="Arial" w:eastAsia="Arial" w:hAnsi="Arial"/>
          <w:sz w:val="21"/>
          <w:szCs w:val="21"/>
          <w:b w:val="1"/>
          <w:bCs w:val="1"/>
          <w:color w:val="auto"/>
        </w:rPr>
        <w:t>Background &amp; Reference Checks</w:t>
      </w:r>
      <w:r>
        <w:rPr>
          <w:rFonts w:ascii="Arial" w:cs="Arial" w:eastAsia="Arial" w:hAnsi="Arial"/>
          <w:sz w:val="21"/>
          <w:szCs w:val="21"/>
          <w:color w:val="auto"/>
        </w:rPr>
        <w:t>. This offer of employment is conditioned upon your completing a background check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Company’s determining that the results of this check and additional reference checks are satisfactory. In addition, this offer may be conditioned on your completion of a credit check if allowed by law and the Company’s determination that the results of these are satisfactory. The Company’s background and credit checks are performed by HireRight. Information about HireRight’s privacy practices is available at </w:t>
      </w:r>
      <w:r>
        <w:rPr>
          <w:rFonts w:ascii="Arial" w:cs="Arial" w:eastAsia="Arial" w:hAnsi="Arial"/>
          <w:sz w:val="21"/>
          <w:szCs w:val="21"/>
          <w:u w:val="single" w:color="auto"/>
          <w:color w:val="661DE8"/>
        </w:rPr>
        <w:t>www.hireright.com/Privacy-Policy.aspx</w:t>
      </w:r>
      <w:r>
        <w:rPr>
          <w:rFonts w:ascii="Arial" w:cs="Arial" w:eastAsia="Arial" w:hAnsi="Arial"/>
          <w:sz w:val="21"/>
          <w:szCs w:val="21"/>
          <w:color w:val="auto"/>
        </w:rPr>
        <w:t>.</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9"/>
          <w:szCs w:val="19"/>
          <w:b w:val="1"/>
          <w:bCs w:val="1"/>
          <w:color w:val="auto"/>
        </w:rPr>
        <w:t xml:space="preserve">Conflicts of Interest. </w:t>
      </w:r>
      <w:r>
        <w:rPr>
          <w:rFonts w:ascii="Arial" w:cs="Arial" w:eastAsia="Arial" w:hAnsi="Arial"/>
          <w:sz w:val="19"/>
          <w:szCs w:val="19"/>
          <w:color w:val="auto"/>
        </w:rPr>
        <w:t>You are required to disclose to the Company in advance of your employment any interest you may have</w:t>
      </w:r>
      <w:r>
        <w:rPr>
          <w:rFonts w:ascii="Arial" w:cs="Arial" w:eastAsia="Arial" w:hAnsi="Arial"/>
          <w:sz w:val="19"/>
          <w:szCs w:val="19"/>
          <w:b w:val="1"/>
          <w:bCs w:val="1"/>
          <w:color w:val="auto"/>
        </w:rPr>
        <w:t xml:space="preserve"> </w:t>
      </w:r>
      <w:r>
        <w:rPr>
          <w:rFonts w:ascii="Arial" w:cs="Arial" w:eastAsia="Arial" w:hAnsi="Arial"/>
          <w:sz w:val="19"/>
          <w:szCs w:val="19"/>
          <w:color w:val="auto"/>
        </w:rPr>
        <w:t>which may create an actual or perceived conflict of interest with your employment by the Company. Generally, a conflict of interest exists when a personal interest or activity interferes or has the potential to interfere with your professional judgment or your responsibility to the Company because it is inconsistent with the Company’s interests. For example, a conflict of interest may exist if while you are employed by the Company, you are a consultant for, have an affiliation with or a financial interest in an Autodesk customer, reseller, distributor or competitor. A conflict of interest may also exist if you serve on the board of directors of any such company. You must err on the side of disclosing any potential conflict of interest. The Company reserves the right to rescind this offer at any time if a conflict is disclosed or discovered that cannot be resolved to the satisfaction of the Company.</w:t>
      </w:r>
    </w:p>
    <w:p>
      <w:pPr>
        <w:spacing w:after="0" w:line="190" w:lineRule="exact"/>
        <w:rPr>
          <w:sz w:val="20"/>
          <w:szCs w:val="20"/>
          <w:color w:val="auto"/>
        </w:rPr>
      </w:pPr>
    </w:p>
    <w:p>
      <w:pPr>
        <w:ind w:right="220"/>
        <w:spacing w:after="0" w:line="267" w:lineRule="auto"/>
        <w:rPr>
          <w:sz w:val="20"/>
          <w:szCs w:val="20"/>
          <w:color w:val="auto"/>
        </w:rPr>
      </w:pPr>
      <w:r>
        <w:rPr>
          <w:rFonts w:ascii="Arial" w:cs="Arial" w:eastAsia="Arial" w:hAnsi="Arial"/>
          <w:sz w:val="21"/>
          <w:szCs w:val="21"/>
          <w:b w:val="1"/>
          <w:bCs w:val="1"/>
          <w:color w:val="auto"/>
        </w:rPr>
        <w:t>This Agreement</w:t>
      </w:r>
      <w:r>
        <w:rPr>
          <w:rFonts w:ascii="Arial" w:cs="Arial" w:eastAsia="Arial" w:hAnsi="Arial"/>
          <w:sz w:val="21"/>
          <w:szCs w:val="21"/>
          <w:color w:val="auto"/>
        </w:rPr>
        <w:t>. This offer letter, along with the other documents described in it and attached to it constitute the only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us regarding the terms and conditions of your employment (together “Agreement”). This Agreement supersedes and replaces all other agreements, promises or the like regarding these topics. The provisions of this Agreement cannot be changed except in writing signed by an authorized representative of Autodesk.</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65" w:lineRule="exact"/>
        <w:rPr>
          <w:sz w:val="20"/>
          <w:szCs w:val="20"/>
          <w:color w:val="auto"/>
        </w:rPr>
      </w:pPr>
    </w:p>
    <w:p>
      <w:pPr>
        <w:spacing w:after="0"/>
        <w:tabs>
          <w:tab w:leader="none" w:pos="1460" w:val="left"/>
        </w:tabs>
        <w:rPr>
          <w:sz w:val="20"/>
          <w:szCs w:val="20"/>
          <w:color w:val="auto"/>
        </w:rPr>
      </w:pPr>
      <w:r>
        <w:rPr>
          <w:rFonts w:ascii="Arial" w:cs="Arial" w:eastAsia="Arial" w:hAnsi="Arial"/>
          <w:sz w:val="11"/>
          <w:szCs w:val="11"/>
          <w:b w:val="1"/>
          <w:bCs w:val="1"/>
          <w:color w:val="5F5F5E"/>
        </w:rPr>
        <w:t>Autodesk, Inc. Offer Letter</w:t>
      </w:r>
      <w:r>
        <w:rPr>
          <w:sz w:val="20"/>
          <w:szCs w:val="20"/>
          <w:color w:val="auto"/>
        </w:rPr>
        <w:tab/>
      </w:r>
      <w:r>
        <w:rPr>
          <w:rFonts w:ascii="Arial" w:cs="Arial" w:eastAsia="Arial" w:hAnsi="Arial"/>
          <w:sz w:val="9"/>
          <w:szCs w:val="9"/>
          <w:b w:val="1"/>
          <w:bCs w:val="1"/>
          <w:color w:val="5F5F5E"/>
        </w:rPr>
        <w:t>Last Revised March 2014</w:t>
      </w:r>
    </w:p>
    <w:p>
      <w:pPr>
        <w:sectPr>
          <w:pgSz w:w="11900" w:h="16838" w:orient="portrait"/>
          <w:cols w:equalWidth="0" w:num="1">
            <w:col w:w="11420"/>
          </w:cols>
          <w:pgMar w:left="240" w:top="747" w:right="239" w:bottom="1440" w:gutter="0" w:footer="0" w:header="0"/>
        </w:sectPr>
      </w:pPr>
    </w:p>
    <w:bookmarkStart w:id="68" w:name="page69"/>
    <w:bookmarkEnd w:id="68"/>
    <w:p>
      <w:pPr>
        <w:spacing w:after="0" w:line="24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75105"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40030"/>
                    </a:xfrm>
                    <a:prstGeom prst="rect">
                      <a:avLst/>
                    </a:prstGeom>
                    <a:noFill/>
                  </pic:spPr>
                </pic:pic>
              </a:graphicData>
            </a:graphic>
          </wp:anchor>
        </w:drawing>
        <w:t>This offer must be accepted in writing within seven business days from date of the letter or it will expire and become null and void. Please confirm your acceptance by signing a copy of this letter and all attached documents which require a signature such as the Employee Nondisclosure and Assignment Agreement. Copies of this letter and attachments, including those transmitted electronically, are effective as originals. Therefore, you may return the signed documents for receipt prior to the above deadline to me one of two ways: (1) email the PDF documents to jan.becker@autodesk.com; (2) return via mail or federal express the documents to Jan Becker</w:t>
      </w:r>
      <w:r>
        <w:rPr>
          <w:rFonts w:ascii="Arial" w:cs="Arial" w:eastAsia="Arial" w:hAnsi="Arial"/>
          <w:sz w:val="19"/>
          <w:szCs w:val="19"/>
          <w:color w:val="auto"/>
        </w:rPr>
        <w:t>,</w:t>
      </w:r>
      <w:r>
        <w:rPr>
          <w:rFonts w:ascii="Arial" w:cs="Arial" w:eastAsia="Arial" w:hAnsi="Arial"/>
          <w:sz w:val="22"/>
          <w:szCs w:val="22"/>
          <w:color w:val="auto"/>
        </w:rPr>
        <w:t xml:space="preserve"> 111 McInnis Parkway, San Rafael, CA 94903. We look forward to working with you and hope that you will join us.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 Jan Becker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Jan Becker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Human Resources</w:t>
      </w:r>
    </w:p>
    <w:p>
      <w:pPr>
        <w:spacing w:after="0" w:line="242"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I agree to and accept employment with Autodesk on the terms and conditions set forth in the letter agreement, including that my employment is at-will.</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gridSpan w:val="2"/>
          </w:tcPr>
          <w:p>
            <w:pPr>
              <w:spacing w:after="0"/>
              <w:rPr>
                <w:sz w:val="20"/>
                <w:szCs w:val="20"/>
                <w:color w:val="auto"/>
              </w:rPr>
            </w:pPr>
            <w:r>
              <w:rPr>
                <w:rFonts w:ascii="Arial" w:cs="Arial" w:eastAsia="Arial" w:hAnsi="Arial"/>
                <w:sz w:val="22"/>
                <w:szCs w:val="22"/>
                <w:color w:val="auto"/>
                <w:w w:val="86"/>
              </w:rPr>
              <w:t>September 26, 2014</w:t>
            </w:r>
          </w:p>
        </w:tc>
        <w:tc>
          <w:tcPr>
            <w:tcW w:w="3880" w:type="dxa"/>
            <w:vAlign w:val="bottom"/>
            <w:gridSpan w:val="3"/>
          </w:tcPr>
          <w:p>
            <w:pPr>
              <w:ind w:left="700"/>
              <w:spacing w:after="0"/>
              <w:rPr>
                <w:sz w:val="20"/>
                <w:szCs w:val="20"/>
                <w:color w:val="auto"/>
              </w:rPr>
            </w:pPr>
            <w:r>
              <w:rPr>
                <w:rFonts w:ascii="Arial" w:cs="Arial" w:eastAsia="Arial" w:hAnsi="Arial"/>
                <w:sz w:val="22"/>
                <w:szCs w:val="22"/>
                <w:color w:val="auto"/>
                <w:w w:val="88"/>
              </w:rPr>
              <w:t>by /s/ R. Scott Herren____________</w:t>
            </w:r>
          </w:p>
        </w:tc>
      </w:tr>
      <w:tr>
        <w:trPr>
          <w:trHeight w:val="20"/>
        </w:trPr>
        <w:tc>
          <w:tcPr>
            <w:tcW w:w="1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87"/>
        </w:trPr>
        <w:tc>
          <w:tcPr>
            <w:tcW w:w="1120" w:type="dxa"/>
            <w:vAlign w:val="bottom"/>
          </w:tcPr>
          <w:p>
            <w:pPr>
              <w:spacing w:after="0"/>
              <w:rPr>
                <w:sz w:val="20"/>
                <w:szCs w:val="20"/>
                <w:color w:val="auto"/>
              </w:rPr>
            </w:pPr>
            <w:r>
              <w:rPr>
                <w:rFonts w:ascii="Arial" w:cs="Arial" w:eastAsia="Arial" w:hAnsi="Arial"/>
                <w:sz w:val="22"/>
                <w:szCs w:val="22"/>
                <w:color w:val="auto"/>
              </w:rPr>
              <w:t>Date</w:t>
            </w:r>
          </w:p>
        </w:tc>
        <w:tc>
          <w:tcPr>
            <w:tcW w:w="4500" w:type="dxa"/>
            <w:vAlign w:val="bottom"/>
            <w:gridSpan w:val="4"/>
          </w:tcPr>
          <w:p>
            <w:pPr>
              <w:jc w:val="center"/>
              <w:ind w:right="2280"/>
              <w:spacing w:after="0"/>
              <w:rPr>
                <w:sz w:val="20"/>
                <w:szCs w:val="20"/>
                <w:color w:val="auto"/>
              </w:rPr>
            </w:pPr>
            <w:r>
              <w:rPr>
                <w:rFonts w:ascii="Arial" w:cs="Arial" w:eastAsia="Arial" w:hAnsi="Arial"/>
                <w:sz w:val="22"/>
                <w:szCs w:val="22"/>
                <w:color w:val="auto"/>
                <w:w w:val="88"/>
              </w:rPr>
              <w:t>R. Scott Herren</w:t>
            </w:r>
          </w:p>
        </w:tc>
      </w:tr>
      <w:tr>
        <w:trPr>
          <w:trHeight w:val="770"/>
        </w:trPr>
        <w:tc>
          <w:tcPr>
            <w:tcW w:w="1120" w:type="dxa"/>
            <w:vAlign w:val="bottom"/>
          </w:tcPr>
          <w:p>
            <w:pPr>
              <w:spacing w:after="0"/>
              <w:rPr>
                <w:sz w:val="20"/>
                <w:szCs w:val="20"/>
                <w:color w:val="auto"/>
              </w:rPr>
            </w:pPr>
            <w:r>
              <w:rPr>
                <w:rFonts w:ascii="Arial" w:cs="Arial" w:eastAsia="Arial" w:hAnsi="Arial"/>
                <w:sz w:val="22"/>
                <w:szCs w:val="22"/>
                <w:color w:val="auto"/>
                <w:w w:val="95"/>
              </w:rPr>
              <w:t>Enclosures:</w:t>
            </w:r>
          </w:p>
        </w:tc>
        <w:tc>
          <w:tcPr>
            <w:tcW w:w="4500" w:type="dxa"/>
            <w:vAlign w:val="bottom"/>
            <w:gridSpan w:val="4"/>
          </w:tcPr>
          <w:p>
            <w:pPr>
              <w:jc w:val="center"/>
              <w:ind w:right="2320"/>
              <w:spacing w:after="0"/>
              <w:rPr>
                <w:sz w:val="20"/>
                <w:szCs w:val="20"/>
                <w:color w:val="auto"/>
              </w:rPr>
            </w:pPr>
            <w:r>
              <w:rPr>
                <w:rFonts w:ascii="Arial" w:cs="Arial" w:eastAsia="Arial" w:hAnsi="Arial"/>
                <w:sz w:val="22"/>
                <w:szCs w:val="22"/>
                <w:color w:val="auto"/>
                <w:w w:val="89"/>
              </w:rPr>
              <w:t>New Employee Forms</w:t>
            </w:r>
          </w:p>
        </w:tc>
      </w:tr>
    </w:tbl>
    <w:p>
      <w:pPr>
        <w:ind w:left="1300"/>
        <w:spacing w:after="0"/>
        <w:rPr>
          <w:sz w:val="20"/>
          <w:szCs w:val="20"/>
          <w:color w:val="auto"/>
        </w:rPr>
      </w:pPr>
      <w:r>
        <w:rPr>
          <w:rFonts w:ascii="Arial" w:cs="Arial" w:eastAsia="Arial" w:hAnsi="Arial"/>
          <w:sz w:val="22"/>
          <w:szCs w:val="22"/>
          <w:color w:val="auto"/>
        </w:rPr>
        <w:t>Employee Nondisclosure and Assignment Agreement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Relocation Policy and applicable Package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65" w:lineRule="exact"/>
        <w:rPr>
          <w:sz w:val="20"/>
          <w:szCs w:val="20"/>
          <w:color w:val="auto"/>
        </w:rPr>
      </w:pPr>
    </w:p>
    <w:p>
      <w:pPr>
        <w:spacing w:after="0"/>
        <w:tabs>
          <w:tab w:leader="none" w:pos="1460" w:val="left"/>
        </w:tabs>
        <w:rPr>
          <w:sz w:val="20"/>
          <w:szCs w:val="20"/>
          <w:color w:val="auto"/>
        </w:rPr>
      </w:pPr>
      <w:r>
        <w:rPr>
          <w:rFonts w:ascii="Arial" w:cs="Arial" w:eastAsia="Arial" w:hAnsi="Arial"/>
          <w:sz w:val="11"/>
          <w:szCs w:val="11"/>
          <w:b w:val="1"/>
          <w:bCs w:val="1"/>
          <w:color w:val="5F5F5E"/>
        </w:rPr>
        <w:t>Autodesk, Inc. Offer Letter</w:t>
      </w:r>
      <w:r>
        <w:rPr>
          <w:sz w:val="20"/>
          <w:szCs w:val="20"/>
          <w:color w:val="auto"/>
        </w:rPr>
        <w:tab/>
      </w:r>
      <w:r>
        <w:rPr>
          <w:rFonts w:ascii="Arial" w:cs="Arial" w:eastAsia="Arial" w:hAnsi="Arial"/>
          <w:sz w:val="9"/>
          <w:szCs w:val="9"/>
          <w:b w:val="1"/>
          <w:bCs w:val="1"/>
          <w:color w:val="5F5F5E"/>
        </w:rPr>
        <w:t>Last Revised March 2014</w:t>
      </w:r>
    </w:p>
    <w:p>
      <w:pPr>
        <w:sectPr>
          <w:pgSz w:w="11900" w:h="16838" w:orient="portrait"/>
          <w:cols w:equalWidth="0" w:num="1">
            <w:col w:w="11360"/>
          </w:cols>
          <w:pgMar w:left="240" w:top="1009" w:right="29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2061210</wp:posOffset>
            </wp:positionH>
            <wp:positionV relativeFrom="page">
              <wp:posOffset>1710055</wp:posOffset>
            </wp:positionV>
            <wp:extent cx="3447415" cy="5657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34474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46"/>
          <w:szCs w:val="46"/>
          <w:color w:val="0C2E82"/>
        </w:rPr>
        <w:t>Employee Relocation Policy</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50"/>
          <w:szCs w:val="50"/>
          <w:color w:val="0C2E82"/>
        </w:rPr>
        <w:t>U.S. Domestic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43"/>
          <w:szCs w:val="43"/>
          <w:color w:val="0C2E82"/>
        </w:rPr>
        <w:t>R. Scott Herren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9"/>
          <w:szCs w:val="29"/>
          <w:color w:val="0C2E82"/>
        </w:rPr>
        <w:t>Presented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180975</wp:posOffset>
            </wp:positionV>
            <wp:extent cx="1543685" cy="737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43685" cy="7372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22"/>
          <w:szCs w:val="22"/>
          <w:b w:val="1"/>
          <w:bCs w:val="1"/>
          <w:color w:val="0C2E82"/>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t>Getting Started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Your Relocation Policy</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Autodesk has established a relocation policy to provide for the financial and service needs of employees who relocate at the company’s request. The policy is designed to address most events in a typical relocation and is intended to ease the transition to the new location for you and your family.</w:t>
      </w:r>
    </w:p>
    <w:p>
      <w:pPr>
        <w:spacing w:after="0" w:line="78"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i w:val="1"/>
          <w:iCs w:val="1"/>
          <w:color w:val="auto"/>
        </w:rPr>
        <w:t>Employee Relocation Guide</w:t>
      </w:r>
      <w:r>
        <w:rPr>
          <w:rFonts w:ascii="Arial" w:cs="Arial" w:eastAsia="Arial" w:hAnsi="Arial"/>
          <w:sz w:val="22"/>
          <w:szCs w:val="22"/>
          <w:color w:val="auto"/>
        </w:rPr>
        <w:t xml:space="preserve"> outlines the various benefits available to you. We suggest that you review it carefully and make note of any questions or further information you may need.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Important Notices</w:t>
      </w:r>
    </w:p>
    <w:p>
      <w:pPr>
        <w:spacing w:after="0" w:line="118" w:lineRule="exact"/>
        <w:rPr>
          <w:sz w:val="20"/>
          <w:szCs w:val="20"/>
          <w:color w:val="auto"/>
        </w:rPr>
      </w:pPr>
    </w:p>
    <w:p>
      <w:pPr>
        <w:jc w:val="both"/>
        <w:ind w:left="340" w:right="220" w:hanging="332"/>
        <w:spacing w:after="0" w:line="253" w:lineRule="auto"/>
        <w:tabs>
          <w:tab w:leader="none" w:pos="340" w:val="left"/>
        </w:tabs>
        <w:numPr>
          <w:ilvl w:val="0"/>
          <w:numId w:val="30"/>
        </w:numPr>
        <w:rPr>
          <w:rFonts w:ascii="Arial" w:cs="Arial" w:eastAsia="Arial" w:hAnsi="Arial"/>
          <w:sz w:val="16"/>
          <w:szCs w:val="16"/>
          <w:color w:val="798CBA"/>
        </w:rPr>
      </w:pPr>
      <w:r>
        <w:rPr>
          <w:rFonts w:ascii="Arial" w:cs="Arial" w:eastAsia="Arial" w:hAnsi="Arial"/>
          <w:sz w:val="22"/>
          <w:szCs w:val="22"/>
          <w:color w:val="auto"/>
        </w:rPr>
        <w:t>Altair Global Relocation will coordinate your relocation. An Altair consultant will be available each step of the way and will provide access to resources needed throughout the transition. You should direct all questions about the policy or the nature of reimbursable expenses to your Altair consultant.</w:t>
      </w:r>
    </w:p>
    <w:p>
      <w:pPr>
        <w:spacing w:after="0" w:line="132" w:lineRule="exact"/>
        <w:rPr>
          <w:sz w:val="20"/>
          <w:szCs w:val="20"/>
          <w:color w:val="auto"/>
        </w:rPr>
      </w:pPr>
    </w:p>
    <w:p>
      <w:pPr>
        <w:ind w:left="340" w:right="80" w:hanging="332"/>
        <w:spacing w:after="0" w:line="253" w:lineRule="auto"/>
        <w:tabs>
          <w:tab w:leader="none" w:pos="340" w:val="left"/>
        </w:tabs>
        <w:numPr>
          <w:ilvl w:val="0"/>
          <w:numId w:val="31"/>
        </w:numPr>
        <w:rPr>
          <w:rFonts w:ascii="Arial" w:cs="Arial" w:eastAsia="Arial" w:hAnsi="Arial"/>
          <w:sz w:val="16"/>
          <w:szCs w:val="16"/>
          <w:color w:val="798CBA"/>
        </w:rPr>
      </w:pPr>
      <w:r>
        <w:rPr>
          <w:rFonts w:ascii="Arial" w:cs="Arial" w:eastAsia="Arial" w:hAnsi="Arial"/>
          <w:sz w:val="22"/>
          <w:szCs w:val="22"/>
          <w:color w:val="auto"/>
        </w:rPr>
        <w:t>This guide is intended to help you understand the relocation benefits you may receive. Autodesk reserves the authority to interpret, at its sole discretion, the provisions of this program and the right to amend, limit or change any of its provisions with or without prior notice.</w:t>
      </w:r>
    </w:p>
    <w:p>
      <w:pPr>
        <w:spacing w:after="0" w:line="131" w:lineRule="exact"/>
        <w:rPr>
          <w:rFonts w:ascii="Arial" w:cs="Arial" w:eastAsia="Arial" w:hAnsi="Arial"/>
          <w:sz w:val="16"/>
          <w:szCs w:val="16"/>
          <w:color w:val="798CBA"/>
        </w:rPr>
      </w:pPr>
    </w:p>
    <w:p>
      <w:pPr>
        <w:ind w:left="340" w:right="240" w:hanging="332"/>
        <w:spacing w:after="0" w:line="263" w:lineRule="auto"/>
        <w:tabs>
          <w:tab w:leader="none" w:pos="340" w:val="left"/>
        </w:tabs>
        <w:numPr>
          <w:ilvl w:val="0"/>
          <w:numId w:val="31"/>
        </w:numPr>
        <w:rPr>
          <w:rFonts w:ascii="Arial" w:cs="Arial" w:eastAsia="Arial" w:hAnsi="Arial"/>
          <w:sz w:val="16"/>
          <w:szCs w:val="16"/>
          <w:color w:val="798CBA"/>
        </w:rPr>
      </w:pPr>
      <w:r>
        <w:rPr>
          <w:rFonts w:ascii="Arial" w:cs="Arial" w:eastAsia="Arial" w:hAnsi="Arial"/>
          <w:sz w:val="22"/>
          <w:szCs w:val="22"/>
          <w:color w:val="auto"/>
        </w:rPr>
        <w:t>Nothing in this guide should be interpreted as an employment guarantee or as creating an employment contract, expressed or implied, for any duration.</w:t>
      </w:r>
    </w:p>
    <w:p>
      <w:pPr>
        <w:spacing w:after="0" w:line="120" w:lineRule="exact"/>
        <w:rPr>
          <w:rFonts w:ascii="Arial" w:cs="Arial" w:eastAsia="Arial" w:hAnsi="Arial"/>
          <w:sz w:val="16"/>
          <w:szCs w:val="16"/>
          <w:color w:val="798CBA"/>
        </w:rPr>
      </w:pPr>
    </w:p>
    <w:p>
      <w:pPr>
        <w:ind w:left="340" w:right="240" w:hanging="332"/>
        <w:spacing w:after="0" w:line="253" w:lineRule="auto"/>
        <w:tabs>
          <w:tab w:leader="none" w:pos="340" w:val="left"/>
        </w:tabs>
        <w:numPr>
          <w:ilvl w:val="0"/>
          <w:numId w:val="31"/>
        </w:numPr>
        <w:rPr>
          <w:rFonts w:ascii="Arial" w:cs="Arial" w:eastAsia="Arial" w:hAnsi="Arial"/>
          <w:sz w:val="16"/>
          <w:szCs w:val="16"/>
          <w:color w:val="798CBA"/>
        </w:rPr>
      </w:pPr>
      <w:r>
        <w:rPr>
          <w:rFonts w:ascii="Arial" w:cs="Arial" w:eastAsia="Arial" w:hAnsi="Arial"/>
          <w:sz w:val="22"/>
          <w:szCs w:val="22"/>
          <w:color w:val="auto"/>
        </w:rPr>
        <w:t>The intent of the relocation program is to provide reasonable, consistent and cost effective financial assistance and quality services to employees who relocate at the request of the company. The policy does not offer or imply that all relocation costs will be fully compensated.</w:t>
      </w:r>
    </w:p>
    <w:p>
      <w:pPr>
        <w:spacing w:after="0" w:line="131" w:lineRule="exact"/>
        <w:rPr>
          <w:rFonts w:ascii="Arial" w:cs="Arial" w:eastAsia="Arial" w:hAnsi="Arial"/>
          <w:sz w:val="16"/>
          <w:szCs w:val="16"/>
          <w:color w:val="798CBA"/>
        </w:rPr>
      </w:pPr>
    </w:p>
    <w:p>
      <w:pPr>
        <w:ind w:left="340" w:right="280" w:hanging="332"/>
        <w:spacing w:after="0" w:line="302" w:lineRule="auto"/>
        <w:tabs>
          <w:tab w:leader="none" w:pos="340" w:val="left"/>
        </w:tabs>
        <w:numPr>
          <w:ilvl w:val="0"/>
          <w:numId w:val="31"/>
        </w:numPr>
        <w:rPr>
          <w:rFonts w:ascii="Arial" w:cs="Arial" w:eastAsia="Arial" w:hAnsi="Arial"/>
          <w:sz w:val="15"/>
          <w:szCs w:val="15"/>
          <w:color w:val="798CBA"/>
        </w:rPr>
      </w:pPr>
      <w:r>
        <w:rPr>
          <w:rFonts w:ascii="Arial" w:cs="Arial" w:eastAsia="Arial" w:hAnsi="Arial"/>
          <w:sz w:val="19"/>
          <w:szCs w:val="19"/>
          <w:color w:val="auto"/>
        </w:rPr>
        <w:t>It is expected that you will make every effort to transfer promptly and control the cost of your move whenever possible. You will be reimbursed for reasonable, necessary and properly authorized expenses covered by the policy. You are expected to maintain expenses at a conservative level and to be familiar with which expenses are reimbursable. The company may, at its discretion, choose not to reimburse, in full or in part, an expense that is deemed unreasonable or excessive.</w:t>
      </w:r>
    </w:p>
    <w:p>
      <w:pPr>
        <w:spacing w:after="0" w:line="88" w:lineRule="exact"/>
        <w:rPr>
          <w:rFonts w:ascii="Arial" w:cs="Arial" w:eastAsia="Arial" w:hAnsi="Arial"/>
          <w:sz w:val="15"/>
          <w:szCs w:val="15"/>
          <w:color w:val="798CBA"/>
        </w:rPr>
      </w:pPr>
    </w:p>
    <w:p>
      <w:pPr>
        <w:ind w:left="340" w:hanging="332"/>
        <w:spacing w:after="0" w:line="263" w:lineRule="auto"/>
        <w:tabs>
          <w:tab w:leader="none" w:pos="340" w:val="left"/>
        </w:tabs>
        <w:numPr>
          <w:ilvl w:val="0"/>
          <w:numId w:val="31"/>
        </w:numPr>
        <w:rPr>
          <w:rFonts w:ascii="Arial" w:cs="Arial" w:eastAsia="Arial" w:hAnsi="Arial"/>
          <w:sz w:val="16"/>
          <w:szCs w:val="16"/>
          <w:color w:val="798CBA"/>
        </w:rPr>
      </w:pPr>
      <w:r>
        <w:rPr>
          <w:rFonts w:ascii="Arial" w:cs="Arial" w:eastAsia="Arial" w:hAnsi="Arial"/>
          <w:sz w:val="22"/>
          <w:szCs w:val="22"/>
          <w:color w:val="auto"/>
        </w:rPr>
        <w:t>If you own a home at the time of your transfer, you may receive certain benefits that are not available to those who rent or lease their primary residence.</w:t>
      </w:r>
    </w:p>
    <w:p>
      <w:pPr>
        <w:spacing w:after="0" w:line="120" w:lineRule="exact"/>
        <w:rPr>
          <w:rFonts w:ascii="Arial" w:cs="Arial" w:eastAsia="Arial" w:hAnsi="Arial"/>
          <w:sz w:val="16"/>
          <w:szCs w:val="16"/>
          <w:color w:val="798CBA"/>
        </w:rPr>
      </w:pPr>
    </w:p>
    <w:p>
      <w:pPr>
        <w:ind w:left="340" w:hanging="332"/>
        <w:spacing w:after="0"/>
        <w:tabs>
          <w:tab w:leader="none" w:pos="340" w:val="left"/>
        </w:tabs>
        <w:numPr>
          <w:ilvl w:val="0"/>
          <w:numId w:val="31"/>
        </w:numPr>
        <w:rPr>
          <w:rFonts w:ascii="Arial" w:cs="Arial" w:eastAsia="Arial" w:hAnsi="Arial"/>
          <w:sz w:val="16"/>
          <w:szCs w:val="16"/>
          <w:color w:val="798CBA"/>
        </w:rPr>
      </w:pPr>
      <w:r>
        <w:rPr>
          <w:rFonts w:ascii="Arial" w:cs="Arial" w:eastAsia="Arial" w:hAnsi="Arial"/>
          <w:sz w:val="22"/>
          <w:szCs w:val="22"/>
          <w:color w:val="auto"/>
        </w:rPr>
        <w:t>Relocation benefits – like all forms of employee compensation – are considered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852170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1</w:t>
      </w:r>
    </w:p>
    <w:p>
      <w:pPr>
        <w:sectPr>
          <w:pgSz w:w="11900" w:h="16838" w:orient="portrait"/>
          <w:cols w:equalWidth="0" w:num="1">
            <w:col w:w="11360"/>
          </w:cols>
          <w:pgMar w:left="240" w:top="612" w:right="29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22"/>
          <w:szCs w:val="22"/>
          <w:b w:val="1"/>
          <w:bCs w:val="1"/>
          <w:color w:val="0C2E82"/>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t>Altair Will Administer Your Relocation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right="360"/>
        <w:spacing w:after="0" w:line="312" w:lineRule="auto"/>
        <w:rPr>
          <w:sz w:val="20"/>
          <w:szCs w:val="20"/>
          <w:color w:val="auto"/>
        </w:rPr>
      </w:pPr>
      <w:r>
        <w:rPr>
          <w:rFonts w:ascii="Arial" w:cs="Arial" w:eastAsia="Arial" w:hAnsi="Arial"/>
          <w:sz w:val="19"/>
          <w:szCs w:val="19"/>
          <w:color w:val="auto"/>
        </w:rPr>
        <w:t>Altair Global Relocation is a full-service relocation management firm retained by Autodesk to assist you with each step of your relocation. Altair has years of experience and a vast array of resources at its disposal. You will have one single point of responsibility at Altair, your relocation consultant, who will provide service, answer questions, and address issues that arise.</w:t>
      </w:r>
    </w:p>
    <w:p>
      <w:pPr>
        <w:spacing w:after="0" w:line="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 addition to normal business hours, your relocation consultant is available evenings and weekends to assist you with any aspect of your relocation.</w:t>
      </w:r>
    </w:p>
    <w:p>
      <w:pPr>
        <w:spacing w:after="0" w:line="67"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Altair offers comprehensive services to make your move successful, including departure, destination, transition, and administrative benefits.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C2E82"/>
        </w:rPr>
        <w:t>Altair Global Relocation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C2E82"/>
        </w:rPr>
        <w:t>201 N. Civic Drive, Suite 240</w:t>
      </w:r>
    </w:p>
    <w:p>
      <w:pPr>
        <w:jc w:val="center"/>
        <w:ind w:right="-19"/>
        <w:spacing w:after="0"/>
        <w:rPr>
          <w:sz w:val="20"/>
          <w:szCs w:val="20"/>
          <w:color w:val="auto"/>
        </w:rPr>
      </w:pPr>
      <w:r>
        <w:rPr>
          <w:rFonts w:ascii="Arial" w:cs="Arial" w:eastAsia="Arial" w:hAnsi="Arial"/>
          <w:sz w:val="20"/>
          <w:szCs w:val="20"/>
          <w:b w:val="1"/>
          <w:bCs w:val="1"/>
          <w:color w:val="0C2E82"/>
        </w:rPr>
        <w:t>Walnut Creek, CA 94596</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C2E82"/>
        </w:rPr>
        <w:t>Toll Free: 800.934.5400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C2E82"/>
        </w:rPr>
        <w:t>Direct: 925.945.1001</w:t>
      </w:r>
    </w:p>
    <w:p>
      <w:pPr>
        <w:jc w:val="center"/>
        <w:ind w:right="-19"/>
        <w:spacing w:after="0"/>
        <w:rPr>
          <w:sz w:val="20"/>
          <w:szCs w:val="20"/>
          <w:color w:val="auto"/>
        </w:rPr>
      </w:pPr>
      <w:r>
        <w:rPr>
          <w:rFonts w:ascii="Arial" w:cs="Arial" w:eastAsia="Arial" w:hAnsi="Arial"/>
          <w:sz w:val="20"/>
          <w:szCs w:val="20"/>
          <w:b w:val="1"/>
          <w:bCs w:val="1"/>
          <w:color w:val="0C2E82"/>
        </w:rPr>
        <w:t>FAX: 925.945.1879</w:t>
      </w:r>
    </w:p>
    <w:p>
      <w:pPr>
        <w:jc w:val="center"/>
        <w:ind w:right="-19"/>
        <w:spacing w:after="0"/>
        <w:rPr>
          <w:sz w:val="20"/>
          <w:szCs w:val="20"/>
          <w:color w:val="auto"/>
        </w:rPr>
      </w:pPr>
      <w:r>
        <w:rPr>
          <w:rFonts w:ascii="Arial" w:cs="Arial" w:eastAsia="Arial" w:hAnsi="Arial"/>
          <w:sz w:val="20"/>
          <w:szCs w:val="20"/>
          <w:b w:val="1"/>
          <w:bCs w:val="1"/>
          <w:color w:val="0C2E82"/>
        </w:rPr>
        <w:t>www.altairglobal.com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180"/>
        <w:spacing w:after="0" w:line="237" w:lineRule="auto"/>
        <w:rPr>
          <w:sz w:val="20"/>
          <w:szCs w:val="20"/>
          <w:color w:val="auto"/>
        </w:rPr>
      </w:pPr>
      <w:r>
        <w:rPr>
          <w:rFonts w:ascii="Arial" w:cs="Arial" w:eastAsia="Arial" w:hAnsi="Arial"/>
          <w:sz w:val="22"/>
          <w:szCs w:val="22"/>
          <w:color w:val="auto"/>
        </w:rPr>
        <w:t>Altair’s STAR</w:t>
      </w:r>
      <w:r>
        <w:rPr>
          <w:rFonts w:ascii="Arial" w:cs="Arial" w:eastAsia="Arial" w:hAnsi="Arial"/>
          <w:sz w:val="28"/>
          <w:szCs w:val="28"/>
          <w:color w:val="auto"/>
          <w:vertAlign w:val="superscript"/>
        </w:rPr>
        <w:t>®</w:t>
      </w:r>
      <w:r>
        <w:rPr>
          <w:rFonts w:ascii="Arial" w:cs="Arial" w:eastAsia="Arial" w:hAnsi="Arial"/>
          <w:sz w:val="22"/>
          <w:szCs w:val="22"/>
          <w:color w:val="auto"/>
        </w:rPr>
        <w:t xml:space="preserve"> Employee and Family web site contains simple and intuitive interfaces, which allow retrieval of vital information in just a few easy clicks. Once Altair receives your authorization for relocation from Autodesk, you will receive an invitation via email to create your STAR</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account online. You will have access to:</w:t>
      </w:r>
    </w:p>
    <w:p>
      <w:pPr>
        <w:spacing w:after="0" w:line="3"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6"/>
          <w:szCs w:val="16"/>
          <w:color w:val="798CBA"/>
        </w:rPr>
      </w:pPr>
      <w:r>
        <w:rPr>
          <w:rFonts w:ascii="Arial" w:cs="Arial" w:eastAsia="Arial" w:hAnsi="Arial"/>
          <w:sz w:val="22"/>
          <w:szCs w:val="22"/>
          <w:color w:val="auto"/>
        </w:rPr>
        <w:t>Relocation resources, tools, and information</w:t>
      </w:r>
    </w:p>
    <w:p>
      <w:pPr>
        <w:spacing w:after="0" w:line="165" w:lineRule="exact"/>
        <w:rPr>
          <w:rFonts w:ascii="Arial" w:cs="Arial" w:eastAsia="Arial" w:hAnsi="Arial"/>
          <w:sz w:val="16"/>
          <w:szCs w:val="16"/>
          <w:color w:val="798CBA"/>
        </w:rPr>
      </w:pPr>
    </w:p>
    <w:p>
      <w:pPr>
        <w:ind w:left="340" w:hanging="332"/>
        <w:spacing w:after="0"/>
        <w:tabs>
          <w:tab w:leader="none" w:pos="340" w:val="left"/>
        </w:tabs>
        <w:numPr>
          <w:ilvl w:val="0"/>
          <w:numId w:val="32"/>
        </w:numPr>
        <w:rPr>
          <w:rFonts w:ascii="Arial" w:cs="Arial" w:eastAsia="Arial" w:hAnsi="Arial"/>
          <w:sz w:val="16"/>
          <w:szCs w:val="16"/>
          <w:color w:val="798CBA"/>
        </w:rPr>
      </w:pPr>
      <w:r>
        <w:rPr>
          <w:rFonts w:ascii="Arial" w:cs="Arial" w:eastAsia="Arial" w:hAnsi="Arial"/>
          <w:sz w:val="22"/>
          <w:szCs w:val="22"/>
          <w:color w:val="auto"/>
        </w:rPr>
        <w:t>Relocation policies and related documents</w:t>
      </w:r>
    </w:p>
    <w:p>
      <w:pPr>
        <w:spacing w:after="0" w:line="165" w:lineRule="exact"/>
        <w:rPr>
          <w:rFonts w:ascii="Arial" w:cs="Arial" w:eastAsia="Arial" w:hAnsi="Arial"/>
          <w:sz w:val="16"/>
          <w:szCs w:val="16"/>
          <w:color w:val="798CBA"/>
        </w:rPr>
      </w:pPr>
    </w:p>
    <w:p>
      <w:pPr>
        <w:ind w:left="340" w:hanging="332"/>
        <w:spacing w:after="0"/>
        <w:tabs>
          <w:tab w:leader="none" w:pos="340" w:val="left"/>
        </w:tabs>
        <w:numPr>
          <w:ilvl w:val="0"/>
          <w:numId w:val="32"/>
        </w:numPr>
        <w:rPr>
          <w:rFonts w:ascii="Arial" w:cs="Arial" w:eastAsia="Arial" w:hAnsi="Arial"/>
          <w:sz w:val="16"/>
          <w:szCs w:val="16"/>
          <w:color w:val="798CBA"/>
        </w:rPr>
      </w:pPr>
      <w:r>
        <w:rPr>
          <w:rFonts w:ascii="Arial" w:cs="Arial" w:eastAsia="Arial" w:hAnsi="Arial"/>
          <w:sz w:val="22"/>
          <w:szCs w:val="22"/>
          <w:color w:val="auto"/>
        </w:rPr>
        <w:t>Viewing online messages about your relocation</w:t>
      </w:r>
    </w:p>
    <w:p>
      <w:pPr>
        <w:spacing w:after="0" w:line="165" w:lineRule="exact"/>
        <w:rPr>
          <w:rFonts w:ascii="Arial" w:cs="Arial" w:eastAsia="Arial" w:hAnsi="Arial"/>
          <w:sz w:val="16"/>
          <w:szCs w:val="16"/>
          <w:color w:val="798CBA"/>
        </w:rPr>
      </w:pPr>
    </w:p>
    <w:p>
      <w:pPr>
        <w:ind w:left="340" w:hanging="332"/>
        <w:spacing w:after="0"/>
        <w:tabs>
          <w:tab w:leader="none" w:pos="340" w:val="left"/>
        </w:tabs>
        <w:numPr>
          <w:ilvl w:val="0"/>
          <w:numId w:val="32"/>
        </w:numPr>
        <w:rPr>
          <w:rFonts w:ascii="Arial" w:cs="Arial" w:eastAsia="Arial" w:hAnsi="Arial"/>
          <w:sz w:val="16"/>
          <w:szCs w:val="16"/>
          <w:color w:val="798CBA"/>
        </w:rPr>
      </w:pPr>
      <w:r>
        <w:rPr>
          <w:rFonts w:ascii="Arial" w:cs="Arial" w:eastAsia="Arial" w:hAnsi="Arial"/>
          <w:sz w:val="22"/>
          <w:szCs w:val="22"/>
          <w:color w:val="auto"/>
        </w:rPr>
        <w:t>Submitting and tracking expense reimbursement requests</w:t>
      </w:r>
    </w:p>
    <w:p>
      <w:pPr>
        <w:spacing w:after="0" w:line="155" w:lineRule="exact"/>
        <w:rPr>
          <w:sz w:val="20"/>
          <w:szCs w:val="20"/>
          <w:color w:val="auto"/>
        </w:rPr>
      </w:pPr>
    </w:p>
    <w:p>
      <w:pPr>
        <w:ind w:right="400"/>
        <w:spacing w:after="0" w:line="226" w:lineRule="auto"/>
        <w:rPr>
          <w:sz w:val="20"/>
          <w:szCs w:val="20"/>
          <w:color w:val="auto"/>
        </w:rPr>
      </w:pPr>
      <w:r>
        <w:rPr>
          <w:rFonts w:ascii="Arial" w:cs="Arial" w:eastAsia="Arial" w:hAnsi="Arial"/>
          <w:sz w:val="22"/>
          <w:szCs w:val="22"/>
          <w:color w:val="auto"/>
        </w:rPr>
        <w:t>Make the most of STAR</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at your convenience, but never hesitate to contact your consultant whenever you are in doubt or need assistance with your relocation.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2</w:t>
      </w:r>
    </w:p>
    <w:p>
      <w:pPr>
        <w:sectPr>
          <w:pgSz w:w="11900" w:h="16838" w:orient="portrait"/>
          <w:cols w:equalWidth="0" w:num="1">
            <w:col w:w="11400"/>
          </w:cols>
          <w:pgMar w:left="240" w:top="612" w:right="25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22"/>
          <w:szCs w:val="22"/>
          <w:b w:val="1"/>
          <w:bCs w:val="1"/>
          <w:color w:val="0C2E82"/>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Relocation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Please Note: The following summary does not include all details regarding the application of these benefits. Conditions and limitations may apply that need further explanation. Do not rely on this summary alone; read the entire document carefully and ask your consultant to clarify any point that you do not understand.</w:t>
      </w:r>
    </w:p>
    <w:p>
      <w:pPr>
        <w:spacing w:after="0" w:line="201" w:lineRule="exact"/>
        <w:rPr>
          <w:sz w:val="20"/>
          <w:szCs w:val="20"/>
          <w:color w:val="auto"/>
        </w:rPr>
      </w:pPr>
    </w:p>
    <w:tbl>
      <w:tblPr>
        <w:tblLayout w:type="fixed"/>
        <w:tblInd w:w="190" w:type="dxa"/>
        <w:tblCellMar>
          <w:top w:w="0" w:type="dxa"/>
          <w:left w:w="0" w:type="dxa"/>
          <w:bottom w:w="0" w:type="dxa"/>
          <w:right w:w="0" w:type="dxa"/>
        </w:tblCellMar>
      </w:tblPr>
      <w:tr>
        <w:trPr>
          <w:trHeight w:val="402"/>
        </w:trPr>
        <w:tc>
          <w:tcPr>
            <w:tcW w:w="2720" w:type="dxa"/>
            <w:vAlign w:val="bottom"/>
            <w:tcBorders>
              <w:top w:val="single" w:sz="8" w:color="0C2E82"/>
              <w:left w:val="single" w:sz="8" w:color="0C2E82"/>
              <w:right w:val="single" w:sz="8" w:color="0C2E82"/>
            </w:tcBorders>
            <w:shd w:val="clear" w:color="auto" w:fill="798CBA"/>
          </w:tcPr>
          <w:p>
            <w:pPr>
              <w:ind w:left="760"/>
              <w:spacing w:after="0"/>
              <w:rPr>
                <w:sz w:val="20"/>
                <w:szCs w:val="20"/>
                <w:color w:val="auto"/>
              </w:rPr>
            </w:pPr>
            <w:r>
              <w:rPr>
                <w:rFonts w:ascii="Arial" w:cs="Arial" w:eastAsia="Arial" w:hAnsi="Arial"/>
                <w:sz w:val="22"/>
                <w:szCs w:val="22"/>
                <w:b w:val="1"/>
                <w:bCs w:val="1"/>
                <w:color w:val="0C2E82"/>
              </w:rPr>
              <w:t>PROVISION</w:t>
            </w:r>
          </w:p>
        </w:tc>
        <w:tc>
          <w:tcPr>
            <w:tcW w:w="8540" w:type="dxa"/>
            <w:vAlign w:val="bottom"/>
            <w:tcBorders>
              <w:top w:val="single" w:sz="8" w:color="0C2E82"/>
              <w:right w:val="single" w:sz="8" w:color="0C2E82"/>
            </w:tcBorders>
            <w:shd w:val="clear" w:color="auto" w:fill="798CBA"/>
          </w:tcPr>
          <w:p>
            <w:pPr>
              <w:ind w:left="3720"/>
              <w:spacing w:after="0"/>
              <w:rPr>
                <w:sz w:val="20"/>
                <w:szCs w:val="20"/>
                <w:color w:val="auto"/>
              </w:rPr>
            </w:pPr>
            <w:r>
              <w:rPr>
                <w:rFonts w:ascii="Arial" w:cs="Arial" w:eastAsia="Arial" w:hAnsi="Arial"/>
                <w:sz w:val="22"/>
                <w:szCs w:val="22"/>
                <w:b w:val="1"/>
                <w:bCs w:val="1"/>
                <w:color w:val="0C2E82"/>
              </w:rPr>
              <w:t>BENEFITS</w:t>
            </w:r>
          </w:p>
        </w:tc>
      </w:tr>
      <w:tr>
        <w:trPr>
          <w:trHeight w:val="206"/>
        </w:trPr>
        <w:tc>
          <w:tcPr>
            <w:tcW w:w="2720" w:type="dxa"/>
            <w:vAlign w:val="bottom"/>
            <w:tcBorders>
              <w:left w:val="single" w:sz="8" w:color="0C2E82"/>
              <w:bottom w:val="single" w:sz="8" w:color="0C2E82"/>
              <w:right w:val="single" w:sz="8" w:color="0C2E82"/>
            </w:tcBorders>
            <w:shd w:val="clear" w:color="auto" w:fill="798CBA"/>
          </w:tcPr>
          <w:p>
            <w:pPr>
              <w:spacing w:after="0"/>
              <w:rPr>
                <w:sz w:val="17"/>
                <w:szCs w:val="17"/>
                <w:color w:val="auto"/>
              </w:rPr>
            </w:pPr>
          </w:p>
        </w:tc>
        <w:tc>
          <w:tcPr>
            <w:tcW w:w="8540" w:type="dxa"/>
            <w:vAlign w:val="bottom"/>
            <w:tcBorders>
              <w:bottom w:val="single" w:sz="8" w:color="0C2E82"/>
              <w:right w:val="single" w:sz="8" w:color="0C2E82"/>
            </w:tcBorders>
            <w:shd w:val="clear" w:color="auto" w:fill="798CBA"/>
          </w:tcPr>
          <w:p>
            <w:pPr>
              <w:spacing w:after="0"/>
              <w:rPr>
                <w:sz w:val="17"/>
                <w:szCs w:val="17"/>
                <w:color w:val="auto"/>
              </w:rPr>
            </w:pPr>
          </w:p>
        </w:tc>
      </w:tr>
      <w:tr>
        <w:trPr>
          <w:trHeight w:val="20"/>
        </w:trPr>
        <w:tc>
          <w:tcPr>
            <w:tcW w:w="2720" w:type="dxa"/>
            <w:vAlign w:val="bottom"/>
            <w:tcBorders>
              <w:left w:val="single" w:sz="8" w:color="0C2E82"/>
              <w:bottom w:val="single" w:sz="8" w:color="0C2E82"/>
            </w:tcBorders>
          </w:tcPr>
          <w:p>
            <w:pPr>
              <w:spacing w:after="0" w:line="20" w:lineRule="exact"/>
              <w:rPr>
                <w:sz w:val="1"/>
                <w:szCs w:val="1"/>
                <w:color w:val="auto"/>
              </w:rPr>
            </w:pPr>
          </w:p>
        </w:tc>
        <w:tc>
          <w:tcPr>
            <w:tcW w:w="8540" w:type="dxa"/>
            <w:vAlign w:val="bottom"/>
            <w:tcBorders>
              <w:bottom w:val="single" w:sz="8" w:color="0C2E82"/>
              <w:right w:val="single" w:sz="8" w:color="0C2E82"/>
            </w:tcBorders>
          </w:tcPr>
          <w:p>
            <w:pPr>
              <w:spacing w:after="0" w:line="20" w:lineRule="exact"/>
              <w:rPr>
                <w:sz w:val="1"/>
                <w:szCs w:val="1"/>
                <w:color w:val="auto"/>
              </w:rPr>
            </w:pPr>
          </w:p>
        </w:tc>
      </w:tr>
      <w:tr>
        <w:trPr>
          <w:trHeight w:val="229"/>
        </w:trPr>
        <w:tc>
          <w:tcPr>
            <w:tcW w:w="2720" w:type="dxa"/>
            <w:vAlign w:val="bottom"/>
            <w:tcBorders>
              <w:left w:val="single" w:sz="8" w:color="0C2E82"/>
              <w:right w:val="single" w:sz="8" w:color="0C2E82"/>
            </w:tcBorders>
          </w:tcPr>
          <w:p>
            <w:pPr>
              <w:ind w:left="60"/>
              <w:spacing w:after="0" w:line="229" w:lineRule="exact"/>
              <w:rPr>
                <w:sz w:val="20"/>
                <w:szCs w:val="20"/>
                <w:color w:val="auto"/>
              </w:rPr>
            </w:pPr>
            <w:r>
              <w:rPr>
                <w:rFonts w:ascii="Arial" w:cs="Arial" w:eastAsia="Arial" w:hAnsi="Arial"/>
                <w:sz w:val="22"/>
                <w:szCs w:val="22"/>
                <w:color w:val="auto"/>
              </w:rPr>
              <w:t>Commuting Benefits</w:t>
            </w:r>
          </w:p>
        </w:tc>
        <w:tc>
          <w:tcPr>
            <w:tcW w:w="8540" w:type="dxa"/>
            <w:vAlign w:val="bottom"/>
            <w:tcBorders>
              <w:right w:val="single" w:sz="8" w:color="0C2E82"/>
            </w:tcBorders>
          </w:tcPr>
          <w:p>
            <w:pPr>
              <w:ind w:left="20"/>
              <w:spacing w:after="0" w:line="229" w:lineRule="exact"/>
              <w:rPr>
                <w:sz w:val="20"/>
                <w:szCs w:val="20"/>
                <w:color w:val="auto"/>
              </w:rPr>
            </w:pPr>
            <w:r>
              <w:rPr>
                <w:rFonts w:ascii="Arial" w:cs="Arial" w:eastAsia="Arial" w:hAnsi="Arial"/>
                <w:sz w:val="22"/>
                <w:szCs w:val="22"/>
                <w:color w:val="auto"/>
                <w:w w:val="93"/>
              </w:rPr>
              <w:t>Fully furnished corporate apartment in San Francisco for eighteen months. Round trip air fare</w:t>
            </w:r>
          </w:p>
        </w:tc>
      </w:tr>
      <w:tr>
        <w:trPr>
          <w:trHeight w:val="275"/>
        </w:trPr>
        <w:tc>
          <w:tcPr>
            <w:tcW w:w="2720" w:type="dxa"/>
            <w:vAlign w:val="bottom"/>
            <w:tcBorders>
              <w:left w:val="single" w:sz="8" w:color="0C2E82"/>
              <w:right w:val="single" w:sz="8" w:color="0C2E82"/>
            </w:tcBorders>
          </w:tcPr>
          <w:p>
            <w:pPr>
              <w:spacing w:after="0"/>
              <w:rPr>
                <w:sz w:val="23"/>
                <w:szCs w:val="23"/>
                <w:color w:val="auto"/>
              </w:rPr>
            </w:pPr>
          </w:p>
        </w:tc>
        <w:tc>
          <w:tcPr>
            <w:tcW w:w="8540" w:type="dxa"/>
            <w:vAlign w:val="bottom"/>
            <w:tcBorders>
              <w:right w:val="single" w:sz="8" w:color="0C2E82"/>
            </w:tcBorders>
          </w:tcPr>
          <w:p>
            <w:pPr>
              <w:ind w:left="20"/>
              <w:spacing w:after="0"/>
              <w:rPr>
                <w:sz w:val="20"/>
                <w:szCs w:val="20"/>
                <w:color w:val="auto"/>
              </w:rPr>
            </w:pPr>
            <w:r>
              <w:rPr>
                <w:rFonts w:ascii="Arial" w:cs="Arial" w:eastAsia="Arial" w:hAnsi="Arial"/>
                <w:sz w:val="22"/>
                <w:szCs w:val="22"/>
                <w:color w:val="auto"/>
              </w:rPr>
              <w:t>from San Francisco to Boca Raton each month for eighteen months.</w:t>
            </w:r>
          </w:p>
        </w:tc>
      </w:tr>
      <w:tr>
        <w:trPr>
          <w:trHeight w:val="98"/>
        </w:trPr>
        <w:tc>
          <w:tcPr>
            <w:tcW w:w="2720" w:type="dxa"/>
            <w:vAlign w:val="bottom"/>
            <w:tcBorders>
              <w:left w:val="single" w:sz="8" w:color="0C2E82"/>
              <w:bottom w:val="single" w:sz="8" w:color="0C2E82"/>
              <w:right w:val="single" w:sz="8" w:color="0C2E82"/>
            </w:tcBorders>
          </w:tcPr>
          <w:p>
            <w:pPr>
              <w:spacing w:after="0"/>
              <w:rPr>
                <w:sz w:val="8"/>
                <w:szCs w:val="8"/>
                <w:color w:val="auto"/>
              </w:rPr>
            </w:pPr>
          </w:p>
        </w:tc>
        <w:tc>
          <w:tcPr>
            <w:tcW w:w="8540" w:type="dxa"/>
            <w:vAlign w:val="bottom"/>
            <w:tcBorders>
              <w:bottom w:val="single" w:sz="8" w:color="0C2E82"/>
              <w:right w:val="single" w:sz="8" w:color="0C2E82"/>
            </w:tcBorders>
          </w:tcPr>
          <w:p>
            <w:pPr>
              <w:spacing w:after="0"/>
              <w:rPr>
                <w:sz w:val="8"/>
                <w:szCs w:val="8"/>
                <w:color w:val="auto"/>
              </w:rPr>
            </w:pPr>
          </w:p>
        </w:tc>
      </w:tr>
      <w:tr>
        <w:trPr>
          <w:trHeight w:val="20"/>
        </w:trPr>
        <w:tc>
          <w:tcPr>
            <w:tcW w:w="2720" w:type="dxa"/>
            <w:vAlign w:val="bottom"/>
            <w:tcBorders>
              <w:left w:val="single" w:sz="8" w:color="0C2E82"/>
              <w:bottom w:val="single" w:sz="8" w:color="0C2E82"/>
            </w:tcBorders>
          </w:tcPr>
          <w:p>
            <w:pPr>
              <w:spacing w:after="0" w:line="20" w:lineRule="exact"/>
              <w:rPr>
                <w:sz w:val="1"/>
                <w:szCs w:val="1"/>
                <w:color w:val="auto"/>
              </w:rPr>
            </w:pPr>
          </w:p>
        </w:tc>
        <w:tc>
          <w:tcPr>
            <w:tcW w:w="8540" w:type="dxa"/>
            <w:vAlign w:val="bottom"/>
            <w:tcBorders>
              <w:bottom w:val="single" w:sz="8" w:color="0C2E82"/>
              <w:right w:val="single" w:sz="8" w:color="0C2E82"/>
            </w:tcBorders>
          </w:tcPr>
          <w:p>
            <w:pPr>
              <w:spacing w:after="0" w:line="20" w:lineRule="exact"/>
              <w:rPr>
                <w:sz w:val="1"/>
                <w:szCs w:val="1"/>
                <w:color w:val="auto"/>
              </w:rPr>
            </w:pPr>
          </w:p>
        </w:tc>
      </w:tr>
      <w:tr>
        <w:trPr>
          <w:trHeight w:val="229"/>
        </w:trPr>
        <w:tc>
          <w:tcPr>
            <w:tcW w:w="2720" w:type="dxa"/>
            <w:vAlign w:val="bottom"/>
            <w:tcBorders>
              <w:left w:val="single" w:sz="8" w:color="0C2E82"/>
              <w:right w:val="single" w:sz="8" w:color="0C2E82"/>
            </w:tcBorders>
          </w:tcPr>
          <w:p>
            <w:pPr>
              <w:ind w:left="60"/>
              <w:spacing w:after="0" w:line="229" w:lineRule="exact"/>
              <w:rPr>
                <w:sz w:val="20"/>
                <w:szCs w:val="20"/>
                <w:color w:val="auto"/>
              </w:rPr>
            </w:pPr>
            <w:r>
              <w:rPr>
                <w:rFonts w:ascii="Arial" w:cs="Arial" w:eastAsia="Arial" w:hAnsi="Arial"/>
                <w:sz w:val="22"/>
                <w:szCs w:val="22"/>
                <w:color w:val="auto"/>
              </w:rPr>
              <w:t>Miscellaneous Relocation</w:t>
            </w:r>
          </w:p>
        </w:tc>
        <w:tc>
          <w:tcPr>
            <w:tcW w:w="8540" w:type="dxa"/>
            <w:vAlign w:val="bottom"/>
            <w:tcBorders>
              <w:right w:val="single" w:sz="8" w:color="0C2E82"/>
            </w:tcBorders>
          </w:tcPr>
          <w:p>
            <w:pPr>
              <w:ind w:left="20"/>
              <w:spacing w:after="0" w:line="229" w:lineRule="exact"/>
              <w:rPr>
                <w:sz w:val="20"/>
                <w:szCs w:val="20"/>
                <w:color w:val="auto"/>
              </w:rPr>
            </w:pPr>
            <w:r>
              <w:rPr>
                <w:rFonts w:ascii="Arial" w:cs="Arial" w:eastAsia="Arial" w:hAnsi="Arial"/>
                <w:sz w:val="22"/>
                <w:szCs w:val="22"/>
                <w:color w:val="auto"/>
              </w:rPr>
              <w:t>One month’s base salary up to $20,000, less taxes.</w:t>
            </w:r>
          </w:p>
        </w:tc>
      </w:tr>
      <w:tr>
        <w:trPr>
          <w:trHeight w:val="275"/>
        </w:trPr>
        <w:tc>
          <w:tcPr>
            <w:tcW w:w="2720" w:type="dxa"/>
            <w:vAlign w:val="bottom"/>
            <w:tcBorders>
              <w:left w:val="single" w:sz="8" w:color="0C2E82"/>
              <w:right w:val="single" w:sz="8" w:color="0C2E82"/>
            </w:tcBorders>
          </w:tcPr>
          <w:p>
            <w:pPr>
              <w:ind w:left="60"/>
              <w:spacing w:after="0"/>
              <w:rPr>
                <w:sz w:val="20"/>
                <w:szCs w:val="20"/>
                <w:color w:val="auto"/>
              </w:rPr>
            </w:pPr>
            <w:r>
              <w:rPr>
                <w:rFonts w:ascii="Arial" w:cs="Arial" w:eastAsia="Arial" w:hAnsi="Arial"/>
                <w:sz w:val="22"/>
                <w:szCs w:val="22"/>
                <w:color w:val="auto"/>
              </w:rPr>
              <w:t>Allowance</w:t>
            </w:r>
          </w:p>
        </w:tc>
        <w:tc>
          <w:tcPr>
            <w:tcW w:w="8540" w:type="dxa"/>
            <w:vAlign w:val="bottom"/>
            <w:tcBorders>
              <w:right w:val="single" w:sz="8" w:color="0C2E82"/>
            </w:tcBorders>
          </w:tcPr>
          <w:p>
            <w:pPr>
              <w:spacing w:after="0"/>
              <w:rPr>
                <w:sz w:val="23"/>
                <w:szCs w:val="23"/>
                <w:color w:val="auto"/>
              </w:rPr>
            </w:pPr>
          </w:p>
        </w:tc>
      </w:tr>
      <w:tr>
        <w:trPr>
          <w:trHeight w:val="98"/>
        </w:trPr>
        <w:tc>
          <w:tcPr>
            <w:tcW w:w="2720" w:type="dxa"/>
            <w:vAlign w:val="bottom"/>
            <w:tcBorders>
              <w:left w:val="single" w:sz="8" w:color="0C2E82"/>
              <w:bottom w:val="single" w:sz="8" w:color="0C2E82"/>
              <w:right w:val="single" w:sz="8" w:color="0C2E82"/>
            </w:tcBorders>
          </w:tcPr>
          <w:p>
            <w:pPr>
              <w:spacing w:after="0"/>
              <w:rPr>
                <w:sz w:val="8"/>
                <w:szCs w:val="8"/>
                <w:color w:val="auto"/>
              </w:rPr>
            </w:pPr>
          </w:p>
        </w:tc>
        <w:tc>
          <w:tcPr>
            <w:tcW w:w="8540" w:type="dxa"/>
            <w:vAlign w:val="bottom"/>
            <w:tcBorders>
              <w:bottom w:val="single" w:sz="8" w:color="0C2E82"/>
              <w:right w:val="single" w:sz="8" w:color="0C2E82"/>
            </w:tcBorders>
          </w:tcPr>
          <w:p>
            <w:pPr>
              <w:spacing w:after="0"/>
              <w:rPr>
                <w:sz w:val="8"/>
                <w:szCs w:val="8"/>
                <w:color w:val="auto"/>
              </w:rPr>
            </w:pPr>
          </w:p>
        </w:tc>
      </w:tr>
      <w:tr>
        <w:trPr>
          <w:trHeight w:val="274"/>
        </w:trPr>
        <w:tc>
          <w:tcPr>
            <w:tcW w:w="2720" w:type="dxa"/>
            <w:vAlign w:val="bottom"/>
            <w:tcBorders>
              <w:left w:val="single" w:sz="8" w:color="0C2E82"/>
              <w:right w:val="single" w:sz="8" w:color="0C2E82"/>
            </w:tcBorders>
          </w:tcPr>
          <w:p>
            <w:pPr>
              <w:ind w:left="60"/>
              <w:spacing w:after="0"/>
              <w:rPr>
                <w:sz w:val="20"/>
                <w:szCs w:val="20"/>
                <w:color w:val="auto"/>
              </w:rPr>
            </w:pPr>
            <w:r>
              <w:rPr>
                <w:rFonts w:ascii="Arial" w:cs="Arial" w:eastAsia="Arial" w:hAnsi="Arial"/>
                <w:sz w:val="22"/>
                <w:szCs w:val="22"/>
                <w:color w:val="auto"/>
              </w:rPr>
              <w:t>Home Sale Marketing</w:t>
            </w:r>
          </w:p>
        </w:tc>
        <w:tc>
          <w:tcPr>
            <w:tcW w:w="8540" w:type="dxa"/>
            <w:vAlign w:val="bottom"/>
            <w:tcBorders>
              <w:right w:val="single" w:sz="8" w:color="0C2E82"/>
            </w:tcBorders>
          </w:tcPr>
          <w:p>
            <w:pPr>
              <w:ind w:left="20"/>
              <w:spacing w:after="0"/>
              <w:rPr>
                <w:sz w:val="20"/>
                <w:szCs w:val="20"/>
                <w:color w:val="auto"/>
              </w:rPr>
            </w:pPr>
            <w:r>
              <w:rPr>
                <w:rFonts w:ascii="Arial" w:cs="Arial" w:eastAsia="Arial" w:hAnsi="Arial"/>
                <w:sz w:val="22"/>
                <w:szCs w:val="22"/>
                <w:color w:val="auto"/>
                <w:w w:val="97"/>
              </w:rPr>
              <w:t>Professional guidance in the selection of a broker and an initial listing price of your home.</w:t>
            </w:r>
          </w:p>
        </w:tc>
      </w:tr>
      <w:tr>
        <w:trPr>
          <w:trHeight w:val="98"/>
        </w:trPr>
        <w:tc>
          <w:tcPr>
            <w:tcW w:w="2720" w:type="dxa"/>
            <w:vAlign w:val="bottom"/>
            <w:tcBorders>
              <w:left w:val="single" w:sz="8" w:color="0C2E82"/>
              <w:bottom w:val="single" w:sz="8" w:color="0C2E82"/>
              <w:right w:val="single" w:sz="8" w:color="0C2E82"/>
            </w:tcBorders>
          </w:tcPr>
          <w:p>
            <w:pPr>
              <w:spacing w:after="0"/>
              <w:rPr>
                <w:sz w:val="8"/>
                <w:szCs w:val="8"/>
                <w:color w:val="auto"/>
              </w:rPr>
            </w:pPr>
          </w:p>
        </w:tc>
        <w:tc>
          <w:tcPr>
            <w:tcW w:w="8540" w:type="dxa"/>
            <w:vAlign w:val="bottom"/>
            <w:tcBorders>
              <w:bottom w:val="single" w:sz="8" w:color="0C2E82"/>
              <w:right w:val="single" w:sz="8" w:color="0C2E82"/>
            </w:tcBorders>
          </w:tcPr>
          <w:p>
            <w:pPr>
              <w:spacing w:after="0"/>
              <w:rPr>
                <w:sz w:val="8"/>
                <w:szCs w:val="8"/>
                <w:color w:val="auto"/>
              </w:rPr>
            </w:pPr>
          </w:p>
        </w:tc>
      </w:tr>
      <w:tr>
        <w:trPr>
          <w:trHeight w:val="264"/>
        </w:trPr>
        <w:tc>
          <w:tcPr>
            <w:tcW w:w="2720" w:type="dxa"/>
            <w:vAlign w:val="bottom"/>
            <w:tcBorders>
              <w:left w:val="single" w:sz="8" w:color="0C2E82"/>
              <w:right w:val="single" w:sz="8" w:color="0C2E82"/>
            </w:tcBorders>
          </w:tcPr>
          <w:p>
            <w:pPr>
              <w:ind w:left="60"/>
              <w:spacing w:after="0"/>
              <w:rPr>
                <w:sz w:val="20"/>
                <w:szCs w:val="20"/>
                <w:color w:val="auto"/>
              </w:rPr>
            </w:pPr>
            <w:r>
              <w:rPr>
                <w:rFonts w:ascii="Arial" w:cs="Arial" w:eastAsia="Arial" w:hAnsi="Arial"/>
                <w:sz w:val="22"/>
                <w:szCs w:val="22"/>
                <w:color w:val="auto"/>
              </w:rPr>
              <w:t>Home Finding Trip</w:t>
            </w:r>
          </w:p>
        </w:tc>
        <w:tc>
          <w:tcPr>
            <w:tcW w:w="8540" w:type="dxa"/>
            <w:vAlign w:val="bottom"/>
            <w:tcBorders>
              <w:right w:val="single" w:sz="8" w:color="0C2E82"/>
            </w:tcBorders>
          </w:tcPr>
          <w:p>
            <w:pPr>
              <w:ind w:left="20"/>
              <w:spacing w:after="0"/>
              <w:rPr>
                <w:sz w:val="20"/>
                <w:szCs w:val="20"/>
                <w:color w:val="auto"/>
              </w:rPr>
            </w:pPr>
            <w:r>
              <w:rPr>
                <w:rFonts w:ascii="Arial" w:cs="Arial" w:eastAsia="Arial" w:hAnsi="Arial"/>
                <w:sz w:val="22"/>
                <w:szCs w:val="22"/>
                <w:color w:val="auto"/>
                <w:w w:val="95"/>
              </w:rPr>
              <w:t>One trip up to 6 days, 6 nights; meals not to exceed $35 per adult; reasonable expenses for</w:t>
            </w:r>
          </w:p>
        </w:tc>
      </w:tr>
      <w:tr>
        <w:trPr>
          <w:trHeight w:val="275"/>
        </w:trPr>
        <w:tc>
          <w:tcPr>
            <w:tcW w:w="2720" w:type="dxa"/>
            <w:vAlign w:val="bottom"/>
            <w:tcBorders>
              <w:left w:val="single" w:sz="8" w:color="0C2E82"/>
              <w:right w:val="single" w:sz="8" w:color="0C2E82"/>
            </w:tcBorders>
          </w:tcPr>
          <w:p>
            <w:pPr>
              <w:spacing w:after="0"/>
              <w:rPr>
                <w:sz w:val="23"/>
                <w:szCs w:val="23"/>
                <w:color w:val="auto"/>
              </w:rPr>
            </w:pPr>
          </w:p>
        </w:tc>
        <w:tc>
          <w:tcPr>
            <w:tcW w:w="8540" w:type="dxa"/>
            <w:vAlign w:val="bottom"/>
            <w:tcBorders>
              <w:right w:val="single" w:sz="8" w:color="0C2E82"/>
            </w:tcBorders>
          </w:tcPr>
          <w:p>
            <w:pPr>
              <w:ind w:left="20"/>
              <w:spacing w:after="0"/>
              <w:rPr>
                <w:sz w:val="20"/>
                <w:szCs w:val="20"/>
                <w:color w:val="auto"/>
              </w:rPr>
            </w:pPr>
            <w:r>
              <w:rPr>
                <w:rFonts w:ascii="Arial" w:cs="Arial" w:eastAsia="Arial" w:hAnsi="Arial"/>
                <w:sz w:val="22"/>
                <w:szCs w:val="22"/>
                <w:color w:val="auto"/>
              </w:rPr>
              <w:t>lodging, car rental, and economy class airfare.</w:t>
            </w:r>
          </w:p>
        </w:tc>
      </w:tr>
      <w:tr>
        <w:trPr>
          <w:trHeight w:val="212"/>
        </w:trPr>
        <w:tc>
          <w:tcPr>
            <w:tcW w:w="2720" w:type="dxa"/>
            <w:vAlign w:val="bottom"/>
            <w:tcBorders>
              <w:left w:val="single" w:sz="8" w:color="0C2E82"/>
              <w:bottom w:val="single" w:sz="8" w:color="0C2E82"/>
              <w:right w:val="single" w:sz="8" w:color="0C2E82"/>
            </w:tcBorders>
          </w:tcPr>
          <w:p>
            <w:pPr>
              <w:spacing w:after="0"/>
              <w:rPr>
                <w:sz w:val="18"/>
                <w:szCs w:val="18"/>
                <w:color w:val="auto"/>
              </w:rPr>
            </w:pPr>
          </w:p>
        </w:tc>
        <w:tc>
          <w:tcPr>
            <w:tcW w:w="8540" w:type="dxa"/>
            <w:vAlign w:val="bottom"/>
            <w:tcBorders>
              <w:bottom w:val="single" w:sz="8" w:color="0C2E82"/>
              <w:right w:val="single" w:sz="8" w:color="0C2E82"/>
            </w:tcBorders>
          </w:tcPr>
          <w:p>
            <w:pPr>
              <w:spacing w:after="0"/>
              <w:rPr>
                <w:sz w:val="18"/>
                <w:szCs w:val="18"/>
                <w:color w:val="auto"/>
              </w:rPr>
            </w:pPr>
          </w:p>
        </w:tc>
      </w:tr>
      <w:tr>
        <w:trPr>
          <w:trHeight w:val="242"/>
        </w:trPr>
        <w:tc>
          <w:tcPr>
            <w:tcW w:w="2720" w:type="dxa"/>
            <w:vAlign w:val="bottom"/>
            <w:tcBorders>
              <w:left w:val="single" w:sz="8" w:color="0C2E82"/>
              <w:right w:val="single" w:sz="8" w:color="0C2E82"/>
            </w:tcBorders>
          </w:tcPr>
          <w:p>
            <w:pPr>
              <w:ind w:left="60"/>
              <w:spacing w:after="0" w:line="242" w:lineRule="exact"/>
              <w:rPr>
                <w:sz w:val="20"/>
                <w:szCs w:val="20"/>
                <w:color w:val="auto"/>
              </w:rPr>
            </w:pPr>
            <w:r>
              <w:rPr>
                <w:rFonts w:ascii="Arial" w:cs="Arial" w:eastAsia="Arial" w:hAnsi="Arial"/>
                <w:sz w:val="22"/>
                <w:szCs w:val="22"/>
                <w:color w:val="auto"/>
                <w:w w:val="88"/>
              </w:rPr>
              <w:t>Reimbursement of Home Sale</w:t>
            </w:r>
          </w:p>
        </w:tc>
        <w:tc>
          <w:tcPr>
            <w:tcW w:w="8540" w:type="dxa"/>
            <w:vAlign w:val="bottom"/>
            <w:tcBorders>
              <w:right w:val="single" w:sz="8" w:color="0C2E82"/>
            </w:tcBorders>
          </w:tcPr>
          <w:p>
            <w:pPr>
              <w:ind w:left="20"/>
              <w:spacing w:after="0" w:line="242" w:lineRule="exact"/>
              <w:rPr>
                <w:sz w:val="20"/>
                <w:szCs w:val="20"/>
                <w:color w:val="auto"/>
              </w:rPr>
            </w:pPr>
            <w:r>
              <w:rPr>
                <w:rFonts w:ascii="Arial" w:cs="Arial" w:eastAsia="Arial" w:hAnsi="Arial"/>
                <w:sz w:val="22"/>
                <w:szCs w:val="22"/>
                <w:color w:val="auto"/>
                <w:w w:val="93"/>
              </w:rPr>
              <w:t>Customary closing costs covered for primary residence; real estate commission not to exceed</w:t>
            </w:r>
          </w:p>
        </w:tc>
      </w:tr>
      <w:tr>
        <w:trPr>
          <w:trHeight w:val="275"/>
        </w:trPr>
        <w:tc>
          <w:tcPr>
            <w:tcW w:w="2720" w:type="dxa"/>
            <w:vAlign w:val="bottom"/>
            <w:tcBorders>
              <w:left w:val="single" w:sz="8" w:color="0C2E82"/>
              <w:right w:val="single" w:sz="8" w:color="0C2E82"/>
            </w:tcBorders>
          </w:tcPr>
          <w:p>
            <w:pPr>
              <w:ind w:left="60"/>
              <w:spacing w:after="0"/>
              <w:rPr>
                <w:sz w:val="20"/>
                <w:szCs w:val="20"/>
                <w:color w:val="auto"/>
              </w:rPr>
            </w:pPr>
            <w:r>
              <w:rPr>
                <w:rFonts w:ascii="Arial" w:cs="Arial" w:eastAsia="Arial" w:hAnsi="Arial"/>
                <w:sz w:val="22"/>
                <w:szCs w:val="22"/>
                <w:color w:val="auto"/>
              </w:rPr>
              <w:t>Closing Costs</w:t>
            </w:r>
          </w:p>
        </w:tc>
        <w:tc>
          <w:tcPr>
            <w:tcW w:w="8540" w:type="dxa"/>
            <w:vAlign w:val="bottom"/>
            <w:tcBorders>
              <w:right w:val="single" w:sz="8" w:color="0C2E82"/>
            </w:tcBorders>
          </w:tcPr>
          <w:p>
            <w:pPr>
              <w:ind w:left="20"/>
              <w:spacing w:after="0"/>
              <w:rPr>
                <w:sz w:val="20"/>
                <w:szCs w:val="20"/>
                <w:color w:val="auto"/>
              </w:rPr>
            </w:pPr>
            <w:r>
              <w:rPr>
                <w:rFonts w:ascii="Arial" w:cs="Arial" w:eastAsia="Arial" w:hAnsi="Arial"/>
                <w:sz w:val="22"/>
                <w:szCs w:val="22"/>
                <w:color w:val="auto"/>
              </w:rPr>
              <w:t>6%; home should be listed within 105% of the BMAs’ suggested list price.</w:t>
            </w:r>
          </w:p>
        </w:tc>
      </w:tr>
      <w:tr>
        <w:trPr>
          <w:trHeight w:val="98"/>
        </w:trPr>
        <w:tc>
          <w:tcPr>
            <w:tcW w:w="2720" w:type="dxa"/>
            <w:vAlign w:val="bottom"/>
            <w:tcBorders>
              <w:left w:val="single" w:sz="8" w:color="0C2E82"/>
              <w:bottom w:val="single" w:sz="8" w:color="0C2E82"/>
              <w:right w:val="single" w:sz="8" w:color="0C2E82"/>
            </w:tcBorders>
          </w:tcPr>
          <w:p>
            <w:pPr>
              <w:spacing w:after="0"/>
              <w:rPr>
                <w:sz w:val="8"/>
                <w:szCs w:val="8"/>
                <w:color w:val="auto"/>
              </w:rPr>
            </w:pPr>
          </w:p>
        </w:tc>
        <w:tc>
          <w:tcPr>
            <w:tcW w:w="8540" w:type="dxa"/>
            <w:vAlign w:val="bottom"/>
            <w:tcBorders>
              <w:bottom w:val="single" w:sz="8" w:color="0C2E82"/>
              <w:right w:val="single" w:sz="8" w:color="0C2E82"/>
            </w:tcBorders>
          </w:tcPr>
          <w:p>
            <w:pPr>
              <w:spacing w:after="0"/>
              <w:rPr>
                <w:sz w:val="8"/>
                <w:szCs w:val="8"/>
                <w:color w:val="auto"/>
              </w:rPr>
            </w:pPr>
          </w:p>
        </w:tc>
      </w:tr>
      <w:tr>
        <w:trPr>
          <w:trHeight w:val="274"/>
        </w:trPr>
        <w:tc>
          <w:tcPr>
            <w:tcW w:w="2720" w:type="dxa"/>
            <w:vAlign w:val="bottom"/>
            <w:tcBorders>
              <w:left w:val="single" w:sz="8" w:color="0C2E82"/>
              <w:right w:val="single" w:sz="8" w:color="0C2E82"/>
            </w:tcBorders>
          </w:tcPr>
          <w:p>
            <w:pPr>
              <w:ind w:left="60"/>
              <w:spacing w:after="0"/>
              <w:rPr>
                <w:sz w:val="20"/>
                <w:szCs w:val="20"/>
                <w:color w:val="auto"/>
              </w:rPr>
            </w:pPr>
            <w:r>
              <w:rPr>
                <w:rFonts w:ascii="Arial" w:cs="Arial" w:eastAsia="Arial" w:hAnsi="Arial"/>
                <w:sz w:val="22"/>
                <w:szCs w:val="22"/>
                <w:color w:val="auto"/>
              </w:rPr>
              <w:t>Mortgage Assistance</w:t>
            </w:r>
          </w:p>
        </w:tc>
        <w:tc>
          <w:tcPr>
            <w:tcW w:w="8540" w:type="dxa"/>
            <w:vAlign w:val="bottom"/>
            <w:tcBorders>
              <w:right w:val="single" w:sz="8" w:color="0C2E82"/>
            </w:tcBorders>
          </w:tcPr>
          <w:p>
            <w:pPr>
              <w:ind w:left="20"/>
              <w:spacing w:after="0"/>
              <w:rPr>
                <w:sz w:val="20"/>
                <w:szCs w:val="20"/>
                <w:color w:val="auto"/>
              </w:rPr>
            </w:pPr>
            <w:r>
              <w:rPr>
                <w:rFonts w:ascii="Arial" w:cs="Arial" w:eastAsia="Arial" w:hAnsi="Arial"/>
                <w:sz w:val="22"/>
                <w:szCs w:val="22"/>
                <w:color w:val="auto"/>
              </w:rPr>
              <w:t>Altair provides counseling and referral to lenders that offer special programs.</w:t>
            </w:r>
          </w:p>
        </w:tc>
      </w:tr>
      <w:tr>
        <w:trPr>
          <w:trHeight w:val="98"/>
        </w:trPr>
        <w:tc>
          <w:tcPr>
            <w:tcW w:w="2720" w:type="dxa"/>
            <w:vAlign w:val="bottom"/>
            <w:tcBorders>
              <w:left w:val="single" w:sz="8" w:color="0C2E82"/>
              <w:bottom w:val="single" w:sz="8" w:color="0C2E82"/>
              <w:right w:val="single" w:sz="8" w:color="0C2E82"/>
            </w:tcBorders>
          </w:tcPr>
          <w:p>
            <w:pPr>
              <w:spacing w:after="0"/>
              <w:rPr>
                <w:sz w:val="8"/>
                <w:szCs w:val="8"/>
                <w:color w:val="auto"/>
              </w:rPr>
            </w:pPr>
          </w:p>
        </w:tc>
        <w:tc>
          <w:tcPr>
            <w:tcW w:w="8540" w:type="dxa"/>
            <w:vAlign w:val="bottom"/>
            <w:tcBorders>
              <w:bottom w:val="single" w:sz="8" w:color="0C2E82"/>
              <w:right w:val="single" w:sz="8" w:color="0C2E82"/>
            </w:tcBorders>
          </w:tcPr>
          <w:p>
            <w:pPr>
              <w:spacing w:after="0"/>
              <w:rPr>
                <w:sz w:val="8"/>
                <w:szCs w:val="8"/>
                <w:color w:val="auto"/>
              </w:rPr>
            </w:pPr>
          </w:p>
        </w:tc>
      </w:tr>
      <w:tr>
        <w:trPr>
          <w:trHeight w:val="242"/>
        </w:trPr>
        <w:tc>
          <w:tcPr>
            <w:tcW w:w="2720" w:type="dxa"/>
            <w:vAlign w:val="bottom"/>
            <w:tcBorders>
              <w:left w:val="single" w:sz="8" w:color="0C2E82"/>
              <w:right w:val="single" w:sz="8" w:color="0C2E82"/>
            </w:tcBorders>
          </w:tcPr>
          <w:p>
            <w:pPr>
              <w:ind w:left="60"/>
              <w:spacing w:after="0" w:line="242" w:lineRule="exact"/>
              <w:rPr>
                <w:sz w:val="20"/>
                <w:szCs w:val="20"/>
                <w:color w:val="auto"/>
              </w:rPr>
            </w:pPr>
            <w:r>
              <w:rPr>
                <w:rFonts w:ascii="Arial" w:cs="Arial" w:eastAsia="Arial" w:hAnsi="Arial"/>
                <w:sz w:val="22"/>
                <w:szCs w:val="22"/>
                <w:color w:val="auto"/>
              </w:rPr>
              <w:t>Home Purchase Closing</w:t>
            </w:r>
          </w:p>
        </w:tc>
        <w:tc>
          <w:tcPr>
            <w:tcW w:w="8540" w:type="dxa"/>
            <w:vAlign w:val="bottom"/>
            <w:tcBorders>
              <w:right w:val="single" w:sz="8" w:color="0C2E82"/>
            </w:tcBorders>
          </w:tcPr>
          <w:p>
            <w:pPr>
              <w:ind w:left="20"/>
              <w:spacing w:after="0" w:line="242" w:lineRule="exact"/>
              <w:rPr>
                <w:sz w:val="20"/>
                <w:szCs w:val="20"/>
                <w:color w:val="auto"/>
              </w:rPr>
            </w:pPr>
            <w:r>
              <w:rPr>
                <w:rFonts w:ascii="Arial" w:cs="Arial" w:eastAsia="Arial" w:hAnsi="Arial"/>
                <w:sz w:val="22"/>
                <w:szCs w:val="22"/>
                <w:color w:val="auto"/>
              </w:rPr>
              <w:t>Reasonable and customary closing costs reimbursed.</w:t>
            </w:r>
          </w:p>
        </w:tc>
      </w:tr>
      <w:tr>
        <w:trPr>
          <w:trHeight w:val="275"/>
        </w:trPr>
        <w:tc>
          <w:tcPr>
            <w:tcW w:w="2720" w:type="dxa"/>
            <w:vAlign w:val="bottom"/>
            <w:tcBorders>
              <w:left w:val="single" w:sz="8" w:color="0C2E82"/>
              <w:right w:val="single" w:sz="8" w:color="0C2E82"/>
            </w:tcBorders>
          </w:tcPr>
          <w:p>
            <w:pPr>
              <w:ind w:left="60"/>
              <w:spacing w:after="0"/>
              <w:rPr>
                <w:sz w:val="20"/>
                <w:szCs w:val="20"/>
                <w:color w:val="auto"/>
              </w:rPr>
            </w:pPr>
            <w:r>
              <w:rPr>
                <w:rFonts w:ascii="Arial" w:cs="Arial" w:eastAsia="Arial" w:hAnsi="Arial"/>
                <w:sz w:val="22"/>
                <w:szCs w:val="22"/>
                <w:color w:val="auto"/>
              </w:rPr>
              <w:t>Costs</w:t>
            </w:r>
          </w:p>
        </w:tc>
        <w:tc>
          <w:tcPr>
            <w:tcW w:w="8540" w:type="dxa"/>
            <w:vAlign w:val="bottom"/>
            <w:tcBorders>
              <w:right w:val="single" w:sz="8" w:color="0C2E82"/>
            </w:tcBorders>
          </w:tcPr>
          <w:p>
            <w:pPr>
              <w:spacing w:after="0"/>
              <w:rPr>
                <w:sz w:val="23"/>
                <w:szCs w:val="23"/>
                <w:color w:val="auto"/>
              </w:rPr>
            </w:pPr>
          </w:p>
        </w:tc>
      </w:tr>
      <w:tr>
        <w:trPr>
          <w:trHeight w:val="98"/>
        </w:trPr>
        <w:tc>
          <w:tcPr>
            <w:tcW w:w="2720" w:type="dxa"/>
            <w:vAlign w:val="bottom"/>
            <w:tcBorders>
              <w:left w:val="single" w:sz="8" w:color="0C2E82"/>
              <w:bottom w:val="single" w:sz="8" w:color="0C2E82"/>
              <w:right w:val="single" w:sz="8" w:color="0C2E82"/>
            </w:tcBorders>
          </w:tcPr>
          <w:p>
            <w:pPr>
              <w:spacing w:after="0"/>
              <w:rPr>
                <w:sz w:val="8"/>
                <w:szCs w:val="8"/>
                <w:color w:val="auto"/>
              </w:rPr>
            </w:pPr>
          </w:p>
        </w:tc>
        <w:tc>
          <w:tcPr>
            <w:tcW w:w="8540" w:type="dxa"/>
            <w:vAlign w:val="bottom"/>
            <w:tcBorders>
              <w:bottom w:val="single" w:sz="8" w:color="0C2E82"/>
              <w:right w:val="single" w:sz="8" w:color="0C2E82"/>
            </w:tcBorders>
          </w:tcPr>
          <w:p>
            <w:pPr>
              <w:spacing w:after="0"/>
              <w:rPr>
                <w:sz w:val="8"/>
                <w:szCs w:val="8"/>
                <w:color w:val="auto"/>
              </w:rPr>
            </w:pPr>
          </w:p>
        </w:tc>
      </w:tr>
      <w:tr>
        <w:trPr>
          <w:trHeight w:val="242"/>
        </w:trPr>
        <w:tc>
          <w:tcPr>
            <w:tcW w:w="2720" w:type="dxa"/>
            <w:vAlign w:val="bottom"/>
            <w:tcBorders>
              <w:left w:val="single" w:sz="8" w:color="0C2E82"/>
              <w:right w:val="single" w:sz="8" w:color="0C2E82"/>
            </w:tcBorders>
          </w:tcPr>
          <w:p>
            <w:pPr>
              <w:ind w:left="60"/>
              <w:spacing w:after="0" w:line="242" w:lineRule="exact"/>
              <w:rPr>
                <w:sz w:val="20"/>
                <w:szCs w:val="20"/>
                <w:color w:val="auto"/>
              </w:rPr>
            </w:pPr>
            <w:r>
              <w:rPr>
                <w:rFonts w:ascii="Arial" w:cs="Arial" w:eastAsia="Arial" w:hAnsi="Arial"/>
                <w:sz w:val="22"/>
                <w:szCs w:val="22"/>
                <w:color w:val="auto"/>
              </w:rPr>
              <w:t>Household Goods Moving</w:t>
            </w:r>
          </w:p>
        </w:tc>
        <w:tc>
          <w:tcPr>
            <w:tcW w:w="8540" w:type="dxa"/>
            <w:vAlign w:val="bottom"/>
            <w:tcBorders>
              <w:right w:val="single" w:sz="8" w:color="0C2E82"/>
            </w:tcBorders>
          </w:tcPr>
          <w:p>
            <w:pPr>
              <w:ind w:left="20"/>
              <w:spacing w:after="0" w:line="242" w:lineRule="exact"/>
              <w:rPr>
                <w:sz w:val="20"/>
                <w:szCs w:val="20"/>
                <w:color w:val="auto"/>
              </w:rPr>
            </w:pPr>
            <w:r>
              <w:rPr>
                <w:rFonts w:ascii="Arial" w:cs="Arial" w:eastAsia="Arial" w:hAnsi="Arial"/>
                <w:sz w:val="22"/>
                <w:szCs w:val="22"/>
                <w:color w:val="auto"/>
                <w:w w:val="90"/>
              </w:rPr>
              <w:t>Packing, transportation, unpacking and insurance for up to 25,000 lbs.; 2 cars shipped; 30 days’</w:t>
            </w:r>
          </w:p>
        </w:tc>
      </w:tr>
      <w:tr>
        <w:trPr>
          <w:trHeight w:val="275"/>
        </w:trPr>
        <w:tc>
          <w:tcPr>
            <w:tcW w:w="2720" w:type="dxa"/>
            <w:vAlign w:val="bottom"/>
            <w:tcBorders>
              <w:left w:val="single" w:sz="8" w:color="0C2E82"/>
              <w:right w:val="single" w:sz="8" w:color="0C2E82"/>
            </w:tcBorders>
          </w:tcPr>
          <w:p>
            <w:pPr>
              <w:spacing w:after="0"/>
              <w:rPr>
                <w:sz w:val="23"/>
                <w:szCs w:val="23"/>
                <w:color w:val="auto"/>
              </w:rPr>
            </w:pPr>
          </w:p>
        </w:tc>
        <w:tc>
          <w:tcPr>
            <w:tcW w:w="8540" w:type="dxa"/>
            <w:vAlign w:val="bottom"/>
            <w:tcBorders>
              <w:right w:val="single" w:sz="8" w:color="0C2E82"/>
            </w:tcBorders>
          </w:tcPr>
          <w:p>
            <w:pPr>
              <w:ind w:left="20"/>
              <w:spacing w:after="0"/>
              <w:rPr>
                <w:sz w:val="20"/>
                <w:szCs w:val="20"/>
                <w:color w:val="auto"/>
              </w:rPr>
            </w:pPr>
            <w:r>
              <w:rPr>
                <w:rFonts w:ascii="Arial" w:cs="Arial" w:eastAsia="Arial" w:hAnsi="Arial"/>
                <w:sz w:val="22"/>
                <w:szCs w:val="22"/>
                <w:color w:val="auto"/>
              </w:rPr>
              <w:t>storage.</w:t>
            </w:r>
          </w:p>
        </w:tc>
      </w:tr>
      <w:tr>
        <w:trPr>
          <w:trHeight w:val="98"/>
        </w:trPr>
        <w:tc>
          <w:tcPr>
            <w:tcW w:w="2720" w:type="dxa"/>
            <w:vAlign w:val="bottom"/>
            <w:tcBorders>
              <w:left w:val="single" w:sz="8" w:color="0C2E82"/>
              <w:bottom w:val="single" w:sz="8" w:color="0C2E82"/>
              <w:right w:val="single" w:sz="8" w:color="0C2E82"/>
            </w:tcBorders>
          </w:tcPr>
          <w:p>
            <w:pPr>
              <w:spacing w:after="0"/>
              <w:rPr>
                <w:sz w:val="8"/>
                <w:szCs w:val="8"/>
                <w:color w:val="auto"/>
              </w:rPr>
            </w:pPr>
          </w:p>
        </w:tc>
        <w:tc>
          <w:tcPr>
            <w:tcW w:w="8540" w:type="dxa"/>
            <w:vAlign w:val="bottom"/>
            <w:tcBorders>
              <w:bottom w:val="single" w:sz="8" w:color="0C2E82"/>
              <w:right w:val="single" w:sz="8" w:color="0C2E82"/>
            </w:tcBorders>
          </w:tcPr>
          <w:p>
            <w:pPr>
              <w:spacing w:after="0"/>
              <w:rPr>
                <w:sz w:val="8"/>
                <w:szCs w:val="8"/>
                <w:color w:val="auto"/>
              </w:rPr>
            </w:pPr>
          </w:p>
        </w:tc>
      </w:tr>
      <w:tr>
        <w:trPr>
          <w:trHeight w:val="260"/>
        </w:trPr>
        <w:tc>
          <w:tcPr>
            <w:tcW w:w="2720" w:type="dxa"/>
            <w:vAlign w:val="bottom"/>
            <w:tcBorders>
              <w:left w:val="single" w:sz="8" w:color="0C2E82"/>
              <w:right w:val="single" w:sz="8" w:color="0C2E82"/>
            </w:tcBorders>
          </w:tcPr>
          <w:p>
            <w:pPr>
              <w:ind w:left="60"/>
              <w:spacing w:after="0"/>
              <w:rPr>
                <w:sz w:val="20"/>
                <w:szCs w:val="20"/>
                <w:color w:val="auto"/>
              </w:rPr>
            </w:pPr>
            <w:r>
              <w:rPr>
                <w:rFonts w:ascii="Arial" w:cs="Arial" w:eastAsia="Arial" w:hAnsi="Arial"/>
                <w:sz w:val="22"/>
                <w:szCs w:val="22"/>
                <w:color w:val="auto"/>
              </w:rPr>
              <w:t>Final Trip</w:t>
            </w:r>
          </w:p>
        </w:tc>
        <w:tc>
          <w:tcPr>
            <w:tcW w:w="8540" w:type="dxa"/>
            <w:vAlign w:val="bottom"/>
            <w:tcBorders>
              <w:right w:val="single" w:sz="8" w:color="0C2E82"/>
            </w:tcBorders>
          </w:tcPr>
          <w:p>
            <w:pPr>
              <w:ind w:left="20"/>
              <w:spacing w:after="0"/>
              <w:rPr>
                <w:sz w:val="20"/>
                <w:szCs w:val="20"/>
                <w:color w:val="auto"/>
              </w:rPr>
            </w:pPr>
            <w:r>
              <w:rPr>
                <w:rFonts w:ascii="Arial" w:cs="Arial" w:eastAsia="Arial" w:hAnsi="Arial"/>
                <w:sz w:val="22"/>
                <w:szCs w:val="22"/>
                <w:color w:val="auto"/>
                <w:w w:val="88"/>
              </w:rPr>
              <w:t>Reasonable expenses for employee and eligible dependents; one-way economy airfare or mileage</w:t>
            </w:r>
          </w:p>
        </w:tc>
      </w:tr>
      <w:tr>
        <w:trPr>
          <w:trHeight w:val="225"/>
        </w:trPr>
        <w:tc>
          <w:tcPr>
            <w:tcW w:w="2720" w:type="dxa"/>
            <w:vAlign w:val="bottom"/>
            <w:tcBorders>
              <w:left w:val="single" w:sz="8" w:color="0C2E82"/>
              <w:right w:val="single" w:sz="8" w:color="0C2E82"/>
            </w:tcBorders>
          </w:tcPr>
          <w:p>
            <w:pPr>
              <w:spacing w:after="0"/>
              <w:rPr>
                <w:sz w:val="19"/>
                <w:szCs w:val="19"/>
                <w:color w:val="auto"/>
              </w:rPr>
            </w:pPr>
          </w:p>
        </w:tc>
        <w:tc>
          <w:tcPr>
            <w:tcW w:w="8540" w:type="dxa"/>
            <w:vAlign w:val="bottom"/>
            <w:tcBorders>
              <w:right w:val="single" w:sz="8" w:color="0C2E82"/>
            </w:tcBorders>
          </w:tcPr>
          <w:p>
            <w:pPr>
              <w:ind w:left="20"/>
              <w:spacing w:after="0" w:line="225" w:lineRule="exact"/>
              <w:rPr>
                <w:sz w:val="20"/>
                <w:szCs w:val="20"/>
                <w:color w:val="auto"/>
              </w:rPr>
            </w:pPr>
            <w:r>
              <w:rPr>
                <w:rFonts w:ascii="Arial" w:cs="Arial" w:eastAsia="Arial" w:hAnsi="Arial"/>
                <w:sz w:val="22"/>
                <w:szCs w:val="22"/>
                <w:color w:val="auto"/>
                <w:w w:val="89"/>
              </w:rPr>
              <w:t>reimbursed at the current IRS rate; lodging; meals up to $35 per day per adult and $17.50 per day</w:t>
            </w:r>
          </w:p>
        </w:tc>
      </w:tr>
      <w:tr>
        <w:trPr>
          <w:trHeight w:val="243"/>
        </w:trPr>
        <w:tc>
          <w:tcPr>
            <w:tcW w:w="2720" w:type="dxa"/>
            <w:vAlign w:val="bottom"/>
            <w:tcBorders>
              <w:left w:val="single" w:sz="8" w:color="0C2E82"/>
              <w:right w:val="single" w:sz="8" w:color="0C2E82"/>
            </w:tcBorders>
          </w:tcPr>
          <w:p>
            <w:pPr>
              <w:spacing w:after="0"/>
              <w:rPr>
                <w:sz w:val="21"/>
                <w:szCs w:val="21"/>
                <w:color w:val="auto"/>
              </w:rPr>
            </w:pPr>
          </w:p>
        </w:tc>
        <w:tc>
          <w:tcPr>
            <w:tcW w:w="8540" w:type="dxa"/>
            <w:vAlign w:val="bottom"/>
            <w:tcBorders>
              <w:right w:val="single" w:sz="8" w:color="0C2E82"/>
            </w:tcBorders>
          </w:tcPr>
          <w:p>
            <w:pPr>
              <w:ind w:left="20"/>
              <w:spacing w:after="0" w:line="243" w:lineRule="exact"/>
              <w:rPr>
                <w:sz w:val="20"/>
                <w:szCs w:val="20"/>
                <w:color w:val="auto"/>
              </w:rPr>
            </w:pPr>
            <w:r>
              <w:rPr>
                <w:rFonts w:ascii="Arial" w:cs="Arial" w:eastAsia="Arial" w:hAnsi="Arial"/>
                <w:sz w:val="22"/>
                <w:szCs w:val="22"/>
                <w:color w:val="auto"/>
                <w:w w:val="91"/>
              </w:rPr>
              <w:t>per child) en route; must drive at least 350 miles per day; transportation (airfare only) for up to 2</w:t>
            </w:r>
          </w:p>
        </w:tc>
      </w:tr>
      <w:tr>
        <w:trPr>
          <w:trHeight w:val="275"/>
        </w:trPr>
        <w:tc>
          <w:tcPr>
            <w:tcW w:w="2720" w:type="dxa"/>
            <w:vAlign w:val="bottom"/>
            <w:tcBorders>
              <w:left w:val="single" w:sz="8" w:color="0C2E82"/>
              <w:right w:val="single" w:sz="8" w:color="0C2E82"/>
            </w:tcBorders>
          </w:tcPr>
          <w:p>
            <w:pPr>
              <w:spacing w:after="0"/>
              <w:rPr>
                <w:sz w:val="23"/>
                <w:szCs w:val="23"/>
                <w:color w:val="auto"/>
              </w:rPr>
            </w:pPr>
          </w:p>
        </w:tc>
        <w:tc>
          <w:tcPr>
            <w:tcW w:w="8540" w:type="dxa"/>
            <w:vAlign w:val="bottom"/>
            <w:tcBorders>
              <w:right w:val="single" w:sz="8" w:color="0C2E82"/>
            </w:tcBorders>
          </w:tcPr>
          <w:p>
            <w:pPr>
              <w:ind w:left="20"/>
              <w:spacing w:after="0"/>
              <w:rPr>
                <w:sz w:val="20"/>
                <w:szCs w:val="20"/>
                <w:color w:val="auto"/>
              </w:rPr>
            </w:pPr>
            <w:r>
              <w:rPr>
                <w:rFonts w:ascii="Arial" w:cs="Arial" w:eastAsia="Arial" w:hAnsi="Arial"/>
                <w:sz w:val="22"/>
                <w:szCs w:val="22"/>
                <w:color w:val="auto"/>
              </w:rPr>
              <w:t>pets if traveling on same flight as family.</w:t>
            </w:r>
          </w:p>
        </w:tc>
      </w:tr>
      <w:tr>
        <w:trPr>
          <w:trHeight w:val="98"/>
        </w:trPr>
        <w:tc>
          <w:tcPr>
            <w:tcW w:w="2720" w:type="dxa"/>
            <w:vAlign w:val="bottom"/>
            <w:tcBorders>
              <w:left w:val="single" w:sz="8" w:color="0C2E82"/>
              <w:bottom w:val="single" w:sz="8" w:color="0C2E82"/>
              <w:right w:val="single" w:sz="8" w:color="0C2E82"/>
            </w:tcBorders>
          </w:tcPr>
          <w:p>
            <w:pPr>
              <w:spacing w:after="0"/>
              <w:rPr>
                <w:sz w:val="8"/>
                <w:szCs w:val="8"/>
                <w:color w:val="auto"/>
              </w:rPr>
            </w:pPr>
          </w:p>
        </w:tc>
        <w:tc>
          <w:tcPr>
            <w:tcW w:w="8540" w:type="dxa"/>
            <w:vAlign w:val="bottom"/>
            <w:tcBorders>
              <w:bottom w:val="single" w:sz="8" w:color="0C2E82"/>
              <w:right w:val="single" w:sz="8" w:color="0C2E82"/>
            </w:tcBorders>
          </w:tcPr>
          <w:p>
            <w:pPr>
              <w:spacing w:after="0"/>
              <w:rPr>
                <w:sz w:val="8"/>
                <w:szCs w:val="8"/>
                <w:color w:val="auto"/>
              </w:rPr>
            </w:pPr>
          </w:p>
        </w:tc>
      </w:tr>
      <w:tr>
        <w:trPr>
          <w:trHeight w:val="242"/>
        </w:trPr>
        <w:tc>
          <w:tcPr>
            <w:tcW w:w="2720" w:type="dxa"/>
            <w:vAlign w:val="bottom"/>
            <w:tcBorders>
              <w:left w:val="single" w:sz="8" w:color="0C2E82"/>
              <w:right w:val="single" w:sz="8" w:color="0C2E82"/>
            </w:tcBorders>
          </w:tcPr>
          <w:p>
            <w:pPr>
              <w:ind w:left="60"/>
              <w:spacing w:after="0" w:line="242" w:lineRule="exact"/>
              <w:rPr>
                <w:sz w:val="20"/>
                <w:szCs w:val="20"/>
                <w:color w:val="auto"/>
              </w:rPr>
            </w:pPr>
            <w:r>
              <w:rPr>
                <w:rFonts w:ascii="Arial" w:cs="Arial" w:eastAsia="Arial" w:hAnsi="Arial"/>
                <w:sz w:val="22"/>
                <w:szCs w:val="22"/>
                <w:color w:val="auto"/>
              </w:rPr>
              <w:t>Expense Reporting</w:t>
            </w:r>
          </w:p>
        </w:tc>
        <w:tc>
          <w:tcPr>
            <w:tcW w:w="8540" w:type="dxa"/>
            <w:vAlign w:val="bottom"/>
            <w:tcBorders>
              <w:right w:val="single" w:sz="8" w:color="0C2E82"/>
            </w:tcBorders>
          </w:tcPr>
          <w:p>
            <w:pPr>
              <w:ind w:left="20"/>
              <w:spacing w:after="0" w:line="242" w:lineRule="exact"/>
              <w:rPr>
                <w:sz w:val="20"/>
                <w:szCs w:val="20"/>
                <w:color w:val="auto"/>
              </w:rPr>
            </w:pPr>
            <w:r>
              <w:rPr>
                <w:rFonts w:ascii="Arial" w:cs="Arial" w:eastAsia="Arial" w:hAnsi="Arial"/>
                <w:sz w:val="22"/>
                <w:szCs w:val="22"/>
                <w:color w:val="auto"/>
                <w:w w:val="95"/>
              </w:rPr>
              <w:t>Employee-paid covered relocation expenses reimbursed by Altair upon receiving completed</w:t>
            </w:r>
          </w:p>
        </w:tc>
      </w:tr>
      <w:tr>
        <w:trPr>
          <w:trHeight w:val="275"/>
        </w:trPr>
        <w:tc>
          <w:tcPr>
            <w:tcW w:w="2720" w:type="dxa"/>
            <w:vAlign w:val="bottom"/>
            <w:tcBorders>
              <w:left w:val="single" w:sz="8" w:color="0C2E82"/>
              <w:right w:val="single" w:sz="8" w:color="0C2E82"/>
            </w:tcBorders>
          </w:tcPr>
          <w:p>
            <w:pPr>
              <w:spacing w:after="0"/>
              <w:rPr>
                <w:sz w:val="23"/>
                <w:szCs w:val="23"/>
                <w:color w:val="auto"/>
              </w:rPr>
            </w:pPr>
          </w:p>
        </w:tc>
        <w:tc>
          <w:tcPr>
            <w:tcW w:w="8540" w:type="dxa"/>
            <w:vAlign w:val="bottom"/>
            <w:tcBorders>
              <w:right w:val="single" w:sz="8" w:color="0C2E82"/>
            </w:tcBorders>
          </w:tcPr>
          <w:p>
            <w:pPr>
              <w:ind w:left="20"/>
              <w:spacing w:after="0"/>
              <w:rPr>
                <w:sz w:val="20"/>
                <w:szCs w:val="20"/>
                <w:color w:val="auto"/>
              </w:rPr>
            </w:pPr>
            <w:r>
              <w:rPr>
                <w:rFonts w:ascii="Arial" w:cs="Arial" w:eastAsia="Arial" w:hAnsi="Arial"/>
                <w:sz w:val="22"/>
                <w:szCs w:val="22"/>
                <w:color w:val="auto"/>
              </w:rPr>
              <w:t>expense form with receipts for all expenses.</w:t>
            </w:r>
          </w:p>
        </w:tc>
      </w:tr>
      <w:tr>
        <w:trPr>
          <w:trHeight w:val="98"/>
        </w:trPr>
        <w:tc>
          <w:tcPr>
            <w:tcW w:w="2720" w:type="dxa"/>
            <w:vAlign w:val="bottom"/>
            <w:tcBorders>
              <w:left w:val="single" w:sz="8" w:color="0C2E82"/>
              <w:bottom w:val="single" w:sz="8" w:color="0C2E82"/>
              <w:right w:val="single" w:sz="8" w:color="0C2E82"/>
            </w:tcBorders>
          </w:tcPr>
          <w:p>
            <w:pPr>
              <w:spacing w:after="0"/>
              <w:rPr>
                <w:sz w:val="8"/>
                <w:szCs w:val="8"/>
                <w:color w:val="auto"/>
              </w:rPr>
            </w:pPr>
          </w:p>
        </w:tc>
        <w:tc>
          <w:tcPr>
            <w:tcW w:w="8540" w:type="dxa"/>
            <w:vAlign w:val="bottom"/>
            <w:tcBorders>
              <w:bottom w:val="single" w:sz="8" w:color="0C2E82"/>
              <w:right w:val="single" w:sz="8" w:color="0C2E82"/>
            </w:tcBorders>
          </w:tcPr>
          <w:p>
            <w:pPr>
              <w:spacing w:after="0"/>
              <w:rPr>
                <w:sz w:val="8"/>
                <w:szCs w:val="8"/>
                <w:color w:val="auto"/>
              </w:rPr>
            </w:pPr>
          </w:p>
        </w:tc>
      </w:tr>
      <w:tr>
        <w:trPr>
          <w:trHeight w:val="274"/>
        </w:trPr>
        <w:tc>
          <w:tcPr>
            <w:tcW w:w="2720" w:type="dxa"/>
            <w:vAlign w:val="bottom"/>
            <w:tcBorders>
              <w:left w:val="single" w:sz="8" w:color="0C2E82"/>
              <w:right w:val="single" w:sz="8" w:color="0C2E82"/>
            </w:tcBorders>
          </w:tcPr>
          <w:p>
            <w:pPr>
              <w:ind w:left="60"/>
              <w:spacing w:after="0"/>
              <w:rPr>
                <w:sz w:val="20"/>
                <w:szCs w:val="20"/>
                <w:color w:val="auto"/>
              </w:rPr>
            </w:pPr>
            <w:r>
              <w:rPr>
                <w:rFonts w:ascii="Arial" w:cs="Arial" w:eastAsia="Arial" w:hAnsi="Arial"/>
                <w:sz w:val="22"/>
                <w:szCs w:val="22"/>
                <w:color w:val="auto"/>
              </w:rPr>
              <w:t>Tax Liability</w:t>
            </w:r>
          </w:p>
        </w:tc>
        <w:tc>
          <w:tcPr>
            <w:tcW w:w="8540" w:type="dxa"/>
            <w:vAlign w:val="bottom"/>
            <w:tcBorders>
              <w:right w:val="single" w:sz="8" w:color="0C2E82"/>
            </w:tcBorders>
          </w:tcPr>
          <w:p>
            <w:pPr>
              <w:ind w:left="20"/>
              <w:spacing w:after="0"/>
              <w:rPr>
                <w:sz w:val="20"/>
                <w:szCs w:val="20"/>
                <w:color w:val="auto"/>
              </w:rPr>
            </w:pPr>
            <w:r>
              <w:rPr>
                <w:rFonts w:ascii="Arial" w:cs="Arial" w:eastAsia="Arial" w:hAnsi="Arial"/>
                <w:sz w:val="22"/>
                <w:szCs w:val="22"/>
                <w:color w:val="auto"/>
                <w:w w:val="95"/>
              </w:rPr>
              <w:t>Most taxable reimbursements are grossed up to assist with the tax impact on the employee.</w:t>
            </w:r>
          </w:p>
        </w:tc>
      </w:tr>
      <w:tr>
        <w:trPr>
          <w:trHeight w:val="98"/>
        </w:trPr>
        <w:tc>
          <w:tcPr>
            <w:tcW w:w="2720" w:type="dxa"/>
            <w:vAlign w:val="bottom"/>
            <w:tcBorders>
              <w:left w:val="single" w:sz="8" w:color="0C2E82"/>
              <w:bottom w:val="single" w:sz="8" w:color="0C2E82"/>
              <w:right w:val="single" w:sz="8" w:color="0C2E82"/>
            </w:tcBorders>
          </w:tcPr>
          <w:p>
            <w:pPr>
              <w:spacing w:after="0"/>
              <w:rPr>
                <w:sz w:val="8"/>
                <w:szCs w:val="8"/>
                <w:color w:val="auto"/>
              </w:rPr>
            </w:pPr>
          </w:p>
        </w:tc>
        <w:tc>
          <w:tcPr>
            <w:tcW w:w="8540" w:type="dxa"/>
            <w:vAlign w:val="bottom"/>
            <w:tcBorders>
              <w:bottom w:val="single" w:sz="8" w:color="0C2E82"/>
              <w:right w:val="single" w:sz="8" w:color="0C2E82"/>
            </w:tcBorders>
          </w:tcPr>
          <w:p>
            <w:pPr>
              <w:spacing w:after="0"/>
              <w:rPr>
                <w:sz w:val="8"/>
                <w:szCs w:val="8"/>
                <w:color w:val="auto"/>
              </w:rPr>
            </w:pPr>
          </w:p>
        </w:tc>
      </w:tr>
      <w:tr>
        <w:trPr>
          <w:trHeight w:val="20"/>
        </w:trPr>
        <w:tc>
          <w:tcPr>
            <w:tcW w:w="2720" w:type="dxa"/>
            <w:vAlign w:val="bottom"/>
            <w:tcBorders>
              <w:left w:val="single" w:sz="8" w:color="0C2E82"/>
              <w:bottom w:val="single" w:sz="8" w:color="0C2E82"/>
            </w:tcBorders>
          </w:tcPr>
          <w:p>
            <w:pPr>
              <w:spacing w:after="0" w:line="20" w:lineRule="exact"/>
              <w:rPr>
                <w:sz w:val="1"/>
                <w:szCs w:val="1"/>
                <w:color w:val="auto"/>
              </w:rPr>
            </w:pPr>
          </w:p>
        </w:tc>
        <w:tc>
          <w:tcPr>
            <w:tcW w:w="8540" w:type="dxa"/>
            <w:vAlign w:val="bottom"/>
            <w:tcBorders>
              <w:bottom w:val="single" w:sz="8" w:color="0C2E82"/>
              <w:right w:val="single" w:sz="8" w:color="0C2E82"/>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1582420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3</w:t>
      </w:r>
    </w:p>
    <w:p>
      <w:pPr>
        <w:sectPr>
          <w:pgSz w:w="11900" w:h="16838" w:orient="portrait"/>
          <w:cols w:equalWidth="0" w:num="1">
            <w:col w:w="11440"/>
          </w:cols>
          <w:pgMar w:left="240" w:top="612" w:right="219" w:bottom="1440" w:gutter="0" w:footer="0" w:header="0"/>
        </w:sectPr>
      </w:pPr>
    </w:p>
    <w:bookmarkStart w:id="73" w:name="page74"/>
    <w:bookmarkEnd w:id="73"/>
    <w:p>
      <w:pPr>
        <w:jc w:val="center"/>
        <w:ind w:right="-279"/>
        <w:spacing w:after="0"/>
        <w:rPr>
          <w:sz w:val="20"/>
          <w:szCs w:val="20"/>
          <w:color w:val="auto"/>
        </w:rPr>
      </w:pPr>
      <w:r>
        <w:rPr>
          <w:rFonts w:ascii="Arial" w:cs="Arial" w:eastAsia="Arial" w:hAnsi="Arial"/>
          <w:sz w:val="22"/>
          <w:szCs w:val="22"/>
          <w:b w:val="1"/>
          <w:bCs w:val="1"/>
          <w:color w:val="0C2E82"/>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Eligibility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right="320"/>
        <w:spacing w:after="0" w:line="263" w:lineRule="auto"/>
        <w:rPr>
          <w:sz w:val="20"/>
          <w:szCs w:val="20"/>
          <w:color w:val="auto"/>
        </w:rPr>
      </w:pPr>
      <w:r>
        <w:rPr>
          <w:rFonts w:ascii="Arial" w:cs="Arial" w:eastAsia="Arial" w:hAnsi="Arial"/>
          <w:sz w:val="22"/>
          <w:szCs w:val="22"/>
          <w:color w:val="auto"/>
        </w:rPr>
        <w:t>In order to be eligible for relocation benefits under Autodesk’s policy, the circumstances of your relocation must meet certain requirements and you must follow company procedures.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You are eligible for benefits under this policy if:</w:t>
      </w:r>
    </w:p>
    <w:p>
      <w:pPr>
        <w:spacing w:after="0" w:line="112" w:lineRule="exact"/>
        <w:rPr>
          <w:sz w:val="20"/>
          <w:szCs w:val="20"/>
          <w:color w:val="auto"/>
        </w:rPr>
      </w:pPr>
    </w:p>
    <w:p>
      <w:pPr>
        <w:ind w:left="340" w:right="160" w:hanging="332"/>
        <w:spacing w:after="0" w:line="263" w:lineRule="auto"/>
        <w:tabs>
          <w:tab w:leader="none" w:pos="340" w:val="left"/>
        </w:tabs>
        <w:numPr>
          <w:ilvl w:val="0"/>
          <w:numId w:val="33"/>
        </w:numPr>
        <w:rPr>
          <w:rFonts w:ascii="Arial" w:cs="Arial" w:eastAsia="Arial" w:hAnsi="Arial"/>
          <w:sz w:val="16"/>
          <w:szCs w:val="16"/>
          <w:color w:val="798CBA"/>
        </w:rPr>
      </w:pPr>
      <w:r>
        <w:rPr>
          <w:rFonts w:ascii="Arial" w:cs="Arial" w:eastAsia="Arial" w:hAnsi="Arial"/>
          <w:sz w:val="22"/>
          <w:szCs w:val="22"/>
          <w:color w:val="auto"/>
        </w:rPr>
        <w:t>You have been asked to relocate as a result of a company-initiated transfer and your transfer has been approved prior to any action under this policy.</w:t>
      </w:r>
    </w:p>
    <w:p>
      <w:pPr>
        <w:spacing w:after="0" w:line="120" w:lineRule="exact"/>
        <w:rPr>
          <w:rFonts w:ascii="Arial" w:cs="Arial" w:eastAsia="Arial" w:hAnsi="Arial"/>
          <w:sz w:val="16"/>
          <w:szCs w:val="16"/>
          <w:color w:val="798CBA"/>
        </w:rPr>
      </w:pPr>
    </w:p>
    <w:p>
      <w:pPr>
        <w:ind w:left="340" w:hanging="332"/>
        <w:spacing w:after="0"/>
        <w:tabs>
          <w:tab w:leader="none" w:pos="340" w:val="left"/>
        </w:tabs>
        <w:numPr>
          <w:ilvl w:val="0"/>
          <w:numId w:val="33"/>
        </w:numPr>
        <w:rPr>
          <w:rFonts w:ascii="Arial" w:cs="Arial" w:eastAsia="Arial" w:hAnsi="Arial"/>
          <w:sz w:val="16"/>
          <w:szCs w:val="16"/>
          <w:color w:val="798CBA"/>
        </w:rPr>
      </w:pPr>
      <w:r>
        <w:rPr>
          <w:rFonts w:ascii="Arial" w:cs="Arial" w:eastAsia="Arial" w:hAnsi="Arial"/>
          <w:sz w:val="22"/>
          <w:szCs w:val="22"/>
          <w:color w:val="auto"/>
        </w:rPr>
        <w:t>Your relocation meets the following Internal Revenue Service guidelines for a qualified move for tax purposes.</w:t>
      </w:r>
    </w:p>
    <w:p>
      <w:pPr>
        <w:spacing w:after="0" w:line="166" w:lineRule="exact"/>
        <w:rPr>
          <w:sz w:val="20"/>
          <w:szCs w:val="20"/>
          <w:color w:val="auto"/>
        </w:rPr>
      </w:pPr>
    </w:p>
    <w:p>
      <w:pPr>
        <w:ind w:left="660" w:hanging="328"/>
        <w:spacing w:after="0" w:line="251" w:lineRule="auto"/>
        <w:tabs>
          <w:tab w:leader="none" w:pos="660" w:val="left"/>
        </w:tabs>
        <w:numPr>
          <w:ilvl w:val="0"/>
          <w:numId w:val="34"/>
        </w:numPr>
        <w:rPr>
          <w:rFonts w:ascii="Arial" w:cs="Arial" w:eastAsia="Arial" w:hAnsi="Arial"/>
          <w:sz w:val="20"/>
          <w:szCs w:val="20"/>
          <w:color w:val="798CBA"/>
        </w:rPr>
      </w:pPr>
      <w:r>
        <w:rPr>
          <w:rFonts w:ascii="Arial" w:cs="Arial" w:eastAsia="Arial" w:hAnsi="Arial"/>
          <w:sz w:val="22"/>
          <w:szCs w:val="22"/>
          <w:color w:val="auto"/>
        </w:rPr>
        <w:t>The IRS requires that the distance from your former residence to your new work location be at least 50 miles greater than the distance from your former residence to your previous work location.</w:t>
      </w:r>
    </w:p>
    <w:p>
      <w:pPr>
        <w:spacing w:after="0" w:line="2" w:lineRule="exact"/>
        <w:rPr>
          <w:sz w:val="20"/>
          <w:szCs w:val="20"/>
          <w:color w:val="auto"/>
        </w:rPr>
      </w:pPr>
    </w:p>
    <w:p>
      <w:pPr>
        <w:ind w:left="660" w:right="140" w:hanging="328"/>
        <w:spacing w:after="0" w:line="246" w:lineRule="auto"/>
        <w:tabs>
          <w:tab w:leader="none" w:pos="660" w:val="left"/>
        </w:tabs>
        <w:numPr>
          <w:ilvl w:val="1"/>
          <w:numId w:val="35"/>
        </w:numPr>
        <w:rPr>
          <w:rFonts w:ascii="Arial" w:cs="Arial" w:eastAsia="Arial" w:hAnsi="Arial"/>
          <w:sz w:val="20"/>
          <w:szCs w:val="20"/>
          <w:color w:val="798CBA"/>
        </w:rPr>
      </w:pPr>
      <w:r>
        <w:rPr>
          <w:rFonts w:ascii="Arial" w:cs="Arial" w:eastAsia="Arial" w:hAnsi="Arial"/>
          <w:sz w:val="22"/>
          <w:szCs w:val="22"/>
          <w:color w:val="auto"/>
        </w:rPr>
        <w:t>You are employed full time within the same general commuting area for 39 weeks within a 12-month period that begins when you arrive at the new location.</w:t>
      </w:r>
    </w:p>
    <w:p>
      <w:pPr>
        <w:spacing w:after="0" w:line="192" w:lineRule="exact"/>
        <w:rPr>
          <w:rFonts w:ascii="Arial" w:cs="Arial" w:eastAsia="Arial" w:hAnsi="Arial"/>
          <w:sz w:val="20"/>
          <w:szCs w:val="20"/>
          <w:color w:val="798CBA"/>
        </w:rPr>
      </w:pPr>
    </w:p>
    <w:p>
      <w:pPr>
        <w:ind w:left="340" w:hanging="332"/>
        <w:spacing w:after="0"/>
        <w:tabs>
          <w:tab w:leader="none" w:pos="340" w:val="left"/>
        </w:tabs>
        <w:numPr>
          <w:ilvl w:val="0"/>
          <w:numId w:val="35"/>
        </w:numPr>
        <w:rPr>
          <w:rFonts w:ascii="Arial" w:cs="Arial" w:eastAsia="Arial" w:hAnsi="Arial"/>
          <w:sz w:val="16"/>
          <w:szCs w:val="16"/>
          <w:color w:val="798CBA"/>
        </w:rPr>
      </w:pPr>
      <w:r>
        <w:rPr>
          <w:rFonts w:ascii="Arial" w:cs="Arial" w:eastAsia="Arial" w:hAnsi="Arial"/>
          <w:sz w:val="22"/>
          <w:szCs w:val="22"/>
          <w:color w:val="auto"/>
        </w:rPr>
        <w:t>The transfer is between locations within the U.S.</w:t>
      </w:r>
    </w:p>
    <w:p>
      <w:pPr>
        <w:spacing w:after="0" w:line="165" w:lineRule="exact"/>
        <w:rPr>
          <w:rFonts w:ascii="Arial" w:cs="Arial" w:eastAsia="Arial" w:hAnsi="Arial"/>
          <w:sz w:val="16"/>
          <w:szCs w:val="16"/>
          <w:color w:val="798CBA"/>
        </w:rPr>
      </w:pPr>
    </w:p>
    <w:p>
      <w:pPr>
        <w:ind w:left="340" w:hanging="332"/>
        <w:spacing w:after="0"/>
        <w:tabs>
          <w:tab w:leader="none" w:pos="340" w:val="left"/>
        </w:tabs>
        <w:numPr>
          <w:ilvl w:val="0"/>
          <w:numId w:val="35"/>
        </w:numPr>
        <w:rPr>
          <w:rFonts w:ascii="Arial" w:cs="Arial" w:eastAsia="Arial" w:hAnsi="Arial"/>
          <w:sz w:val="16"/>
          <w:szCs w:val="16"/>
          <w:color w:val="798CBA"/>
        </w:rPr>
      </w:pPr>
      <w:r>
        <w:rPr>
          <w:rFonts w:ascii="Arial" w:cs="Arial" w:eastAsia="Arial" w:hAnsi="Arial"/>
          <w:sz w:val="22"/>
          <w:szCs w:val="22"/>
          <w:color w:val="auto"/>
        </w:rPr>
        <w:t>All relocation benefits are initiated within twenty four (24) months from your hire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4042410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4</w:t>
      </w:r>
    </w:p>
    <w:p>
      <w:pPr>
        <w:sectPr>
          <w:pgSz w:w="11900" w:h="16838" w:orient="portrait"/>
          <w:cols w:equalWidth="0" w:num="1">
            <w:col w:w="11160"/>
          </w:cols>
          <w:pgMar w:left="240" w:top="612" w:right="499" w:bottom="1440" w:gutter="0" w:footer="0" w:header="0"/>
        </w:sectPr>
      </w:pPr>
    </w:p>
    <w:bookmarkStart w:id="74" w:name="page75"/>
    <w:bookmarkEnd w:id="74"/>
    <w:p>
      <w:pPr>
        <w:jc w:val="center"/>
        <w:ind w:right="-219"/>
        <w:spacing w:after="0"/>
        <w:rPr>
          <w:sz w:val="20"/>
          <w:szCs w:val="20"/>
          <w:color w:val="auto"/>
        </w:rPr>
      </w:pPr>
      <w:r>
        <w:rPr>
          <w:rFonts w:ascii="Arial" w:cs="Arial" w:eastAsia="Arial" w:hAnsi="Arial"/>
          <w:sz w:val="22"/>
          <w:szCs w:val="22"/>
          <w:b w:val="1"/>
          <w:bCs w:val="1"/>
          <w:color w:val="0C2E82"/>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t>Temporary Living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color w:val="auto"/>
        </w:rPr>
        <w:t>Autodesk will provide you with a fully furnished corporate apartment located in San Francisco for up to eighteen months.</w:t>
      </w:r>
    </w:p>
    <w:p>
      <w:pPr>
        <w:spacing w:after="0" w:line="272" w:lineRule="exact"/>
        <w:rPr>
          <w:sz w:val="20"/>
          <w:szCs w:val="20"/>
          <w:color w:val="auto"/>
        </w:rPr>
      </w:pPr>
    </w:p>
    <w:p>
      <w:pPr>
        <w:jc w:val="both"/>
        <w:ind w:right="260"/>
        <w:spacing w:after="0" w:line="253" w:lineRule="auto"/>
        <w:rPr>
          <w:sz w:val="20"/>
          <w:szCs w:val="20"/>
          <w:color w:val="auto"/>
        </w:rPr>
      </w:pPr>
      <w:r>
        <w:rPr>
          <w:rFonts w:ascii="Arial" w:cs="Arial" w:eastAsia="Arial" w:hAnsi="Arial"/>
          <w:sz w:val="22"/>
          <w:szCs w:val="22"/>
          <w:color w:val="auto"/>
        </w:rPr>
        <w:t>You will be eligible for one trip per month back to your home location. The flights should be booked through Autodesk Travel department and in accordance with the travel policy. These trips can be booked for you to return to your home location or your spouse to travel to California.</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Autodesk will make arrangement to ship your personal automobile to California. A rental car will be provided until your personal automobile arrives.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Tax Liability</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This benefit is reported as additional gross earnings and the amount will be grossed up to help offset additional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4410075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5</w:t>
      </w:r>
    </w:p>
    <w:p>
      <w:pPr>
        <w:sectPr>
          <w:pgSz w:w="11900" w:h="16838" w:orient="portrait"/>
          <w:cols w:equalWidth="0" w:num="1">
            <w:col w:w="11220"/>
          </w:cols>
          <w:pgMar w:left="240" w:top="612" w:right="439" w:bottom="1440" w:gutter="0" w:footer="0" w:header="0"/>
        </w:sectPr>
      </w:pPr>
    </w:p>
    <w:bookmarkStart w:id="75" w:name="page76"/>
    <w:bookmarkEnd w:id="75"/>
    <w:p>
      <w:pPr>
        <w:jc w:val="center"/>
        <w:ind w:right="-399"/>
        <w:spacing w:after="0"/>
        <w:rPr>
          <w:sz w:val="20"/>
          <w:szCs w:val="20"/>
          <w:color w:val="auto"/>
        </w:rPr>
      </w:pPr>
      <w:r>
        <w:rPr>
          <w:rFonts w:ascii="Arial" w:cs="Arial" w:eastAsia="Arial" w:hAnsi="Arial"/>
          <w:sz w:val="22"/>
          <w:szCs w:val="22"/>
          <w:b w:val="1"/>
          <w:bCs w:val="1"/>
          <w:color w:val="0C2E82"/>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t>Miscellaneous Relocation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Autodesk’s relocation policy does not specifically cover every expense you are likely to incur in your move. To help you cover these various costs for relocation expenses, Autodesk will provide a Miscellaneous Expense Allowance (MEA) equal to one month’s base salary up to a maximum of $20,000.</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This benefit may be used to help with expenses such as:</w:t>
      </w:r>
    </w:p>
    <w:p>
      <w:pPr>
        <w:spacing w:after="0" w:line="112"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color w:val="798CBA"/>
        </w:rPr>
      </w:pPr>
      <w:r>
        <w:rPr>
          <w:rFonts w:ascii="Arial" w:cs="Arial" w:eastAsia="Arial" w:hAnsi="Arial"/>
          <w:sz w:val="22"/>
          <w:szCs w:val="22"/>
          <w:color w:val="auto"/>
        </w:rPr>
        <w:t>Storage of household goods for longer than allowed by Autodesk policy</w:t>
      </w:r>
    </w:p>
    <w:p>
      <w:pPr>
        <w:spacing w:after="0" w:line="165" w:lineRule="exact"/>
        <w:rPr>
          <w:rFonts w:ascii="Arial" w:cs="Arial" w:eastAsia="Arial" w:hAnsi="Arial"/>
          <w:sz w:val="16"/>
          <w:szCs w:val="16"/>
          <w:color w:val="798CBA"/>
        </w:rPr>
      </w:pPr>
    </w:p>
    <w:p>
      <w:pPr>
        <w:ind w:left="340" w:hanging="332"/>
        <w:spacing w:after="0"/>
        <w:tabs>
          <w:tab w:leader="none" w:pos="340" w:val="left"/>
        </w:tabs>
        <w:numPr>
          <w:ilvl w:val="0"/>
          <w:numId w:val="36"/>
        </w:numPr>
        <w:rPr>
          <w:rFonts w:ascii="Arial" w:cs="Arial" w:eastAsia="Arial" w:hAnsi="Arial"/>
          <w:sz w:val="16"/>
          <w:szCs w:val="16"/>
          <w:color w:val="798CBA"/>
        </w:rPr>
      </w:pPr>
      <w:r>
        <w:rPr>
          <w:rFonts w:ascii="Arial" w:cs="Arial" w:eastAsia="Arial" w:hAnsi="Arial"/>
          <w:sz w:val="22"/>
          <w:szCs w:val="22"/>
          <w:color w:val="auto"/>
        </w:rPr>
        <w:t>Shipping extraordinary items</w:t>
      </w:r>
    </w:p>
    <w:p>
      <w:pPr>
        <w:spacing w:after="0" w:line="165" w:lineRule="exact"/>
        <w:rPr>
          <w:rFonts w:ascii="Arial" w:cs="Arial" w:eastAsia="Arial" w:hAnsi="Arial"/>
          <w:sz w:val="16"/>
          <w:szCs w:val="16"/>
          <w:color w:val="798CBA"/>
        </w:rPr>
      </w:pPr>
    </w:p>
    <w:p>
      <w:pPr>
        <w:ind w:left="340" w:hanging="332"/>
        <w:spacing w:after="0"/>
        <w:tabs>
          <w:tab w:leader="none" w:pos="340" w:val="left"/>
        </w:tabs>
        <w:numPr>
          <w:ilvl w:val="0"/>
          <w:numId w:val="36"/>
        </w:numPr>
        <w:rPr>
          <w:rFonts w:ascii="Arial" w:cs="Arial" w:eastAsia="Arial" w:hAnsi="Arial"/>
          <w:sz w:val="16"/>
          <w:szCs w:val="16"/>
          <w:color w:val="798CBA"/>
        </w:rPr>
      </w:pPr>
      <w:r>
        <w:rPr>
          <w:rFonts w:ascii="Arial" w:cs="Arial" w:eastAsia="Arial" w:hAnsi="Arial"/>
          <w:sz w:val="22"/>
          <w:szCs w:val="22"/>
          <w:color w:val="auto"/>
        </w:rPr>
        <w:t>Loss of frozen foods and plants</w:t>
      </w:r>
    </w:p>
    <w:p>
      <w:pPr>
        <w:spacing w:after="0" w:line="165" w:lineRule="exact"/>
        <w:rPr>
          <w:rFonts w:ascii="Arial" w:cs="Arial" w:eastAsia="Arial" w:hAnsi="Arial"/>
          <w:sz w:val="16"/>
          <w:szCs w:val="16"/>
          <w:color w:val="798CBA"/>
        </w:rPr>
      </w:pPr>
    </w:p>
    <w:p>
      <w:pPr>
        <w:ind w:left="340" w:hanging="332"/>
        <w:spacing w:after="0"/>
        <w:tabs>
          <w:tab w:leader="none" w:pos="340" w:val="left"/>
        </w:tabs>
        <w:numPr>
          <w:ilvl w:val="0"/>
          <w:numId w:val="36"/>
        </w:numPr>
        <w:rPr>
          <w:rFonts w:ascii="Arial" w:cs="Arial" w:eastAsia="Arial" w:hAnsi="Arial"/>
          <w:sz w:val="16"/>
          <w:szCs w:val="16"/>
          <w:color w:val="798CBA"/>
        </w:rPr>
      </w:pPr>
      <w:r>
        <w:rPr>
          <w:rFonts w:ascii="Arial" w:cs="Arial" w:eastAsia="Arial" w:hAnsi="Arial"/>
          <w:sz w:val="22"/>
          <w:szCs w:val="22"/>
          <w:color w:val="auto"/>
        </w:rPr>
        <w:t>Child care fees</w:t>
      </w:r>
    </w:p>
    <w:p>
      <w:pPr>
        <w:spacing w:after="0" w:line="165" w:lineRule="exact"/>
        <w:rPr>
          <w:rFonts w:ascii="Arial" w:cs="Arial" w:eastAsia="Arial" w:hAnsi="Arial"/>
          <w:sz w:val="16"/>
          <w:szCs w:val="16"/>
          <w:color w:val="798CBA"/>
        </w:rPr>
      </w:pPr>
    </w:p>
    <w:p>
      <w:pPr>
        <w:ind w:left="340" w:hanging="332"/>
        <w:spacing w:after="0"/>
        <w:tabs>
          <w:tab w:leader="none" w:pos="340" w:val="left"/>
        </w:tabs>
        <w:numPr>
          <w:ilvl w:val="0"/>
          <w:numId w:val="36"/>
        </w:numPr>
        <w:rPr>
          <w:rFonts w:ascii="Arial" w:cs="Arial" w:eastAsia="Arial" w:hAnsi="Arial"/>
          <w:sz w:val="16"/>
          <w:szCs w:val="16"/>
          <w:color w:val="798CBA"/>
        </w:rPr>
      </w:pPr>
      <w:r>
        <w:rPr>
          <w:rFonts w:ascii="Arial" w:cs="Arial" w:eastAsia="Arial" w:hAnsi="Arial"/>
          <w:sz w:val="22"/>
          <w:szCs w:val="22"/>
          <w:color w:val="auto"/>
        </w:rPr>
        <w:t>Repairs, decorating or landscaping for old or new home</w:t>
      </w:r>
    </w:p>
    <w:p>
      <w:pPr>
        <w:spacing w:after="0" w:line="165" w:lineRule="exact"/>
        <w:rPr>
          <w:rFonts w:ascii="Arial" w:cs="Arial" w:eastAsia="Arial" w:hAnsi="Arial"/>
          <w:sz w:val="16"/>
          <w:szCs w:val="16"/>
          <w:color w:val="798CBA"/>
        </w:rPr>
      </w:pPr>
    </w:p>
    <w:p>
      <w:pPr>
        <w:ind w:left="340" w:hanging="332"/>
        <w:spacing w:after="0"/>
        <w:tabs>
          <w:tab w:leader="none" w:pos="340" w:val="left"/>
        </w:tabs>
        <w:numPr>
          <w:ilvl w:val="0"/>
          <w:numId w:val="36"/>
        </w:numPr>
        <w:rPr>
          <w:rFonts w:ascii="Arial" w:cs="Arial" w:eastAsia="Arial" w:hAnsi="Arial"/>
          <w:sz w:val="16"/>
          <w:szCs w:val="16"/>
          <w:color w:val="798CBA"/>
        </w:rPr>
      </w:pPr>
      <w:r>
        <w:rPr>
          <w:rFonts w:ascii="Arial" w:cs="Arial" w:eastAsia="Arial" w:hAnsi="Arial"/>
          <w:sz w:val="22"/>
          <w:szCs w:val="22"/>
          <w:color w:val="auto"/>
        </w:rPr>
        <w:t>Cost of extending utilities, sewer, and similar services from the main source to a newly built home</w:t>
      </w:r>
    </w:p>
    <w:p>
      <w:pPr>
        <w:spacing w:after="0" w:line="165" w:lineRule="exact"/>
        <w:rPr>
          <w:rFonts w:ascii="Arial" w:cs="Arial" w:eastAsia="Arial" w:hAnsi="Arial"/>
          <w:sz w:val="16"/>
          <w:szCs w:val="16"/>
          <w:color w:val="798CBA"/>
        </w:rPr>
      </w:pPr>
    </w:p>
    <w:p>
      <w:pPr>
        <w:ind w:left="340" w:hanging="332"/>
        <w:spacing w:after="0"/>
        <w:tabs>
          <w:tab w:leader="none" w:pos="340" w:val="left"/>
        </w:tabs>
        <w:numPr>
          <w:ilvl w:val="0"/>
          <w:numId w:val="36"/>
        </w:numPr>
        <w:rPr>
          <w:rFonts w:ascii="Arial" w:cs="Arial" w:eastAsia="Arial" w:hAnsi="Arial"/>
          <w:sz w:val="16"/>
          <w:szCs w:val="16"/>
          <w:color w:val="798CBA"/>
        </w:rPr>
      </w:pPr>
      <w:r>
        <w:rPr>
          <w:rFonts w:ascii="Arial" w:cs="Arial" w:eastAsia="Arial" w:hAnsi="Arial"/>
          <w:sz w:val="22"/>
          <w:szCs w:val="22"/>
          <w:color w:val="auto"/>
        </w:rPr>
        <w:t>Security or utility deposits</w:t>
      </w:r>
    </w:p>
    <w:p>
      <w:pPr>
        <w:spacing w:after="0" w:line="165" w:lineRule="exact"/>
        <w:rPr>
          <w:rFonts w:ascii="Arial" w:cs="Arial" w:eastAsia="Arial" w:hAnsi="Arial"/>
          <w:sz w:val="16"/>
          <w:szCs w:val="16"/>
          <w:color w:val="798CBA"/>
        </w:rPr>
      </w:pPr>
    </w:p>
    <w:p>
      <w:pPr>
        <w:ind w:left="340" w:hanging="332"/>
        <w:spacing w:after="0"/>
        <w:tabs>
          <w:tab w:leader="none" w:pos="340" w:val="left"/>
        </w:tabs>
        <w:numPr>
          <w:ilvl w:val="0"/>
          <w:numId w:val="36"/>
        </w:numPr>
        <w:rPr>
          <w:rFonts w:ascii="Arial" w:cs="Arial" w:eastAsia="Arial" w:hAnsi="Arial"/>
          <w:sz w:val="16"/>
          <w:szCs w:val="16"/>
          <w:color w:val="798CBA"/>
        </w:rPr>
      </w:pPr>
      <w:r>
        <w:rPr>
          <w:rFonts w:ascii="Arial" w:cs="Arial" w:eastAsia="Arial" w:hAnsi="Arial"/>
          <w:sz w:val="22"/>
          <w:szCs w:val="22"/>
          <w:color w:val="auto"/>
        </w:rPr>
        <w:t>Installation expenses for telephone, TV, cable, or satellite hook-ups</w:t>
      </w:r>
    </w:p>
    <w:p>
      <w:pPr>
        <w:spacing w:after="0" w:line="165" w:lineRule="exact"/>
        <w:rPr>
          <w:rFonts w:ascii="Arial" w:cs="Arial" w:eastAsia="Arial" w:hAnsi="Arial"/>
          <w:sz w:val="16"/>
          <w:szCs w:val="16"/>
          <w:color w:val="798CBA"/>
        </w:rPr>
      </w:pPr>
    </w:p>
    <w:p>
      <w:pPr>
        <w:ind w:left="340" w:hanging="332"/>
        <w:spacing w:after="0"/>
        <w:tabs>
          <w:tab w:leader="none" w:pos="340" w:val="left"/>
        </w:tabs>
        <w:numPr>
          <w:ilvl w:val="0"/>
          <w:numId w:val="36"/>
        </w:numPr>
        <w:rPr>
          <w:rFonts w:ascii="Arial" w:cs="Arial" w:eastAsia="Arial" w:hAnsi="Arial"/>
          <w:sz w:val="16"/>
          <w:szCs w:val="16"/>
          <w:color w:val="798CBA"/>
        </w:rPr>
      </w:pPr>
      <w:r>
        <w:rPr>
          <w:rFonts w:ascii="Arial" w:cs="Arial" w:eastAsia="Arial" w:hAnsi="Arial"/>
          <w:sz w:val="22"/>
          <w:szCs w:val="22"/>
          <w:color w:val="auto"/>
        </w:rPr>
        <w:t>Wiring new home for electronic systems</w:t>
      </w:r>
    </w:p>
    <w:p>
      <w:pPr>
        <w:spacing w:after="0" w:line="165" w:lineRule="exact"/>
        <w:rPr>
          <w:rFonts w:ascii="Arial" w:cs="Arial" w:eastAsia="Arial" w:hAnsi="Arial"/>
          <w:sz w:val="16"/>
          <w:szCs w:val="16"/>
          <w:color w:val="798CBA"/>
        </w:rPr>
      </w:pPr>
    </w:p>
    <w:p>
      <w:pPr>
        <w:ind w:left="340" w:hanging="332"/>
        <w:spacing w:after="0"/>
        <w:tabs>
          <w:tab w:leader="none" w:pos="340" w:val="left"/>
        </w:tabs>
        <w:numPr>
          <w:ilvl w:val="0"/>
          <w:numId w:val="36"/>
        </w:numPr>
        <w:rPr>
          <w:rFonts w:ascii="Arial" w:cs="Arial" w:eastAsia="Arial" w:hAnsi="Arial"/>
          <w:sz w:val="16"/>
          <w:szCs w:val="16"/>
          <w:color w:val="798CBA"/>
        </w:rPr>
      </w:pPr>
      <w:r>
        <w:rPr>
          <w:rFonts w:ascii="Arial" w:cs="Arial" w:eastAsia="Arial" w:hAnsi="Arial"/>
          <w:sz w:val="22"/>
          <w:szCs w:val="22"/>
          <w:color w:val="auto"/>
        </w:rPr>
        <w:t>Carpet and drapery alteration/cleaning/installation/replacement</w:t>
      </w:r>
    </w:p>
    <w:p>
      <w:pPr>
        <w:spacing w:after="0" w:line="165" w:lineRule="exact"/>
        <w:rPr>
          <w:rFonts w:ascii="Arial" w:cs="Arial" w:eastAsia="Arial" w:hAnsi="Arial"/>
          <w:sz w:val="16"/>
          <w:szCs w:val="16"/>
          <w:color w:val="798CBA"/>
        </w:rPr>
      </w:pPr>
    </w:p>
    <w:p>
      <w:pPr>
        <w:ind w:left="340" w:hanging="332"/>
        <w:spacing w:after="0"/>
        <w:tabs>
          <w:tab w:leader="none" w:pos="340" w:val="left"/>
        </w:tabs>
        <w:numPr>
          <w:ilvl w:val="0"/>
          <w:numId w:val="36"/>
        </w:numPr>
        <w:rPr>
          <w:rFonts w:ascii="Arial" w:cs="Arial" w:eastAsia="Arial" w:hAnsi="Arial"/>
          <w:sz w:val="16"/>
          <w:szCs w:val="16"/>
          <w:color w:val="798CBA"/>
        </w:rPr>
      </w:pPr>
      <w:r>
        <w:rPr>
          <w:rFonts w:ascii="Arial" w:cs="Arial" w:eastAsia="Arial" w:hAnsi="Arial"/>
          <w:sz w:val="22"/>
          <w:szCs w:val="22"/>
          <w:color w:val="auto"/>
        </w:rPr>
        <w:t>House cleaning/trash removal</w:t>
      </w:r>
    </w:p>
    <w:p>
      <w:pPr>
        <w:spacing w:after="0" w:line="165" w:lineRule="exact"/>
        <w:rPr>
          <w:rFonts w:ascii="Arial" w:cs="Arial" w:eastAsia="Arial" w:hAnsi="Arial"/>
          <w:sz w:val="16"/>
          <w:szCs w:val="16"/>
          <w:color w:val="798CBA"/>
        </w:rPr>
      </w:pPr>
    </w:p>
    <w:p>
      <w:pPr>
        <w:ind w:left="340" w:hanging="332"/>
        <w:spacing w:after="0"/>
        <w:tabs>
          <w:tab w:leader="none" w:pos="340" w:val="left"/>
        </w:tabs>
        <w:numPr>
          <w:ilvl w:val="0"/>
          <w:numId w:val="36"/>
        </w:numPr>
        <w:rPr>
          <w:rFonts w:ascii="Arial" w:cs="Arial" w:eastAsia="Arial" w:hAnsi="Arial"/>
          <w:sz w:val="16"/>
          <w:szCs w:val="16"/>
          <w:color w:val="798CBA"/>
        </w:rPr>
      </w:pPr>
      <w:r>
        <w:rPr>
          <w:rFonts w:ascii="Arial" w:cs="Arial" w:eastAsia="Arial" w:hAnsi="Arial"/>
          <w:sz w:val="22"/>
          <w:szCs w:val="22"/>
          <w:color w:val="auto"/>
        </w:rPr>
        <w:t>Driver and car license reissues</w:t>
      </w:r>
    </w:p>
    <w:p>
      <w:pPr>
        <w:spacing w:after="0" w:line="165" w:lineRule="exact"/>
        <w:rPr>
          <w:rFonts w:ascii="Arial" w:cs="Arial" w:eastAsia="Arial" w:hAnsi="Arial"/>
          <w:sz w:val="16"/>
          <w:szCs w:val="16"/>
          <w:color w:val="798CBA"/>
        </w:rPr>
      </w:pPr>
    </w:p>
    <w:p>
      <w:pPr>
        <w:ind w:left="340" w:hanging="332"/>
        <w:spacing w:after="0"/>
        <w:tabs>
          <w:tab w:leader="none" w:pos="340" w:val="left"/>
        </w:tabs>
        <w:numPr>
          <w:ilvl w:val="0"/>
          <w:numId w:val="36"/>
        </w:numPr>
        <w:rPr>
          <w:rFonts w:ascii="Arial" w:cs="Arial" w:eastAsia="Arial" w:hAnsi="Arial"/>
          <w:sz w:val="16"/>
          <w:szCs w:val="16"/>
          <w:color w:val="798CBA"/>
        </w:rPr>
      </w:pPr>
      <w:r>
        <w:rPr>
          <w:rFonts w:ascii="Arial" w:cs="Arial" w:eastAsia="Arial" w:hAnsi="Arial"/>
          <w:sz w:val="22"/>
          <w:szCs w:val="22"/>
          <w:color w:val="auto"/>
        </w:rPr>
        <w:t>Tax obligations not fully compensated by gross-up</w:t>
      </w:r>
    </w:p>
    <w:p>
      <w:pPr>
        <w:spacing w:after="0" w:line="165" w:lineRule="exact"/>
        <w:rPr>
          <w:rFonts w:ascii="Arial" w:cs="Arial" w:eastAsia="Arial" w:hAnsi="Arial"/>
          <w:sz w:val="16"/>
          <w:szCs w:val="16"/>
          <w:color w:val="798CBA"/>
        </w:rPr>
      </w:pPr>
    </w:p>
    <w:p>
      <w:pPr>
        <w:ind w:left="340" w:hanging="332"/>
        <w:spacing w:after="0"/>
        <w:tabs>
          <w:tab w:leader="none" w:pos="340" w:val="left"/>
        </w:tabs>
        <w:numPr>
          <w:ilvl w:val="0"/>
          <w:numId w:val="36"/>
        </w:numPr>
        <w:rPr>
          <w:rFonts w:ascii="Arial" w:cs="Arial" w:eastAsia="Arial" w:hAnsi="Arial"/>
          <w:sz w:val="16"/>
          <w:szCs w:val="16"/>
          <w:color w:val="798CBA"/>
        </w:rPr>
      </w:pPr>
      <w:r>
        <w:rPr>
          <w:rFonts w:ascii="Arial" w:cs="Arial" w:eastAsia="Arial" w:hAnsi="Arial"/>
          <w:sz w:val="22"/>
          <w:szCs w:val="22"/>
          <w:color w:val="auto"/>
        </w:rPr>
        <w:t>Other unforeseen expenses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Tax Liability</w:t>
      </w:r>
    </w:p>
    <w:p>
      <w:pPr>
        <w:spacing w:after="0" w:line="11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Your Miscellaneous Expense Allowance is reported as additional gross earnings. No tax assistance is available, and appropriate taxes will be withheld.</w:t>
      </w:r>
    </w:p>
    <w:p>
      <w:pPr>
        <w:spacing w:after="0" w:line="67"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The money is yours to use as you wish, and no accounting to Altair or Autodesk is required. However, you may need to keep receipts for your personal tax records. If in doubt, keep your receipts and talk to a tax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6</w:t>
      </w:r>
    </w:p>
    <w:p>
      <w:pPr>
        <w:sectPr>
          <w:pgSz w:w="11900" w:h="16838" w:orient="portrait"/>
          <w:cols w:equalWidth="0" w:num="1">
            <w:col w:w="11020"/>
          </w:cols>
          <w:pgMar w:left="240" w:top="612" w:right="6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22"/>
          <w:szCs w:val="22"/>
          <w:b w:val="1"/>
          <w:bCs w:val="1"/>
          <w:color w:val="0C2E82"/>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Home Sale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both"/>
        <w:ind w:right="40"/>
        <w:spacing w:after="0" w:line="253" w:lineRule="auto"/>
        <w:rPr>
          <w:sz w:val="20"/>
          <w:szCs w:val="20"/>
          <w:color w:val="auto"/>
        </w:rPr>
      </w:pPr>
      <w:r>
        <w:rPr>
          <w:rFonts w:ascii="Arial" w:cs="Arial" w:eastAsia="Arial" w:hAnsi="Arial"/>
          <w:sz w:val="22"/>
          <w:szCs w:val="22"/>
          <w:color w:val="auto"/>
        </w:rPr>
        <w:t>For homeowners, the sale of your home may be one of the most critical factors in accomplishing a successful relocation. The home sale assistance provided for you through Altair is designed to help you obtain a suitable price for your home in a reasonable period of time.</w:t>
      </w:r>
    </w:p>
    <w:p>
      <w:pPr>
        <w:spacing w:after="0" w:line="78"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It is the intent of the Company relocation policy to assist you in the sale of your home by providing professional guidance in the selection of a broker and an initial listing price of your home.</w:t>
      </w:r>
    </w:p>
    <w:p>
      <w:pPr>
        <w:spacing w:after="0" w:line="67"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As soon as you and your family are ready to begin marketing your home, the Altair consultant will be available to assist in listing your home with an approved broker.</w:t>
      </w:r>
    </w:p>
    <w:p>
      <w:pPr>
        <w:spacing w:after="0" w:line="67"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After conducting an initial interview with you, your consultant will order two current BMAs (Brokers’ Market Analyses) and will review them with you thoroughly. These BMAs will assist you in making an informed decision on how to price your home based on neighborhood comparisons. It is suggested that you list your home at no more than 105% of the suggested list price as determined by the BMAs.</w:t>
      </w:r>
    </w:p>
    <w:p>
      <w:pPr>
        <w:spacing w:after="0" w:line="80" w:lineRule="exact"/>
        <w:rPr>
          <w:sz w:val="20"/>
          <w:szCs w:val="20"/>
          <w:color w:val="auto"/>
        </w:rPr>
      </w:pPr>
    </w:p>
    <w:p>
      <w:pPr>
        <w:ind w:left="820"/>
        <w:spacing w:after="0" w:line="250" w:lineRule="auto"/>
        <w:rPr>
          <w:sz w:val="20"/>
          <w:szCs w:val="20"/>
          <w:color w:val="auto"/>
        </w:rPr>
      </w:pPr>
      <w:r>
        <w:rPr>
          <w:rFonts w:ascii="Arial" w:cs="Arial" w:eastAsia="Arial" w:hAnsi="Arial"/>
          <w:sz w:val="22"/>
          <w:szCs w:val="22"/>
          <w:color w:val="auto"/>
        </w:rPr>
        <w:t>A Broker’s Market Analysis is performed by a real estate broker on the basis of his or her knowledge of the current real estate resale activity in the community. Each analysis will compare your home with other similar recently sold homes to attempt to answer the question “What will the home sell for in the next two to three months, as is, with usual financing for the area?”</w:t>
      </w:r>
    </w:p>
    <w:p>
      <w:pPr>
        <w:spacing w:after="0" w:line="80" w:lineRule="exact"/>
        <w:rPr>
          <w:sz w:val="20"/>
          <w:szCs w:val="20"/>
          <w:color w:val="auto"/>
        </w:rPr>
      </w:pPr>
    </w:p>
    <w:p>
      <w:pPr>
        <w:ind w:right="340"/>
        <w:spacing w:after="0" w:line="253" w:lineRule="auto"/>
        <w:rPr>
          <w:sz w:val="20"/>
          <w:szCs w:val="20"/>
          <w:color w:val="auto"/>
        </w:rPr>
      </w:pPr>
      <w:r>
        <w:rPr>
          <w:rFonts w:ascii="Arial" w:cs="Arial" w:eastAsia="Arial" w:hAnsi="Arial"/>
          <w:sz w:val="22"/>
          <w:szCs w:val="22"/>
          <w:color w:val="auto"/>
        </w:rPr>
        <w:t>You may want to list your home with one of the brokers who provide a BMA but you are not required to do so. Talk over your broker preferences with your Altair consultant, and if you wish to consider additional brokers, Altair will provide referrals</w:t>
      </w:r>
      <w:r>
        <w:rPr>
          <w:rFonts w:ascii="Arial" w:cs="Arial" w:eastAsia="Arial" w:hAnsi="Arial"/>
          <w:sz w:val="22"/>
          <w:szCs w:val="22"/>
          <w:b w:val="1"/>
          <w:bCs w:val="1"/>
          <w:color w:val="auto"/>
        </w:rPr>
        <w:t>. It is</w:t>
      </w:r>
      <w:r>
        <w:rPr>
          <w:rFonts w:ascii="Arial" w:cs="Arial" w:eastAsia="Arial" w:hAnsi="Arial"/>
          <w:sz w:val="22"/>
          <w:szCs w:val="22"/>
          <w:color w:val="auto"/>
        </w:rPr>
        <w:t xml:space="preserve"> </w:t>
      </w:r>
      <w:r>
        <w:rPr>
          <w:rFonts w:ascii="Arial" w:cs="Arial" w:eastAsia="Arial" w:hAnsi="Arial"/>
          <w:sz w:val="22"/>
          <w:szCs w:val="22"/>
          <w:b w:val="1"/>
          <w:bCs w:val="1"/>
          <w:color w:val="auto"/>
        </w:rPr>
        <w:t>recommended that you use an Altair-referred broker.</w:t>
      </w:r>
    </w:p>
    <w:p>
      <w:pPr>
        <w:spacing w:after="0" w:line="72" w:lineRule="exact"/>
        <w:rPr>
          <w:sz w:val="20"/>
          <w:szCs w:val="20"/>
          <w:color w:val="auto"/>
        </w:rPr>
      </w:pPr>
    </w:p>
    <w:p>
      <w:pPr>
        <w:jc w:val="both"/>
        <w:ind w:right="60"/>
        <w:spacing w:after="0" w:line="315" w:lineRule="auto"/>
        <w:rPr>
          <w:sz w:val="20"/>
          <w:szCs w:val="20"/>
          <w:color w:val="auto"/>
        </w:rPr>
      </w:pPr>
      <w:r>
        <w:rPr>
          <w:rFonts w:ascii="Arial" w:cs="Arial" w:eastAsia="Arial" w:hAnsi="Arial"/>
          <w:sz w:val="19"/>
          <w:szCs w:val="19"/>
          <w:b w:val="1"/>
          <w:bCs w:val="1"/>
          <w:color w:val="auto"/>
        </w:rPr>
        <w:t>You will be completely in charge of the sale of your home</w:t>
      </w:r>
      <w:r>
        <w:rPr>
          <w:rFonts w:ascii="Arial" w:cs="Arial" w:eastAsia="Arial" w:hAnsi="Arial"/>
          <w:sz w:val="19"/>
          <w:szCs w:val="19"/>
          <w:color w:val="auto"/>
        </w:rPr>
        <w:t>. The Altair consultant will work with you and your broker and ensure</w:t>
      </w:r>
      <w:r>
        <w:rPr>
          <w:rFonts w:ascii="Arial" w:cs="Arial" w:eastAsia="Arial" w:hAnsi="Arial"/>
          <w:sz w:val="19"/>
          <w:szCs w:val="19"/>
          <w:b w:val="1"/>
          <w:bCs w:val="1"/>
          <w:color w:val="auto"/>
        </w:rPr>
        <w:t xml:space="preserve"> </w:t>
      </w:r>
      <w:r>
        <w:rPr>
          <w:rFonts w:ascii="Arial" w:cs="Arial" w:eastAsia="Arial" w:hAnsi="Arial"/>
          <w:sz w:val="19"/>
          <w:szCs w:val="19"/>
          <w:color w:val="auto"/>
        </w:rPr>
        <w:t>the highest cooperation by the real estate community to increase the likelihood of a successful sale. If the broker you have selected is not working in your best interest, your consultant can advise you and offer alternate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0C2E82"/>
        </w:rPr>
        <w:t>Call Altair First!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0C2E82"/>
        </w:rPr>
        <w:t>800.934.5400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7</w:t>
      </w:r>
    </w:p>
    <w:p>
      <w:pPr>
        <w:sectPr>
          <w:pgSz w:w="11900" w:h="16838" w:orient="portrait"/>
          <w:cols w:equalWidth="0" w:num="1">
            <w:col w:w="11380"/>
          </w:cols>
          <w:pgMar w:left="240" w:top="612" w:right="279" w:bottom="1440" w:gutter="0" w:footer="0" w:header="0"/>
        </w:sectPr>
      </w:pPr>
    </w:p>
    <w:bookmarkStart w:id="77" w:name="page78"/>
    <w:bookmarkEnd w:id="77"/>
    <w:p>
      <w:pPr>
        <w:spacing w:after="0"/>
        <w:rPr>
          <w:sz w:val="20"/>
          <w:szCs w:val="20"/>
          <w:color w:val="auto"/>
        </w:rPr>
      </w:pPr>
      <w:r>
        <w:rPr>
          <w:rFonts w:ascii="Arial" w:cs="Arial" w:eastAsia="Arial" w:hAnsi="Arial"/>
          <w:sz w:val="22"/>
          <w:szCs w:val="22"/>
          <w:b w:val="1"/>
          <w:bCs w:val="1"/>
          <w:color w:val="0C2E82"/>
        </w:rPr>
        <w:t>Direct Reimbursement of Closing Costs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You are eligible for reimbursement of normal and customary closing costs. Such costs include:</w:t>
      </w:r>
    </w:p>
    <w:p>
      <w:pPr>
        <w:spacing w:after="0" w:line="11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color w:val="798CBA"/>
        </w:rPr>
      </w:pPr>
      <w:r>
        <w:rPr>
          <w:rFonts w:ascii="Arial" w:cs="Arial" w:eastAsia="Arial" w:hAnsi="Arial"/>
          <w:sz w:val="22"/>
          <w:szCs w:val="22"/>
          <w:color w:val="auto"/>
        </w:rPr>
        <w:t>Normal and reasonable real estate broker’s commission (not to exceed 6% of sales price)</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37"/>
        </w:numPr>
        <w:rPr>
          <w:rFonts w:ascii="Arial" w:cs="Arial" w:eastAsia="Arial" w:hAnsi="Arial"/>
          <w:sz w:val="16"/>
          <w:szCs w:val="16"/>
          <w:color w:val="798CBA"/>
        </w:rPr>
      </w:pPr>
      <w:r>
        <w:rPr>
          <w:rFonts w:ascii="Arial" w:cs="Arial" w:eastAsia="Arial" w:hAnsi="Arial"/>
          <w:sz w:val="22"/>
          <w:szCs w:val="22"/>
          <w:color w:val="auto"/>
        </w:rPr>
        <w:t>Lender required seller inspections</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37"/>
        </w:numPr>
        <w:rPr>
          <w:rFonts w:ascii="Arial" w:cs="Arial" w:eastAsia="Arial" w:hAnsi="Arial"/>
          <w:sz w:val="16"/>
          <w:szCs w:val="16"/>
          <w:color w:val="798CBA"/>
        </w:rPr>
      </w:pPr>
      <w:r>
        <w:rPr>
          <w:rFonts w:ascii="Arial" w:cs="Arial" w:eastAsia="Arial" w:hAnsi="Arial"/>
          <w:sz w:val="22"/>
          <w:szCs w:val="22"/>
          <w:color w:val="auto"/>
        </w:rPr>
        <w:t>Escrow fee</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37"/>
        </w:numPr>
        <w:rPr>
          <w:rFonts w:ascii="Arial" w:cs="Arial" w:eastAsia="Arial" w:hAnsi="Arial"/>
          <w:sz w:val="16"/>
          <w:szCs w:val="16"/>
          <w:color w:val="798CBA"/>
        </w:rPr>
      </w:pPr>
      <w:r>
        <w:rPr>
          <w:rFonts w:ascii="Arial" w:cs="Arial" w:eastAsia="Arial" w:hAnsi="Arial"/>
          <w:sz w:val="22"/>
          <w:szCs w:val="22"/>
          <w:color w:val="auto"/>
        </w:rPr>
        <w:t>Deed preparation fee</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37"/>
        </w:numPr>
        <w:rPr>
          <w:rFonts w:ascii="Arial" w:cs="Arial" w:eastAsia="Arial" w:hAnsi="Arial"/>
          <w:sz w:val="16"/>
          <w:szCs w:val="16"/>
          <w:color w:val="798CBA"/>
        </w:rPr>
      </w:pPr>
      <w:r>
        <w:rPr>
          <w:rFonts w:ascii="Arial" w:cs="Arial" w:eastAsia="Arial" w:hAnsi="Arial"/>
          <w:sz w:val="22"/>
          <w:szCs w:val="22"/>
          <w:color w:val="auto"/>
        </w:rPr>
        <w:t>Reconveyance fee</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37"/>
        </w:numPr>
        <w:rPr>
          <w:rFonts w:ascii="Arial" w:cs="Arial" w:eastAsia="Arial" w:hAnsi="Arial"/>
          <w:sz w:val="16"/>
          <w:szCs w:val="16"/>
          <w:color w:val="798CBA"/>
        </w:rPr>
      </w:pPr>
      <w:r>
        <w:rPr>
          <w:rFonts w:ascii="Arial" w:cs="Arial" w:eastAsia="Arial" w:hAnsi="Arial"/>
          <w:sz w:val="22"/>
          <w:szCs w:val="22"/>
          <w:color w:val="auto"/>
        </w:rPr>
        <w:t>Title endorsements</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37"/>
        </w:numPr>
        <w:rPr>
          <w:rFonts w:ascii="Arial" w:cs="Arial" w:eastAsia="Arial" w:hAnsi="Arial"/>
          <w:sz w:val="16"/>
          <w:szCs w:val="16"/>
          <w:color w:val="798CBA"/>
        </w:rPr>
      </w:pPr>
      <w:r>
        <w:rPr>
          <w:rFonts w:ascii="Arial" w:cs="Arial" w:eastAsia="Arial" w:hAnsi="Arial"/>
          <w:sz w:val="22"/>
          <w:szCs w:val="22"/>
          <w:color w:val="auto"/>
        </w:rPr>
        <w:t>Wire transfer fees</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Closing costs which are not eligible for reimbursement include:</w:t>
      </w:r>
    </w:p>
    <w:p>
      <w:pPr>
        <w:spacing w:after="0" w:line="118"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color w:val="798CBA"/>
        </w:rPr>
      </w:pPr>
      <w:r>
        <w:rPr>
          <w:rFonts w:ascii="Arial" w:cs="Arial" w:eastAsia="Arial" w:hAnsi="Arial"/>
          <w:sz w:val="22"/>
          <w:szCs w:val="22"/>
          <w:color w:val="auto"/>
        </w:rPr>
        <w:t>Discount points (FHA, VA, or conventional)</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38"/>
        </w:numPr>
        <w:rPr>
          <w:rFonts w:ascii="Arial" w:cs="Arial" w:eastAsia="Arial" w:hAnsi="Arial"/>
          <w:sz w:val="16"/>
          <w:szCs w:val="16"/>
          <w:color w:val="798CBA"/>
        </w:rPr>
      </w:pPr>
      <w:r>
        <w:rPr>
          <w:rFonts w:ascii="Arial" w:cs="Arial" w:eastAsia="Arial" w:hAnsi="Arial"/>
          <w:sz w:val="22"/>
          <w:szCs w:val="22"/>
          <w:color w:val="auto"/>
        </w:rPr>
        <w:t>Insurance</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38"/>
        </w:numPr>
        <w:rPr>
          <w:rFonts w:ascii="Arial" w:cs="Arial" w:eastAsia="Arial" w:hAnsi="Arial"/>
          <w:sz w:val="16"/>
          <w:szCs w:val="16"/>
          <w:color w:val="798CBA"/>
        </w:rPr>
      </w:pPr>
      <w:r>
        <w:rPr>
          <w:rFonts w:ascii="Arial" w:cs="Arial" w:eastAsia="Arial" w:hAnsi="Arial"/>
          <w:sz w:val="22"/>
          <w:szCs w:val="22"/>
          <w:color w:val="auto"/>
        </w:rPr>
        <w:t>Utility bills</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38"/>
        </w:numPr>
        <w:rPr>
          <w:rFonts w:ascii="Arial" w:cs="Arial" w:eastAsia="Arial" w:hAnsi="Arial"/>
          <w:sz w:val="16"/>
          <w:szCs w:val="16"/>
          <w:color w:val="798CBA"/>
        </w:rPr>
      </w:pPr>
      <w:r>
        <w:rPr>
          <w:rFonts w:ascii="Arial" w:cs="Arial" w:eastAsia="Arial" w:hAnsi="Arial"/>
          <w:sz w:val="22"/>
          <w:szCs w:val="22"/>
          <w:color w:val="auto"/>
        </w:rPr>
        <w:t>Property taxes</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38"/>
        </w:numPr>
        <w:rPr>
          <w:rFonts w:ascii="Arial" w:cs="Arial" w:eastAsia="Arial" w:hAnsi="Arial"/>
          <w:sz w:val="16"/>
          <w:szCs w:val="16"/>
          <w:color w:val="798CBA"/>
        </w:rPr>
      </w:pPr>
      <w:r>
        <w:rPr>
          <w:rFonts w:ascii="Arial" w:cs="Arial" w:eastAsia="Arial" w:hAnsi="Arial"/>
          <w:sz w:val="22"/>
          <w:szCs w:val="22"/>
          <w:color w:val="auto"/>
        </w:rPr>
        <w:t>Homeowner Warranty</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38"/>
        </w:numPr>
        <w:rPr>
          <w:rFonts w:ascii="Arial" w:cs="Arial" w:eastAsia="Arial" w:hAnsi="Arial"/>
          <w:sz w:val="16"/>
          <w:szCs w:val="16"/>
          <w:color w:val="798CBA"/>
        </w:rPr>
      </w:pPr>
      <w:r>
        <w:rPr>
          <w:rFonts w:ascii="Arial" w:cs="Arial" w:eastAsia="Arial" w:hAnsi="Arial"/>
          <w:sz w:val="22"/>
          <w:szCs w:val="22"/>
          <w:color w:val="auto"/>
        </w:rPr>
        <w:t>Rent</w:t>
      </w:r>
    </w:p>
    <w:p>
      <w:pPr>
        <w:spacing w:after="0" w:line="57" w:lineRule="exact"/>
        <w:rPr>
          <w:rFonts w:ascii="Arial" w:cs="Arial" w:eastAsia="Arial" w:hAnsi="Arial"/>
          <w:sz w:val="16"/>
          <w:szCs w:val="16"/>
          <w:color w:val="798CBA"/>
        </w:rPr>
      </w:pPr>
    </w:p>
    <w:p>
      <w:pPr>
        <w:ind w:left="340" w:right="880" w:hanging="332"/>
        <w:spacing w:after="0" w:line="263" w:lineRule="auto"/>
        <w:tabs>
          <w:tab w:leader="none" w:pos="340" w:val="left"/>
        </w:tabs>
        <w:numPr>
          <w:ilvl w:val="0"/>
          <w:numId w:val="38"/>
        </w:numPr>
        <w:rPr>
          <w:rFonts w:ascii="Arial" w:cs="Arial" w:eastAsia="Arial" w:hAnsi="Arial"/>
          <w:sz w:val="16"/>
          <w:szCs w:val="16"/>
          <w:color w:val="798CBA"/>
        </w:rPr>
      </w:pPr>
      <w:r>
        <w:rPr>
          <w:rFonts w:ascii="Arial" w:cs="Arial" w:eastAsia="Arial" w:hAnsi="Arial"/>
          <w:sz w:val="22"/>
          <w:szCs w:val="22"/>
          <w:color w:val="auto"/>
        </w:rPr>
        <w:t>Seller concessions that you have negotiated into your contract with the buyer, including buyer’s closing costs, repairs, remodeling, restoration or renovation of any kind</w:t>
      </w:r>
    </w:p>
    <w:p>
      <w:pPr>
        <w:spacing w:after="0" w:line="12" w:lineRule="exact"/>
        <w:rPr>
          <w:rFonts w:ascii="Arial" w:cs="Arial" w:eastAsia="Arial" w:hAnsi="Arial"/>
          <w:sz w:val="16"/>
          <w:szCs w:val="16"/>
          <w:color w:val="798CBA"/>
        </w:rPr>
      </w:pPr>
    </w:p>
    <w:p>
      <w:pPr>
        <w:ind w:left="340" w:hanging="332"/>
        <w:spacing w:after="0"/>
        <w:tabs>
          <w:tab w:leader="none" w:pos="340" w:val="left"/>
        </w:tabs>
        <w:numPr>
          <w:ilvl w:val="0"/>
          <w:numId w:val="38"/>
        </w:numPr>
        <w:rPr>
          <w:rFonts w:ascii="Arial" w:cs="Arial" w:eastAsia="Arial" w:hAnsi="Arial"/>
          <w:sz w:val="16"/>
          <w:szCs w:val="16"/>
          <w:color w:val="798CBA"/>
        </w:rPr>
      </w:pPr>
      <w:r>
        <w:rPr>
          <w:rFonts w:ascii="Arial" w:cs="Arial" w:eastAsia="Arial" w:hAnsi="Arial"/>
          <w:sz w:val="22"/>
          <w:szCs w:val="22"/>
          <w:color w:val="auto"/>
        </w:rPr>
        <w:t>Expenses to remedy and bring to acceptable standards hazardous conditions in the home, such as:</w:t>
      </w:r>
    </w:p>
    <w:p>
      <w:pPr>
        <w:spacing w:after="0" w:line="57" w:lineRule="exact"/>
        <w:rPr>
          <w:rFonts w:ascii="Arial" w:cs="Arial" w:eastAsia="Arial" w:hAnsi="Arial"/>
          <w:sz w:val="16"/>
          <w:szCs w:val="16"/>
          <w:color w:val="798CBA"/>
        </w:rPr>
      </w:pPr>
    </w:p>
    <w:p>
      <w:pPr>
        <w:ind w:left="660" w:hanging="328"/>
        <w:spacing w:after="0"/>
        <w:tabs>
          <w:tab w:leader="none" w:pos="660" w:val="left"/>
        </w:tabs>
        <w:numPr>
          <w:ilvl w:val="1"/>
          <w:numId w:val="38"/>
        </w:numPr>
        <w:rPr>
          <w:rFonts w:ascii="Arial" w:cs="Arial" w:eastAsia="Arial" w:hAnsi="Arial"/>
          <w:sz w:val="20"/>
          <w:szCs w:val="20"/>
          <w:color w:val="798CBA"/>
        </w:rPr>
      </w:pPr>
      <w:r>
        <w:rPr>
          <w:rFonts w:ascii="Arial" w:cs="Arial" w:eastAsia="Arial" w:hAnsi="Arial"/>
          <w:sz w:val="22"/>
          <w:szCs w:val="22"/>
          <w:color w:val="auto"/>
        </w:rPr>
        <w:t>Radon gas</w:t>
      </w:r>
    </w:p>
    <w:p>
      <w:pPr>
        <w:spacing w:after="0" w:line="57" w:lineRule="exact"/>
        <w:rPr>
          <w:rFonts w:ascii="Arial" w:cs="Arial" w:eastAsia="Arial" w:hAnsi="Arial"/>
          <w:sz w:val="20"/>
          <w:szCs w:val="20"/>
          <w:color w:val="798CBA"/>
        </w:rPr>
      </w:pPr>
    </w:p>
    <w:p>
      <w:pPr>
        <w:ind w:left="660" w:hanging="328"/>
        <w:spacing w:after="0"/>
        <w:tabs>
          <w:tab w:leader="none" w:pos="660" w:val="left"/>
        </w:tabs>
        <w:numPr>
          <w:ilvl w:val="1"/>
          <w:numId w:val="38"/>
        </w:numPr>
        <w:rPr>
          <w:rFonts w:ascii="Arial" w:cs="Arial" w:eastAsia="Arial" w:hAnsi="Arial"/>
          <w:sz w:val="20"/>
          <w:szCs w:val="20"/>
          <w:color w:val="798CBA"/>
        </w:rPr>
      </w:pPr>
      <w:r>
        <w:rPr>
          <w:rFonts w:ascii="Arial" w:cs="Arial" w:eastAsia="Arial" w:hAnsi="Arial"/>
          <w:sz w:val="22"/>
          <w:szCs w:val="22"/>
          <w:color w:val="auto"/>
        </w:rPr>
        <w:t>Friable asbestos</w:t>
      </w:r>
    </w:p>
    <w:p>
      <w:pPr>
        <w:spacing w:after="0" w:line="57" w:lineRule="exact"/>
        <w:rPr>
          <w:rFonts w:ascii="Arial" w:cs="Arial" w:eastAsia="Arial" w:hAnsi="Arial"/>
          <w:sz w:val="20"/>
          <w:szCs w:val="20"/>
          <w:color w:val="798CBA"/>
        </w:rPr>
      </w:pPr>
    </w:p>
    <w:p>
      <w:pPr>
        <w:ind w:left="660" w:hanging="328"/>
        <w:spacing w:after="0"/>
        <w:tabs>
          <w:tab w:leader="none" w:pos="660" w:val="left"/>
        </w:tabs>
        <w:numPr>
          <w:ilvl w:val="1"/>
          <w:numId w:val="38"/>
        </w:numPr>
        <w:rPr>
          <w:rFonts w:ascii="Arial" w:cs="Arial" w:eastAsia="Arial" w:hAnsi="Arial"/>
          <w:sz w:val="20"/>
          <w:szCs w:val="20"/>
          <w:color w:val="798CBA"/>
        </w:rPr>
      </w:pPr>
      <w:r>
        <w:rPr>
          <w:rFonts w:ascii="Arial" w:cs="Arial" w:eastAsia="Arial" w:hAnsi="Arial"/>
          <w:sz w:val="22"/>
          <w:szCs w:val="22"/>
          <w:color w:val="auto"/>
        </w:rPr>
        <w:t>Lead-based paint</w:t>
      </w:r>
    </w:p>
    <w:p>
      <w:pPr>
        <w:spacing w:after="0" w:line="57" w:lineRule="exact"/>
        <w:rPr>
          <w:rFonts w:ascii="Arial" w:cs="Arial" w:eastAsia="Arial" w:hAnsi="Arial"/>
          <w:sz w:val="20"/>
          <w:szCs w:val="20"/>
          <w:color w:val="798CBA"/>
        </w:rPr>
      </w:pPr>
    </w:p>
    <w:p>
      <w:pPr>
        <w:ind w:left="660" w:hanging="328"/>
        <w:spacing w:after="0"/>
        <w:tabs>
          <w:tab w:leader="none" w:pos="660" w:val="left"/>
        </w:tabs>
        <w:numPr>
          <w:ilvl w:val="1"/>
          <w:numId w:val="38"/>
        </w:numPr>
        <w:rPr>
          <w:rFonts w:ascii="Arial" w:cs="Arial" w:eastAsia="Arial" w:hAnsi="Arial"/>
          <w:sz w:val="20"/>
          <w:szCs w:val="20"/>
          <w:color w:val="798CBA"/>
        </w:rPr>
      </w:pPr>
      <w:r>
        <w:rPr>
          <w:rFonts w:ascii="Arial" w:cs="Arial" w:eastAsia="Arial" w:hAnsi="Arial"/>
          <w:sz w:val="22"/>
          <w:szCs w:val="22"/>
          <w:color w:val="auto"/>
        </w:rPr>
        <w:t>Urea formaldehyde foam insulation</w:t>
      </w:r>
    </w:p>
    <w:p>
      <w:pPr>
        <w:spacing w:after="0" w:line="57" w:lineRule="exact"/>
        <w:rPr>
          <w:rFonts w:ascii="Arial" w:cs="Arial" w:eastAsia="Arial" w:hAnsi="Arial"/>
          <w:sz w:val="20"/>
          <w:szCs w:val="20"/>
          <w:color w:val="798CBA"/>
        </w:rPr>
      </w:pPr>
    </w:p>
    <w:p>
      <w:pPr>
        <w:ind w:left="660" w:hanging="328"/>
        <w:spacing w:after="0"/>
        <w:tabs>
          <w:tab w:leader="none" w:pos="660" w:val="left"/>
        </w:tabs>
        <w:numPr>
          <w:ilvl w:val="1"/>
          <w:numId w:val="38"/>
        </w:numPr>
        <w:rPr>
          <w:rFonts w:ascii="Arial" w:cs="Arial" w:eastAsia="Arial" w:hAnsi="Arial"/>
          <w:sz w:val="20"/>
          <w:szCs w:val="20"/>
          <w:color w:val="798CBA"/>
        </w:rPr>
      </w:pPr>
      <w:r>
        <w:rPr>
          <w:rFonts w:ascii="Arial" w:cs="Arial" w:eastAsia="Arial" w:hAnsi="Arial"/>
          <w:sz w:val="22"/>
          <w:szCs w:val="22"/>
          <w:color w:val="auto"/>
        </w:rPr>
        <w:t>Underground storage tanks containing toxic materials</w:t>
      </w:r>
    </w:p>
    <w:p>
      <w:pPr>
        <w:spacing w:after="0" w:line="57" w:lineRule="exact"/>
        <w:rPr>
          <w:rFonts w:ascii="Arial" w:cs="Arial" w:eastAsia="Arial" w:hAnsi="Arial"/>
          <w:sz w:val="20"/>
          <w:szCs w:val="20"/>
          <w:color w:val="798CBA"/>
        </w:rPr>
      </w:pPr>
    </w:p>
    <w:p>
      <w:pPr>
        <w:ind w:left="660" w:hanging="328"/>
        <w:spacing w:after="0"/>
        <w:tabs>
          <w:tab w:leader="none" w:pos="660" w:val="left"/>
        </w:tabs>
        <w:numPr>
          <w:ilvl w:val="1"/>
          <w:numId w:val="38"/>
        </w:numPr>
        <w:rPr>
          <w:rFonts w:ascii="Arial" w:cs="Arial" w:eastAsia="Arial" w:hAnsi="Arial"/>
          <w:sz w:val="20"/>
          <w:szCs w:val="20"/>
          <w:color w:val="798CBA"/>
        </w:rPr>
      </w:pPr>
      <w:r>
        <w:rPr>
          <w:rFonts w:ascii="Arial" w:cs="Arial" w:eastAsia="Arial" w:hAnsi="Arial"/>
          <w:sz w:val="22"/>
          <w:szCs w:val="22"/>
          <w:color w:val="auto"/>
        </w:rPr>
        <w:t>Similar environmental hazards</w:t>
      </w:r>
    </w:p>
    <w:p>
      <w:pPr>
        <w:spacing w:after="0" w:line="220"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Pages 1 and 2 of the HUD Settlement Statement/Disclosure Statement must be submitted to Altair for reimbursement of selling costs. Highlight the reimbursable expenses on the HUD statement, total these expenses, and attach to an Altair expense report form.</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Tax Liability</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This benefit is reported as additional gross earnings and the amount will be grossed up to help offset additional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8</w:t>
      </w:r>
    </w:p>
    <w:p>
      <w:pPr>
        <w:sectPr>
          <w:pgSz w:w="11900" w:h="16838" w:orient="portrait"/>
          <w:cols w:equalWidth="0" w:num="1">
            <w:col w:w="11400"/>
          </w:cols>
          <w:pgMar w:left="240" w:top="585" w:right="25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22"/>
          <w:szCs w:val="22"/>
          <w:b w:val="1"/>
          <w:bCs w:val="1"/>
          <w:color w:val="0C2E82"/>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t>New Home Finding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280"/>
        <w:spacing w:after="0" w:line="344" w:lineRule="auto"/>
        <w:rPr>
          <w:sz w:val="20"/>
          <w:szCs w:val="20"/>
          <w:color w:val="auto"/>
        </w:rPr>
      </w:pPr>
      <w:r>
        <w:rPr>
          <w:rFonts w:ascii="Arial" w:cs="Arial" w:eastAsia="Arial" w:hAnsi="Arial"/>
          <w:sz w:val="19"/>
          <w:szCs w:val="19"/>
          <w:color w:val="auto"/>
        </w:rPr>
        <w:t xml:space="preserve">When you are ready to visit your destination to look for suitable housing, Altair can take care of many of the details for you. </w:t>
      </w:r>
      <w:r>
        <w:rPr>
          <w:rFonts w:ascii="Arial" w:cs="Arial" w:eastAsia="Arial" w:hAnsi="Arial"/>
          <w:sz w:val="19"/>
          <w:szCs w:val="19"/>
          <w:b w:val="1"/>
          <w:bCs w:val="1"/>
          <w:color w:val="auto"/>
        </w:rPr>
        <w:t>Do</w:t>
      </w:r>
      <w:r>
        <w:rPr>
          <w:rFonts w:ascii="Arial" w:cs="Arial" w:eastAsia="Arial" w:hAnsi="Arial"/>
          <w:sz w:val="19"/>
          <w:szCs w:val="19"/>
          <w:color w:val="auto"/>
        </w:rPr>
        <w:t xml:space="preserve"> </w:t>
      </w:r>
      <w:r>
        <w:rPr>
          <w:rFonts w:ascii="Arial" w:cs="Arial" w:eastAsia="Arial" w:hAnsi="Arial"/>
          <w:sz w:val="19"/>
          <w:szCs w:val="19"/>
          <w:b w:val="1"/>
          <w:bCs w:val="1"/>
          <w:color w:val="auto"/>
        </w:rPr>
        <w:t>not contact any real estate professional at the destination without the guidance of your Altair consultant.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You will have plenty of help in searching for your new residence. Specifically:</w:t>
      </w:r>
    </w:p>
    <w:p>
      <w:pPr>
        <w:spacing w:after="0" w:line="112" w:lineRule="exact"/>
        <w:rPr>
          <w:sz w:val="20"/>
          <w:szCs w:val="20"/>
          <w:color w:val="auto"/>
        </w:rPr>
      </w:pPr>
    </w:p>
    <w:p>
      <w:pPr>
        <w:ind w:left="340" w:right="40" w:hanging="332"/>
        <w:spacing w:after="0" w:line="253" w:lineRule="auto"/>
        <w:tabs>
          <w:tab w:leader="none" w:pos="340" w:val="left"/>
        </w:tabs>
        <w:numPr>
          <w:ilvl w:val="0"/>
          <w:numId w:val="39"/>
        </w:numPr>
        <w:rPr>
          <w:rFonts w:ascii="Arial" w:cs="Arial" w:eastAsia="Arial" w:hAnsi="Arial"/>
          <w:sz w:val="16"/>
          <w:szCs w:val="16"/>
          <w:color w:val="798CBA"/>
        </w:rPr>
      </w:pPr>
      <w:r>
        <w:rPr>
          <w:rFonts w:ascii="Arial" w:cs="Arial" w:eastAsia="Arial" w:hAnsi="Arial"/>
          <w:sz w:val="22"/>
          <w:szCs w:val="22"/>
          <w:color w:val="auto"/>
        </w:rPr>
        <w:t>Before you depart to look for housing in the new location, your consultant will ask you for detailed information concerning your housing preferences, price range and family requirements. This information will be used to reduce time and effort looking at homes or apartments that do not fit your expectations or requirements.</w:t>
      </w:r>
    </w:p>
    <w:p>
      <w:pPr>
        <w:spacing w:after="0" w:line="131" w:lineRule="exact"/>
        <w:rPr>
          <w:rFonts w:ascii="Arial" w:cs="Arial" w:eastAsia="Arial" w:hAnsi="Arial"/>
          <w:sz w:val="16"/>
          <w:szCs w:val="16"/>
          <w:color w:val="798CBA"/>
        </w:rPr>
      </w:pPr>
    </w:p>
    <w:p>
      <w:pPr>
        <w:ind w:left="340" w:right="80" w:hanging="332"/>
        <w:spacing w:after="0" w:line="263" w:lineRule="auto"/>
        <w:tabs>
          <w:tab w:leader="none" w:pos="340" w:val="left"/>
        </w:tabs>
        <w:numPr>
          <w:ilvl w:val="0"/>
          <w:numId w:val="39"/>
        </w:numPr>
        <w:rPr>
          <w:rFonts w:ascii="Arial" w:cs="Arial" w:eastAsia="Arial" w:hAnsi="Arial"/>
          <w:sz w:val="16"/>
          <w:szCs w:val="16"/>
          <w:color w:val="798CBA"/>
        </w:rPr>
      </w:pPr>
      <w:r>
        <w:rPr>
          <w:rFonts w:ascii="Arial" w:cs="Arial" w:eastAsia="Arial" w:hAnsi="Arial"/>
          <w:sz w:val="22"/>
          <w:szCs w:val="22"/>
          <w:color w:val="auto"/>
        </w:rPr>
        <w:t>The Altair consultant is available every day to answer questions, coordinate services, and make certain that every resource you require is available throughout your visit to the destination city.</w:t>
      </w:r>
    </w:p>
    <w:p>
      <w:pPr>
        <w:spacing w:after="0" w:line="120" w:lineRule="exact"/>
        <w:rPr>
          <w:rFonts w:ascii="Arial" w:cs="Arial" w:eastAsia="Arial" w:hAnsi="Arial"/>
          <w:sz w:val="16"/>
          <w:szCs w:val="16"/>
          <w:color w:val="798CBA"/>
        </w:rPr>
      </w:pPr>
    </w:p>
    <w:p>
      <w:pPr>
        <w:ind w:left="340" w:hanging="332"/>
        <w:spacing w:after="0"/>
        <w:tabs>
          <w:tab w:leader="none" w:pos="340" w:val="left"/>
        </w:tabs>
        <w:numPr>
          <w:ilvl w:val="0"/>
          <w:numId w:val="39"/>
        </w:numPr>
        <w:rPr>
          <w:rFonts w:ascii="Arial" w:cs="Arial" w:eastAsia="Arial" w:hAnsi="Arial"/>
          <w:sz w:val="15"/>
          <w:szCs w:val="15"/>
          <w:color w:val="798CBA"/>
        </w:rPr>
      </w:pPr>
      <w:r>
        <w:rPr>
          <w:rFonts w:ascii="Arial" w:cs="Arial" w:eastAsia="Arial" w:hAnsi="Arial"/>
          <w:sz w:val="19"/>
          <w:szCs w:val="19"/>
          <w:color w:val="auto"/>
        </w:rPr>
        <w:t>If you wish to rent, Altair will arrange for a rental service or a real estate broker to assist you in locating the right place for you.</w:t>
      </w:r>
    </w:p>
    <w:p>
      <w:pPr>
        <w:spacing w:after="0" w:line="200" w:lineRule="exact"/>
        <w:rPr>
          <w:rFonts w:ascii="Arial" w:cs="Arial" w:eastAsia="Arial" w:hAnsi="Arial"/>
          <w:sz w:val="15"/>
          <w:szCs w:val="15"/>
          <w:color w:val="798CBA"/>
        </w:rPr>
      </w:pPr>
    </w:p>
    <w:p>
      <w:pPr>
        <w:ind w:left="340" w:hanging="332"/>
        <w:spacing w:after="0" w:line="253" w:lineRule="auto"/>
        <w:tabs>
          <w:tab w:leader="none" w:pos="340" w:val="left"/>
        </w:tabs>
        <w:numPr>
          <w:ilvl w:val="0"/>
          <w:numId w:val="39"/>
        </w:numPr>
        <w:rPr>
          <w:rFonts w:ascii="Arial" w:cs="Arial" w:eastAsia="Arial" w:hAnsi="Arial"/>
          <w:sz w:val="16"/>
          <w:szCs w:val="16"/>
          <w:color w:val="798CBA"/>
        </w:rPr>
      </w:pPr>
      <w:r>
        <w:rPr>
          <w:rFonts w:ascii="Arial" w:cs="Arial" w:eastAsia="Arial" w:hAnsi="Arial"/>
          <w:sz w:val="22"/>
          <w:szCs w:val="22"/>
          <w:color w:val="auto"/>
        </w:rPr>
        <w:t>If you choose to purchase a home, a real estate broker will arrange for house-hunting tours for every day you are in the area. You will be escorted to neighborhoods and homes of interest to you. Through your broker or agent, you will see homes targeted to meet the goals and needs you have expressed.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Business Expenses</w:t>
      </w:r>
    </w:p>
    <w:p>
      <w:pPr>
        <w:spacing w:after="0" w:line="112" w:lineRule="exact"/>
        <w:rPr>
          <w:sz w:val="20"/>
          <w:szCs w:val="20"/>
          <w:color w:val="auto"/>
        </w:rPr>
      </w:pPr>
    </w:p>
    <w:p>
      <w:pPr>
        <w:ind w:right="160"/>
        <w:spacing w:after="0" w:line="269" w:lineRule="auto"/>
        <w:rPr>
          <w:sz w:val="20"/>
          <w:szCs w:val="20"/>
          <w:color w:val="auto"/>
        </w:rPr>
      </w:pPr>
      <w:r>
        <w:rPr>
          <w:rFonts w:ascii="Arial" w:cs="Arial" w:eastAsia="Arial" w:hAnsi="Arial"/>
          <w:sz w:val="22"/>
          <w:szCs w:val="22"/>
          <w:color w:val="auto"/>
        </w:rPr>
        <w:t xml:space="preserve">Should you incur business expenses during the home finding trip, </w:t>
      </w:r>
      <w:r>
        <w:rPr>
          <w:rFonts w:ascii="Arial" w:cs="Arial" w:eastAsia="Arial" w:hAnsi="Arial"/>
          <w:sz w:val="22"/>
          <w:szCs w:val="22"/>
          <w:b w:val="1"/>
          <w:bCs w:val="1"/>
          <w:color w:val="auto"/>
        </w:rPr>
        <w:t>these expenses must be segregated from relocation expenses</w:t>
      </w:r>
      <w:r>
        <w:rPr>
          <w:rFonts w:ascii="Arial" w:cs="Arial" w:eastAsia="Arial" w:hAnsi="Arial"/>
          <w:sz w:val="22"/>
          <w:szCs w:val="22"/>
          <w:color w:val="auto"/>
        </w:rPr>
        <w:t xml:space="preserve"> and submitted to Autodesk separately to avoid relocation tax liability.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Tax Liability</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This benefit is reported as additional gross earnings and the amount will be grossed up to help offset additional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1665605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9</w:t>
      </w:r>
    </w:p>
    <w:p>
      <w:pPr>
        <w:sectPr>
          <w:pgSz w:w="11900" w:h="16838" w:orient="portrait"/>
          <w:cols w:equalWidth="0" w:num="1">
            <w:col w:w="11360"/>
          </w:cols>
          <w:pgMar w:left="240" w:top="612" w:right="299" w:bottom="1440" w:gutter="0" w:footer="0" w:header="0"/>
        </w:sectPr>
      </w:pPr>
    </w:p>
    <w:bookmarkStart w:id="79" w:name="page80"/>
    <w:bookmarkEnd w:id="79"/>
    <w:p>
      <w:pPr>
        <w:jc w:val="center"/>
        <w:ind w:right="-179"/>
        <w:spacing w:after="0"/>
        <w:rPr>
          <w:sz w:val="20"/>
          <w:szCs w:val="20"/>
          <w:color w:val="auto"/>
        </w:rPr>
      </w:pPr>
      <w:r>
        <w:rPr>
          <w:rFonts w:ascii="Arial" w:cs="Arial" w:eastAsia="Arial" w:hAnsi="Arial"/>
          <w:sz w:val="22"/>
          <w:szCs w:val="22"/>
          <w:b w:val="1"/>
          <w:bCs w:val="1"/>
          <w:color w:val="0C2E82"/>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t>Mortgage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One of the critical aspects of buying a new home is obtaining mortgage financing. Altair can provide you with a list of representatives of selected local and national mortgage companies that will offer loan programs for your use. You are not required to use any of the lenders referred by Altair, but they typically offer mortgages at competitive interest rates and reduced fees. Your designated mortgage company will provide details on financing your transaction.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Home Purchase Closing Costs</w:t>
      </w:r>
    </w:p>
    <w:p>
      <w:pPr>
        <w:spacing w:after="0" w:line="112" w:lineRule="exact"/>
        <w:rPr>
          <w:sz w:val="20"/>
          <w:szCs w:val="20"/>
          <w:color w:val="auto"/>
        </w:rPr>
      </w:pPr>
    </w:p>
    <w:p>
      <w:pPr>
        <w:ind w:right="20"/>
        <w:spacing w:after="0" w:line="343" w:lineRule="auto"/>
        <w:rPr>
          <w:sz w:val="20"/>
          <w:szCs w:val="20"/>
          <w:color w:val="auto"/>
        </w:rPr>
      </w:pPr>
      <w:r>
        <w:rPr>
          <w:rFonts w:ascii="Arial" w:cs="Arial" w:eastAsia="Arial" w:hAnsi="Arial"/>
          <w:sz w:val="19"/>
          <w:szCs w:val="19"/>
          <w:color w:val="auto"/>
        </w:rPr>
        <w:t>You are eligible for reimbursement of normal closing costs when you purchase a home at the new location. To receive this benefit you must close the purchase of your new home within two years of your report date at the destination assignment.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Closing Procedures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Your mortgage company will provide details on financing your transaction.</w:t>
      </w:r>
    </w:p>
    <w:p>
      <w:pPr>
        <w:spacing w:after="0" w:line="112" w:lineRule="exact"/>
        <w:rPr>
          <w:sz w:val="20"/>
          <w:szCs w:val="20"/>
          <w:color w:val="auto"/>
        </w:rPr>
      </w:pPr>
    </w:p>
    <w:p>
      <w:pPr>
        <w:ind w:right="460"/>
        <w:spacing w:after="0" w:line="287" w:lineRule="auto"/>
        <w:rPr>
          <w:sz w:val="20"/>
          <w:szCs w:val="20"/>
          <w:color w:val="auto"/>
        </w:rPr>
      </w:pPr>
      <w:r>
        <w:rPr>
          <w:rFonts w:ascii="Arial" w:cs="Arial" w:eastAsia="Arial" w:hAnsi="Arial"/>
          <w:sz w:val="21"/>
          <w:szCs w:val="21"/>
          <w:color w:val="auto"/>
        </w:rPr>
        <w:t>Your Altair consultant will review your closing documents to make certain that the charges are in order, consistent with your negotiated purchase contract and within the limits of reimbursements that will be paid by Autodesk.</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Covered Closing Expenses</w:t>
      </w:r>
    </w:p>
    <w:p>
      <w:pPr>
        <w:spacing w:after="0" w:line="118"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6"/>
          <w:szCs w:val="16"/>
          <w:color w:val="798CBA"/>
        </w:rPr>
      </w:pPr>
      <w:r>
        <w:rPr>
          <w:rFonts w:ascii="Arial" w:cs="Arial" w:eastAsia="Arial" w:hAnsi="Arial"/>
          <w:sz w:val="22"/>
          <w:szCs w:val="22"/>
          <w:color w:val="auto"/>
        </w:rPr>
        <w:t>Title search</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0"/>
        </w:numPr>
        <w:rPr>
          <w:rFonts w:ascii="Arial" w:cs="Arial" w:eastAsia="Arial" w:hAnsi="Arial"/>
          <w:sz w:val="16"/>
          <w:szCs w:val="16"/>
          <w:color w:val="798CBA"/>
        </w:rPr>
      </w:pPr>
      <w:r>
        <w:rPr>
          <w:rFonts w:ascii="Arial" w:cs="Arial" w:eastAsia="Arial" w:hAnsi="Arial"/>
          <w:sz w:val="22"/>
          <w:szCs w:val="22"/>
          <w:color w:val="auto"/>
        </w:rPr>
        <w:t>Lender required purchaser inspections</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0"/>
        </w:numPr>
        <w:rPr>
          <w:rFonts w:ascii="Arial" w:cs="Arial" w:eastAsia="Arial" w:hAnsi="Arial"/>
          <w:sz w:val="16"/>
          <w:szCs w:val="16"/>
          <w:color w:val="798CBA"/>
        </w:rPr>
      </w:pPr>
      <w:r>
        <w:rPr>
          <w:rFonts w:ascii="Arial" w:cs="Arial" w:eastAsia="Arial" w:hAnsi="Arial"/>
          <w:sz w:val="22"/>
          <w:szCs w:val="22"/>
          <w:color w:val="auto"/>
        </w:rPr>
        <w:t>Transfer tax</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0"/>
        </w:numPr>
        <w:rPr>
          <w:rFonts w:ascii="Arial" w:cs="Arial" w:eastAsia="Arial" w:hAnsi="Arial"/>
          <w:sz w:val="16"/>
          <w:szCs w:val="16"/>
          <w:color w:val="798CBA"/>
        </w:rPr>
      </w:pPr>
      <w:r>
        <w:rPr>
          <w:rFonts w:ascii="Arial" w:cs="Arial" w:eastAsia="Arial" w:hAnsi="Arial"/>
          <w:sz w:val="22"/>
          <w:szCs w:val="22"/>
          <w:color w:val="auto"/>
        </w:rPr>
        <w:t>Title insurance</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0"/>
        </w:numPr>
        <w:rPr>
          <w:rFonts w:ascii="Arial" w:cs="Arial" w:eastAsia="Arial" w:hAnsi="Arial"/>
          <w:sz w:val="16"/>
          <w:szCs w:val="16"/>
          <w:color w:val="798CBA"/>
        </w:rPr>
      </w:pPr>
      <w:r>
        <w:rPr>
          <w:rFonts w:ascii="Arial" w:cs="Arial" w:eastAsia="Arial" w:hAnsi="Arial"/>
          <w:sz w:val="22"/>
          <w:szCs w:val="22"/>
          <w:color w:val="auto"/>
        </w:rPr>
        <w:t>Escrow and title fees</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0"/>
        </w:numPr>
        <w:rPr>
          <w:rFonts w:ascii="Arial" w:cs="Arial" w:eastAsia="Arial" w:hAnsi="Arial"/>
          <w:sz w:val="16"/>
          <w:szCs w:val="16"/>
          <w:color w:val="798CBA"/>
        </w:rPr>
      </w:pPr>
      <w:r>
        <w:rPr>
          <w:rFonts w:ascii="Arial" w:cs="Arial" w:eastAsia="Arial" w:hAnsi="Arial"/>
          <w:sz w:val="22"/>
          <w:szCs w:val="22"/>
          <w:color w:val="auto"/>
        </w:rPr>
        <w:t>Appraisal fee</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0"/>
        </w:numPr>
        <w:rPr>
          <w:rFonts w:ascii="Arial" w:cs="Arial" w:eastAsia="Arial" w:hAnsi="Arial"/>
          <w:sz w:val="16"/>
          <w:szCs w:val="16"/>
          <w:color w:val="798CBA"/>
        </w:rPr>
      </w:pPr>
      <w:r>
        <w:rPr>
          <w:rFonts w:ascii="Arial" w:cs="Arial" w:eastAsia="Arial" w:hAnsi="Arial"/>
          <w:sz w:val="22"/>
          <w:szCs w:val="22"/>
          <w:color w:val="auto"/>
        </w:rPr>
        <w:t>Recording fees</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0"/>
        </w:numPr>
        <w:rPr>
          <w:rFonts w:ascii="Arial" w:cs="Arial" w:eastAsia="Arial" w:hAnsi="Arial"/>
          <w:sz w:val="16"/>
          <w:szCs w:val="16"/>
          <w:color w:val="798CBA"/>
        </w:rPr>
      </w:pPr>
      <w:r>
        <w:rPr>
          <w:rFonts w:ascii="Arial" w:cs="Arial" w:eastAsia="Arial" w:hAnsi="Arial"/>
          <w:sz w:val="22"/>
          <w:szCs w:val="22"/>
          <w:color w:val="auto"/>
        </w:rPr>
        <w:t>Document preparation fees</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0"/>
        </w:numPr>
        <w:rPr>
          <w:rFonts w:ascii="Arial" w:cs="Arial" w:eastAsia="Arial" w:hAnsi="Arial"/>
          <w:sz w:val="16"/>
          <w:szCs w:val="16"/>
          <w:color w:val="798CBA"/>
        </w:rPr>
      </w:pPr>
      <w:r>
        <w:rPr>
          <w:rFonts w:ascii="Arial" w:cs="Arial" w:eastAsia="Arial" w:hAnsi="Arial"/>
          <w:sz w:val="22"/>
          <w:szCs w:val="22"/>
          <w:color w:val="auto"/>
        </w:rPr>
        <w:t>Tax service fee</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0"/>
        </w:numPr>
        <w:rPr>
          <w:rFonts w:ascii="Arial" w:cs="Arial" w:eastAsia="Arial" w:hAnsi="Arial"/>
          <w:sz w:val="16"/>
          <w:szCs w:val="16"/>
          <w:color w:val="798CBA"/>
        </w:rPr>
      </w:pPr>
      <w:r>
        <w:rPr>
          <w:rFonts w:ascii="Arial" w:cs="Arial" w:eastAsia="Arial" w:hAnsi="Arial"/>
          <w:sz w:val="22"/>
          <w:szCs w:val="22"/>
          <w:color w:val="auto"/>
        </w:rPr>
        <w:t>Processing and underwriting fee</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0"/>
        </w:numPr>
        <w:rPr>
          <w:rFonts w:ascii="Arial" w:cs="Arial" w:eastAsia="Arial" w:hAnsi="Arial"/>
          <w:sz w:val="16"/>
          <w:szCs w:val="16"/>
          <w:color w:val="798CBA"/>
        </w:rPr>
      </w:pPr>
      <w:r>
        <w:rPr>
          <w:rFonts w:ascii="Arial" w:cs="Arial" w:eastAsia="Arial" w:hAnsi="Arial"/>
          <w:sz w:val="22"/>
          <w:szCs w:val="22"/>
          <w:color w:val="auto"/>
        </w:rPr>
        <w:t>Wire transfer and delivery fee</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0"/>
        </w:numPr>
        <w:rPr>
          <w:rFonts w:ascii="Arial" w:cs="Arial" w:eastAsia="Arial" w:hAnsi="Arial"/>
          <w:sz w:val="16"/>
          <w:szCs w:val="16"/>
          <w:color w:val="798CBA"/>
        </w:rPr>
      </w:pPr>
      <w:r>
        <w:rPr>
          <w:rFonts w:ascii="Arial" w:cs="Arial" w:eastAsia="Arial" w:hAnsi="Arial"/>
          <w:sz w:val="22"/>
          <w:szCs w:val="22"/>
          <w:color w:val="auto"/>
        </w:rPr>
        <w:t>General home inspection</w:t>
      </w:r>
    </w:p>
    <w:p>
      <w:pPr>
        <w:spacing w:after="0" w:line="200" w:lineRule="exact"/>
        <w:rPr>
          <w:sz w:val="20"/>
          <w:szCs w:val="20"/>
          <w:color w:val="auto"/>
        </w:rPr>
      </w:pPr>
    </w:p>
    <w:p>
      <w:pPr>
        <w:spacing w:after="0" w:line="276"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i w:val="1"/>
          <w:iCs w:val="1"/>
          <w:color w:val="auto"/>
        </w:rPr>
        <w:t xml:space="preserve">Note: </w:t>
      </w:r>
      <w:r>
        <w:rPr>
          <w:rFonts w:ascii="Arial" w:cs="Arial" w:eastAsia="Arial" w:hAnsi="Arial"/>
          <w:sz w:val="22"/>
          <w:szCs w:val="22"/>
          <w:color w:val="auto"/>
        </w:rPr>
        <w:t>The items listed above are not all inclusive. Eligible expenses may vary by local custom. Your consultant will advise you</w:t>
      </w:r>
      <w:r>
        <w:rPr>
          <w:rFonts w:ascii="Arial" w:cs="Arial" w:eastAsia="Arial" w:hAnsi="Arial"/>
          <w:sz w:val="22"/>
          <w:szCs w:val="22"/>
          <w:i w:val="1"/>
          <w:iCs w:val="1"/>
          <w:color w:val="auto"/>
        </w:rPr>
        <w:t xml:space="preserve"> </w:t>
      </w:r>
      <w:r>
        <w:rPr>
          <w:rFonts w:ascii="Arial" w:cs="Arial" w:eastAsia="Arial" w:hAnsi="Arial"/>
          <w:sz w:val="22"/>
          <w:szCs w:val="22"/>
          <w:color w:val="auto"/>
        </w:rPr>
        <w:t>regarding expenses covered by Autodesk.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10</w:t>
      </w:r>
    </w:p>
    <w:p>
      <w:pPr>
        <w:sectPr>
          <w:pgSz w:w="11900" w:h="16838" w:orient="portrait"/>
          <w:cols w:equalWidth="0" w:num="1">
            <w:col w:w="11240"/>
          </w:cols>
          <w:pgMar w:left="240" w:top="612" w:right="419" w:bottom="1440" w:gutter="0" w:footer="0" w:header="0"/>
        </w:sectPr>
      </w:pPr>
    </w:p>
    <w:bookmarkStart w:id="80" w:name="page81"/>
    <w:bookmarkEnd w:id="80"/>
    <w:p>
      <w:pPr>
        <w:spacing w:after="0"/>
        <w:rPr>
          <w:sz w:val="20"/>
          <w:szCs w:val="20"/>
          <w:color w:val="auto"/>
        </w:rPr>
      </w:pPr>
      <w:r>
        <w:rPr>
          <w:rFonts w:ascii="Arial" w:cs="Arial" w:eastAsia="Arial" w:hAnsi="Arial"/>
          <w:sz w:val="22"/>
          <w:szCs w:val="22"/>
          <w:b w:val="1"/>
          <w:bCs w:val="1"/>
          <w:color w:val="0C2E82"/>
        </w:rPr>
        <w:t>Non-covered Closing Expenses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Specifically </w:t>
      </w:r>
      <w:r>
        <w:rPr>
          <w:rFonts w:ascii="Arial" w:cs="Arial" w:eastAsia="Arial" w:hAnsi="Arial"/>
          <w:sz w:val="22"/>
          <w:szCs w:val="22"/>
          <w:b w:val="1"/>
          <w:bCs w:val="1"/>
          <w:color w:val="auto"/>
        </w:rPr>
        <w:t>excluded</w:t>
      </w:r>
      <w:r>
        <w:rPr>
          <w:rFonts w:ascii="Arial" w:cs="Arial" w:eastAsia="Arial" w:hAnsi="Arial"/>
          <w:sz w:val="22"/>
          <w:szCs w:val="22"/>
          <w:color w:val="auto"/>
        </w:rPr>
        <w:t xml:space="preserve"> are prepaid expenses such as:</w:t>
      </w:r>
    </w:p>
    <w:p>
      <w:pPr>
        <w:spacing w:after="0" w:line="118"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6"/>
          <w:szCs w:val="16"/>
          <w:color w:val="798CBA"/>
        </w:rPr>
      </w:pPr>
      <w:r>
        <w:rPr>
          <w:rFonts w:ascii="Arial" w:cs="Arial" w:eastAsia="Arial" w:hAnsi="Arial"/>
          <w:sz w:val="22"/>
          <w:szCs w:val="22"/>
          <w:color w:val="auto"/>
        </w:rPr>
        <w:t>Loan origination fees</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1"/>
        </w:numPr>
        <w:rPr>
          <w:rFonts w:ascii="Arial" w:cs="Arial" w:eastAsia="Arial" w:hAnsi="Arial"/>
          <w:sz w:val="16"/>
          <w:szCs w:val="16"/>
          <w:color w:val="798CBA"/>
        </w:rPr>
      </w:pPr>
      <w:r>
        <w:rPr>
          <w:rFonts w:ascii="Arial" w:cs="Arial" w:eastAsia="Arial" w:hAnsi="Arial"/>
          <w:sz w:val="22"/>
          <w:szCs w:val="22"/>
          <w:color w:val="auto"/>
        </w:rPr>
        <w:t>Prorated interest</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1"/>
        </w:numPr>
        <w:rPr>
          <w:rFonts w:ascii="Arial" w:cs="Arial" w:eastAsia="Arial" w:hAnsi="Arial"/>
          <w:sz w:val="16"/>
          <w:szCs w:val="16"/>
          <w:color w:val="798CBA"/>
        </w:rPr>
      </w:pPr>
      <w:r>
        <w:rPr>
          <w:rFonts w:ascii="Arial" w:cs="Arial" w:eastAsia="Arial" w:hAnsi="Arial"/>
          <w:sz w:val="22"/>
          <w:szCs w:val="22"/>
          <w:color w:val="auto"/>
        </w:rPr>
        <w:t>Discount points</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1"/>
        </w:numPr>
        <w:rPr>
          <w:rFonts w:ascii="Arial" w:cs="Arial" w:eastAsia="Arial" w:hAnsi="Arial"/>
          <w:sz w:val="16"/>
          <w:szCs w:val="16"/>
          <w:color w:val="798CBA"/>
        </w:rPr>
      </w:pPr>
      <w:r>
        <w:rPr>
          <w:rFonts w:ascii="Arial" w:cs="Arial" w:eastAsia="Arial" w:hAnsi="Arial"/>
          <w:sz w:val="22"/>
          <w:szCs w:val="22"/>
          <w:color w:val="auto"/>
        </w:rPr>
        <w:t>Taxes</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1"/>
        </w:numPr>
        <w:rPr>
          <w:rFonts w:ascii="Arial" w:cs="Arial" w:eastAsia="Arial" w:hAnsi="Arial"/>
          <w:sz w:val="16"/>
          <w:szCs w:val="16"/>
          <w:color w:val="798CBA"/>
        </w:rPr>
      </w:pPr>
      <w:r>
        <w:rPr>
          <w:rFonts w:ascii="Arial" w:cs="Arial" w:eastAsia="Arial" w:hAnsi="Arial"/>
          <w:sz w:val="22"/>
          <w:szCs w:val="22"/>
          <w:color w:val="auto"/>
        </w:rPr>
        <w:t>Homeowner’s insurance</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1"/>
        </w:numPr>
        <w:rPr>
          <w:rFonts w:ascii="Arial" w:cs="Arial" w:eastAsia="Arial" w:hAnsi="Arial"/>
          <w:sz w:val="16"/>
          <w:szCs w:val="16"/>
          <w:color w:val="798CBA"/>
        </w:rPr>
      </w:pPr>
      <w:r>
        <w:rPr>
          <w:rFonts w:ascii="Arial" w:cs="Arial" w:eastAsia="Arial" w:hAnsi="Arial"/>
          <w:sz w:val="22"/>
          <w:szCs w:val="22"/>
          <w:color w:val="auto"/>
        </w:rPr>
        <w:t>Mortgage insurance</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1"/>
        </w:numPr>
        <w:rPr>
          <w:rFonts w:ascii="Arial" w:cs="Arial" w:eastAsia="Arial" w:hAnsi="Arial"/>
          <w:sz w:val="16"/>
          <w:szCs w:val="16"/>
          <w:color w:val="798CBA"/>
        </w:rPr>
      </w:pPr>
      <w:r>
        <w:rPr>
          <w:rFonts w:ascii="Arial" w:cs="Arial" w:eastAsia="Arial" w:hAnsi="Arial"/>
          <w:sz w:val="22"/>
          <w:szCs w:val="22"/>
          <w:color w:val="auto"/>
        </w:rPr>
        <w:t>Earnest money payments</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1"/>
        </w:numPr>
        <w:rPr>
          <w:rFonts w:ascii="Arial" w:cs="Arial" w:eastAsia="Arial" w:hAnsi="Arial"/>
          <w:sz w:val="16"/>
          <w:szCs w:val="16"/>
          <w:color w:val="798CBA"/>
        </w:rPr>
      </w:pPr>
      <w:r>
        <w:rPr>
          <w:rFonts w:ascii="Arial" w:cs="Arial" w:eastAsia="Arial" w:hAnsi="Arial"/>
          <w:sz w:val="22"/>
          <w:szCs w:val="22"/>
          <w:color w:val="auto"/>
        </w:rPr>
        <w:t>Property mortgage insurance for insufficient down money</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1"/>
        </w:numPr>
        <w:rPr>
          <w:rFonts w:ascii="Arial" w:cs="Arial" w:eastAsia="Arial" w:hAnsi="Arial"/>
          <w:sz w:val="16"/>
          <w:szCs w:val="16"/>
          <w:color w:val="798CBA"/>
        </w:rPr>
      </w:pPr>
      <w:r>
        <w:rPr>
          <w:rFonts w:ascii="Arial" w:cs="Arial" w:eastAsia="Arial" w:hAnsi="Arial"/>
          <w:sz w:val="22"/>
          <w:szCs w:val="22"/>
          <w:color w:val="auto"/>
        </w:rPr>
        <w:t>Tax or insurance escrow</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1"/>
        </w:numPr>
        <w:rPr>
          <w:rFonts w:ascii="Arial" w:cs="Arial" w:eastAsia="Arial" w:hAnsi="Arial"/>
          <w:sz w:val="16"/>
          <w:szCs w:val="16"/>
          <w:color w:val="798CBA"/>
        </w:rPr>
      </w:pPr>
      <w:r>
        <w:rPr>
          <w:rFonts w:ascii="Arial" w:cs="Arial" w:eastAsia="Arial" w:hAnsi="Arial"/>
          <w:sz w:val="22"/>
          <w:szCs w:val="22"/>
          <w:color w:val="auto"/>
        </w:rPr>
        <w:t>Home warranties</w:t>
      </w:r>
    </w:p>
    <w:p>
      <w:pPr>
        <w:spacing w:after="0" w:line="57" w:lineRule="exact"/>
        <w:rPr>
          <w:rFonts w:ascii="Arial" w:cs="Arial" w:eastAsia="Arial" w:hAnsi="Arial"/>
          <w:sz w:val="16"/>
          <w:szCs w:val="16"/>
          <w:color w:val="798CBA"/>
        </w:rPr>
      </w:pPr>
    </w:p>
    <w:p>
      <w:pPr>
        <w:ind w:left="340" w:hanging="332"/>
        <w:spacing w:after="0"/>
        <w:tabs>
          <w:tab w:leader="none" w:pos="340" w:val="left"/>
        </w:tabs>
        <w:numPr>
          <w:ilvl w:val="0"/>
          <w:numId w:val="41"/>
        </w:numPr>
        <w:rPr>
          <w:rFonts w:ascii="Arial" w:cs="Arial" w:eastAsia="Arial" w:hAnsi="Arial"/>
          <w:sz w:val="16"/>
          <w:szCs w:val="16"/>
          <w:color w:val="798CBA"/>
        </w:rPr>
      </w:pPr>
      <w:r>
        <w:rPr>
          <w:rFonts w:ascii="Arial" w:cs="Arial" w:eastAsia="Arial" w:hAnsi="Arial"/>
          <w:sz w:val="22"/>
          <w:szCs w:val="22"/>
          <w:color w:val="auto"/>
        </w:rPr>
        <w:t>Any fees associated with second mortgages</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Tax Liability</w:t>
      </w:r>
    </w:p>
    <w:p>
      <w:pPr>
        <w:spacing w:after="0" w:line="11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Covered home purchase expenses are reported as additional gross earnings and are grossed up. If you have any questions, consult a tax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1355725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11</w:t>
      </w:r>
    </w:p>
    <w:p>
      <w:pPr>
        <w:sectPr>
          <w:pgSz w:w="11900" w:h="16838" w:orient="portrait"/>
          <w:cols w:equalWidth="0" w:num="1">
            <w:col w:w="11340"/>
          </w:cols>
          <w:pgMar w:left="240" w:top="585" w:right="319" w:bottom="1440" w:gutter="0" w:footer="0" w:header="0"/>
        </w:sectPr>
      </w:pPr>
    </w:p>
    <w:bookmarkStart w:id="81" w:name="page82"/>
    <w:bookmarkEnd w:id="81"/>
    <w:p>
      <w:pPr>
        <w:jc w:val="center"/>
        <w:ind w:right="-199"/>
        <w:spacing w:after="0"/>
        <w:rPr>
          <w:sz w:val="20"/>
          <w:szCs w:val="20"/>
          <w:color w:val="auto"/>
        </w:rPr>
      </w:pPr>
      <w:r>
        <w:rPr>
          <w:rFonts w:ascii="Arial" w:cs="Arial" w:eastAsia="Arial" w:hAnsi="Arial"/>
          <w:sz w:val="22"/>
          <w:szCs w:val="22"/>
          <w:b w:val="1"/>
          <w:bCs w:val="1"/>
          <w:color w:val="0C2E82"/>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t>Household Goods Moving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color w:val="auto"/>
        </w:rPr>
        <w:t>Moving your household goods is a critical part of your relocation, and Altair will make the experience as worry-free as possible. Your valued belongings will be shipped by one of Altair’s select moving companies, chosen to deliver the highest quality of service.</w:t>
      </w:r>
    </w:p>
    <w:p>
      <w:pPr>
        <w:spacing w:after="0" w:line="78" w:lineRule="exact"/>
        <w:rPr>
          <w:sz w:val="20"/>
          <w:szCs w:val="20"/>
          <w:color w:val="auto"/>
        </w:rPr>
      </w:pPr>
    </w:p>
    <w:p>
      <w:pPr>
        <w:jc w:val="both"/>
        <w:ind w:right="120"/>
        <w:spacing w:after="0" w:line="253" w:lineRule="auto"/>
        <w:rPr>
          <w:sz w:val="20"/>
          <w:szCs w:val="20"/>
          <w:color w:val="auto"/>
        </w:rPr>
      </w:pPr>
      <w:r>
        <w:rPr>
          <w:rFonts w:ascii="Arial" w:cs="Arial" w:eastAsia="Arial" w:hAnsi="Arial"/>
          <w:sz w:val="22"/>
          <w:szCs w:val="22"/>
          <w:color w:val="auto"/>
        </w:rPr>
        <w:t>Your consultant will arrange for Altair’s household goods move coordinator to contact you initially and provide you with details surrounding the movement of your household goods. The moving company will need sufficient time to properly coordinate your move, ideally at least three weeks’ advance notice.</w:t>
      </w:r>
    </w:p>
    <w:p>
      <w:pPr>
        <w:spacing w:after="0" w:line="78" w:lineRule="exact"/>
        <w:rPr>
          <w:sz w:val="20"/>
          <w:szCs w:val="20"/>
          <w:color w:val="auto"/>
        </w:rPr>
      </w:pPr>
    </w:p>
    <w:p>
      <w:pPr>
        <w:ind w:right="40"/>
        <w:spacing w:after="0" w:line="287" w:lineRule="auto"/>
        <w:rPr>
          <w:sz w:val="20"/>
          <w:szCs w:val="20"/>
          <w:color w:val="auto"/>
        </w:rPr>
      </w:pPr>
      <w:r>
        <w:rPr>
          <w:rFonts w:ascii="Arial" w:cs="Arial" w:eastAsia="Arial" w:hAnsi="Arial"/>
          <w:sz w:val="21"/>
          <w:szCs w:val="21"/>
          <w:color w:val="auto"/>
        </w:rPr>
        <w:t>Packing and loading dates will be arranged with every attempt made to provide these services on the dates you request. However, keep in mind that Autodesk will not authorize or reimburse additional costs of weekend or holiday service.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Insurance</w:t>
      </w:r>
    </w:p>
    <w:p>
      <w:pPr>
        <w:spacing w:after="0" w:line="118"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color w:val="auto"/>
        </w:rPr>
        <w:t>Replacement cost insurance up to $100,000 is provided at no cost to you. If you require additional coverage in excess of that provided, the cost will be billed to you.</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Moving Services</w:t>
      </w:r>
    </w:p>
    <w:p>
      <w:pPr>
        <w:spacing w:after="0" w:line="118"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The selected household goods carrier will pack, load, insure, transport, deliver and unpack up to 25,000 pounds of your normal household goods. There are some limits to this service. Furniture and boxes will be placed in your home where specified, and the contents of your boxes will be unpacked and placed on the closest flat surface if desired. Unpacking beyond this description is considered a settling-in service or maid service and may be obtained from the moving company at an additional cost to you. Maid or settling-in services are considered miscellaneous expenses and will not be reimbursed by Autodesk.</w:t>
      </w:r>
    </w:p>
    <w:p>
      <w:pPr>
        <w:spacing w:after="0" w:line="39" w:lineRule="exact"/>
        <w:rPr>
          <w:sz w:val="20"/>
          <w:szCs w:val="20"/>
          <w:color w:val="auto"/>
        </w:rPr>
      </w:pPr>
    </w:p>
    <w:p>
      <w:pPr>
        <w:ind w:right="100"/>
        <w:spacing w:after="0" w:line="312" w:lineRule="auto"/>
        <w:rPr>
          <w:sz w:val="20"/>
          <w:szCs w:val="20"/>
          <w:color w:val="auto"/>
        </w:rPr>
      </w:pPr>
      <w:r>
        <w:rPr>
          <w:rFonts w:ascii="Arial" w:cs="Arial" w:eastAsia="Arial" w:hAnsi="Arial"/>
          <w:sz w:val="19"/>
          <w:szCs w:val="19"/>
          <w:color w:val="auto"/>
        </w:rPr>
        <w:t>Depending on the complexity of services you require, some additional services may be performed by your moving company or a third-party service firm when deemed necessary by Altair and within reasonable costs. Such “third-party” services, including crating, will be considered for normal household goods only and will not include service for items affixed to the property.</w:t>
      </w:r>
    </w:p>
    <w:p>
      <w:pPr>
        <w:spacing w:after="0" w:line="26"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It is strongly recommended that you take advantage of the packing services provided by this policy. If you pack yourself, no cost saving is realized and none of the goods that you pack will be insured.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Household Goods Storage</w:t>
      </w:r>
    </w:p>
    <w:p>
      <w:pPr>
        <w:spacing w:after="0" w:line="112" w:lineRule="exact"/>
        <w:rPr>
          <w:sz w:val="20"/>
          <w:szCs w:val="20"/>
          <w:color w:val="auto"/>
        </w:rPr>
      </w:pPr>
    </w:p>
    <w:p>
      <w:pPr>
        <w:ind w:right="220"/>
        <w:spacing w:after="0" w:line="350" w:lineRule="auto"/>
        <w:rPr>
          <w:sz w:val="20"/>
          <w:szCs w:val="20"/>
          <w:color w:val="auto"/>
        </w:rPr>
      </w:pPr>
      <w:r>
        <w:rPr>
          <w:rFonts w:ascii="Arial" w:cs="Arial" w:eastAsia="Arial" w:hAnsi="Arial"/>
          <w:sz w:val="19"/>
          <w:szCs w:val="19"/>
          <w:color w:val="auto"/>
        </w:rPr>
        <w:t xml:space="preserve">Storage of household goods and personal effects in transit will be covered up to 30 days, </w:t>
      </w:r>
      <w:r>
        <w:rPr>
          <w:rFonts w:ascii="Arial" w:cs="Arial" w:eastAsia="Arial" w:hAnsi="Arial"/>
          <w:sz w:val="19"/>
          <w:szCs w:val="19"/>
          <w:b w:val="1"/>
          <w:bCs w:val="1"/>
          <w:color w:val="auto"/>
        </w:rPr>
        <w:t>but only if storage is unavoidable</w:t>
      </w:r>
      <w:r>
        <w:rPr>
          <w:rFonts w:ascii="Arial" w:cs="Arial" w:eastAsia="Arial" w:hAnsi="Arial"/>
          <w:sz w:val="19"/>
          <w:szCs w:val="19"/>
          <w:color w:val="auto"/>
        </w:rPr>
        <w:t>. If storage is required for more than 30 days or if you need to access any stored items, the charge will be billed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440690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12</w:t>
      </w:r>
    </w:p>
    <w:p>
      <w:pPr>
        <w:sectPr>
          <w:pgSz w:w="11900" w:h="16838" w:orient="portrait"/>
          <w:cols w:equalWidth="0" w:num="1">
            <w:col w:w="11240"/>
          </w:cols>
          <w:pgMar w:left="240" w:top="612" w:right="419" w:bottom="1440" w:gutter="0" w:footer="0" w:header="0"/>
        </w:sectPr>
      </w:pPr>
    </w:p>
    <w:bookmarkStart w:id="82" w:name="page83"/>
    <w:bookmarkEnd w:id="82"/>
    <w:p>
      <w:pPr>
        <w:spacing w:after="0"/>
        <w:rPr>
          <w:sz w:val="20"/>
          <w:szCs w:val="20"/>
          <w:color w:val="auto"/>
        </w:rPr>
      </w:pPr>
      <w:r>
        <w:rPr>
          <w:rFonts w:ascii="Arial" w:cs="Arial" w:eastAsia="Arial" w:hAnsi="Arial"/>
          <w:sz w:val="19"/>
          <w:szCs w:val="19"/>
          <w:color w:val="auto"/>
        </w:rPr>
        <w:t>If you choose to build a home in the new location, you will be responsible for costs beyond the time period allowed by this policy.</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Temporary storage of household goods will not be authorized for any length of time to accommodate plans for vacation or side trips en route to your new home, remodeling of a new home, or to delay mortgage payments.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Transportation of Automobiles</w:t>
      </w:r>
    </w:p>
    <w:p>
      <w:pPr>
        <w:spacing w:after="0" w:line="118" w:lineRule="exact"/>
        <w:rPr>
          <w:sz w:val="20"/>
          <w:szCs w:val="20"/>
          <w:color w:val="auto"/>
        </w:rPr>
      </w:pPr>
    </w:p>
    <w:p>
      <w:pPr>
        <w:ind w:right="400"/>
        <w:spacing w:after="0" w:line="263" w:lineRule="auto"/>
        <w:rPr>
          <w:sz w:val="20"/>
          <w:szCs w:val="20"/>
          <w:color w:val="auto"/>
        </w:rPr>
      </w:pPr>
      <w:r>
        <w:rPr>
          <w:rFonts w:ascii="Arial" w:cs="Arial" w:eastAsia="Arial" w:hAnsi="Arial"/>
          <w:sz w:val="22"/>
          <w:szCs w:val="22"/>
          <w:color w:val="auto"/>
        </w:rPr>
        <w:t>Autodesk will pay for shipping two personal automobiles. The vehicles must be in working order and must fit on a standard car carrier or moving van.</w:t>
      </w:r>
    </w:p>
    <w:p>
      <w:pPr>
        <w:spacing w:after="0" w:line="67"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If you drive to the new location, mileage and tolls via the most commonly used direct route will be reimbursed at the current IRS rate. Mileage for up to two automobiles is allowed.</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You are responsible for the movement of any additional personal automobiles at your own expense.</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Disconnecting and Connecting Appliances/Utilities</w:t>
      </w:r>
    </w:p>
    <w:p>
      <w:pPr>
        <w:spacing w:after="0" w:line="118"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Autodesk will cover the cost of disconnecting and connecting normal household appliances or any other article requiring special servicing for safe transportation. Appliances include washer, dryer, refrigerator, icemaker and stove. However, the extension of any gas or electric lines or adding service for mismatched appliances (i.e., converting an electric hook-up for a gas appliance) is excluded.</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Special or Extraordinary Shipping Requirements Are Your Responsibility</w:t>
      </w:r>
    </w:p>
    <w:p>
      <w:pPr>
        <w:spacing w:after="0" w:line="118"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Plans should be made in advance for items requiring special or extraordinary handling. These shipping arrangements and the costs will be your responsibility, but call Altair for advice.</w:t>
      </w:r>
    </w:p>
    <w:p>
      <w:pPr>
        <w:spacing w:after="0" w:line="67" w:lineRule="exact"/>
        <w:rPr>
          <w:sz w:val="20"/>
          <w:szCs w:val="20"/>
          <w:color w:val="auto"/>
        </w:rPr>
      </w:pPr>
    </w:p>
    <w:p>
      <w:pPr>
        <w:ind w:right="720"/>
        <w:spacing w:after="0" w:line="263" w:lineRule="auto"/>
        <w:rPr>
          <w:sz w:val="20"/>
          <w:szCs w:val="20"/>
          <w:color w:val="auto"/>
        </w:rPr>
      </w:pPr>
      <w:r>
        <w:rPr>
          <w:rFonts w:ascii="Arial" w:cs="Arial" w:eastAsia="Arial" w:hAnsi="Arial"/>
          <w:sz w:val="22"/>
          <w:szCs w:val="22"/>
          <w:color w:val="auto"/>
        </w:rPr>
        <w:t>Autodesk will not pay for charges by the moving company to pick up any furnishings or material at any site other than your primary residence. You will be billed directly for this additional service.</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Authorized Goods Include the Following:</w:t>
      </w:r>
    </w:p>
    <w:p>
      <w:pPr>
        <w:spacing w:after="0" w:line="118"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6"/>
          <w:szCs w:val="16"/>
          <w:color w:val="798CBA"/>
        </w:rPr>
      </w:pPr>
      <w:r>
        <w:rPr>
          <w:rFonts w:ascii="Arial" w:cs="Arial" w:eastAsia="Arial" w:hAnsi="Arial"/>
          <w:sz w:val="22"/>
          <w:szCs w:val="22"/>
          <w:color w:val="auto"/>
        </w:rPr>
        <w:t>Clothing and personal items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2"/>
        </w:numPr>
        <w:rPr>
          <w:rFonts w:ascii="Arial" w:cs="Arial" w:eastAsia="Arial" w:hAnsi="Arial"/>
          <w:sz w:val="16"/>
          <w:szCs w:val="16"/>
          <w:color w:val="798CBA"/>
        </w:rPr>
      </w:pPr>
      <w:r>
        <w:rPr>
          <w:rFonts w:ascii="Arial" w:cs="Arial" w:eastAsia="Arial" w:hAnsi="Arial"/>
          <w:sz w:val="22"/>
          <w:szCs w:val="22"/>
          <w:color w:val="auto"/>
        </w:rPr>
        <w:t>Furniture and fixtures (not attached to the house)</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2"/>
        </w:numPr>
        <w:rPr>
          <w:rFonts w:ascii="Arial" w:cs="Arial" w:eastAsia="Arial" w:hAnsi="Arial"/>
          <w:sz w:val="16"/>
          <w:szCs w:val="16"/>
          <w:color w:val="798CBA"/>
        </w:rPr>
      </w:pPr>
      <w:r>
        <w:rPr>
          <w:rFonts w:ascii="Arial" w:cs="Arial" w:eastAsia="Arial" w:hAnsi="Arial"/>
          <w:sz w:val="22"/>
          <w:szCs w:val="22"/>
          <w:color w:val="auto"/>
        </w:rPr>
        <w:t>Major appliances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2"/>
        </w:numPr>
        <w:rPr>
          <w:rFonts w:ascii="Arial" w:cs="Arial" w:eastAsia="Arial" w:hAnsi="Arial"/>
          <w:sz w:val="16"/>
          <w:szCs w:val="16"/>
          <w:color w:val="798CBA"/>
        </w:rPr>
      </w:pPr>
      <w:r>
        <w:rPr>
          <w:rFonts w:ascii="Arial" w:cs="Arial" w:eastAsia="Arial" w:hAnsi="Arial"/>
          <w:sz w:val="22"/>
          <w:szCs w:val="22"/>
          <w:color w:val="auto"/>
        </w:rPr>
        <w:t>Gardening equipment (does not include riding mowers)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2"/>
        </w:numPr>
        <w:rPr>
          <w:rFonts w:ascii="Arial" w:cs="Arial" w:eastAsia="Arial" w:hAnsi="Arial"/>
          <w:sz w:val="16"/>
          <w:szCs w:val="16"/>
          <w:color w:val="798CBA"/>
        </w:rPr>
      </w:pPr>
      <w:r>
        <w:rPr>
          <w:rFonts w:ascii="Arial" w:cs="Arial" w:eastAsia="Arial" w:hAnsi="Arial"/>
          <w:sz w:val="22"/>
          <w:szCs w:val="22"/>
          <w:color w:val="auto"/>
        </w:rPr>
        <w:t>Pianos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2"/>
        </w:numPr>
        <w:rPr>
          <w:rFonts w:ascii="Arial" w:cs="Arial" w:eastAsia="Arial" w:hAnsi="Arial"/>
          <w:sz w:val="16"/>
          <w:szCs w:val="16"/>
          <w:color w:val="798CBA"/>
        </w:rPr>
      </w:pPr>
      <w:r>
        <w:rPr>
          <w:rFonts w:ascii="Arial" w:cs="Arial" w:eastAsia="Arial" w:hAnsi="Arial"/>
          <w:sz w:val="22"/>
          <w:szCs w:val="22"/>
          <w:color w:val="auto"/>
        </w:rPr>
        <w:t>Pool tables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2"/>
        </w:numPr>
        <w:rPr>
          <w:rFonts w:ascii="Arial" w:cs="Arial" w:eastAsia="Arial" w:hAnsi="Arial"/>
          <w:sz w:val="16"/>
          <w:szCs w:val="16"/>
          <w:color w:val="798CBA"/>
        </w:rPr>
      </w:pPr>
      <w:r>
        <w:rPr>
          <w:rFonts w:ascii="Arial" w:cs="Arial" w:eastAsia="Arial" w:hAnsi="Arial"/>
          <w:sz w:val="22"/>
          <w:szCs w:val="22"/>
          <w:color w:val="auto"/>
        </w:rPr>
        <w:t>Waterbeds (if drained and disassembled)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817880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13</w:t>
      </w:r>
    </w:p>
    <w:p>
      <w:pPr>
        <w:sectPr>
          <w:pgSz w:w="11900" w:h="16838" w:orient="portrait"/>
          <w:cols w:equalWidth="0" w:num="1">
            <w:col w:w="11420"/>
          </w:cols>
          <w:pgMar w:left="240" w:top="375" w:right="239" w:bottom="1440" w:gutter="0" w:footer="0" w:header="0"/>
        </w:sectPr>
      </w:pPr>
    </w:p>
    <w:bookmarkStart w:id="83" w:name="page84"/>
    <w:bookmarkEnd w:id="83"/>
    <w:p>
      <w:pPr>
        <w:spacing w:after="0"/>
        <w:rPr>
          <w:sz w:val="20"/>
          <w:szCs w:val="20"/>
          <w:color w:val="auto"/>
        </w:rPr>
      </w:pPr>
      <w:r>
        <w:rPr>
          <w:rFonts w:ascii="Arial" w:cs="Arial" w:eastAsia="Arial" w:hAnsi="Arial"/>
          <w:sz w:val="22"/>
          <w:szCs w:val="22"/>
          <w:b w:val="1"/>
          <w:bCs w:val="1"/>
          <w:color w:val="0C2E82"/>
        </w:rPr>
        <w:t>Items NOT Authorized</w:t>
      </w:r>
    </w:p>
    <w:p>
      <w:pPr>
        <w:spacing w:after="0" w:line="11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Please refer to the Altair </w:t>
      </w:r>
      <w:r>
        <w:rPr>
          <w:rFonts w:ascii="Arial" w:cs="Arial" w:eastAsia="Arial" w:hAnsi="Arial"/>
          <w:sz w:val="22"/>
          <w:szCs w:val="22"/>
          <w:i w:val="1"/>
          <w:iCs w:val="1"/>
          <w:color w:val="auto"/>
        </w:rPr>
        <w:t>Domestic Moving Guide</w:t>
      </w:r>
      <w:r>
        <w:rPr>
          <w:rFonts w:ascii="Arial" w:cs="Arial" w:eastAsia="Arial" w:hAnsi="Arial"/>
          <w:sz w:val="22"/>
          <w:szCs w:val="22"/>
          <w:color w:val="auto"/>
        </w:rPr>
        <w:t xml:space="preserve"> and </w:t>
      </w:r>
      <w:r>
        <w:rPr>
          <w:rFonts w:ascii="Arial" w:cs="Arial" w:eastAsia="Arial" w:hAnsi="Arial"/>
          <w:sz w:val="22"/>
          <w:szCs w:val="22"/>
          <w:i w:val="1"/>
          <w:iCs w:val="1"/>
          <w:color w:val="auto"/>
        </w:rPr>
        <w:t>Insurance Guide</w:t>
      </w:r>
      <w:r>
        <w:rPr>
          <w:rFonts w:ascii="Arial" w:cs="Arial" w:eastAsia="Arial" w:hAnsi="Arial"/>
          <w:sz w:val="22"/>
          <w:szCs w:val="22"/>
          <w:color w:val="auto"/>
        </w:rPr>
        <w:t xml:space="preserve"> for a complete list of items. The following is a list of items for which Autodesk will </w:t>
      </w:r>
      <w:r>
        <w:rPr>
          <w:rFonts w:ascii="Arial" w:cs="Arial" w:eastAsia="Arial" w:hAnsi="Arial"/>
          <w:sz w:val="22"/>
          <w:szCs w:val="22"/>
          <w:i w:val="1"/>
          <w:iCs w:val="1"/>
          <w:color w:val="auto"/>
        </w:rPr>
        <w:t>not</w:t>
      </w:r>
      <w:r>
        <w:rPr>
          <w:rFonts w:ascii="Arial" w:cs="Arial" w:eastAsia="Arial" w:hAnsi="Arial"/>
          <w:sz w:val="22"/>
          <w:szCs w:val="22"/>
          <w:color w:val="auto"/>
        </w:rPr>
        <w:t xml:space="preserve"> authorize transportation.</w:t>
      </w:r>
    </w:p>
    <w:p>
      <w:pPr>
        <w:spacing w:after="0" w:line="67" w:lineRule="exact"/>
        <w:rPr>
          <w:sz w:val="20"/>
          <w:szCs w:val="20"/>
          <w:color w:val="auto"/>
        </w:rPr>
      </w:pPr>
    </w:p>
    <w:p>
      <w:pPr>
        <w:ind w:left="340" w:right="100" w:hanging="332"/>
        <w:spacing w:after="0" w:line="263" w:lineRule="auto"/>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Boats, trailers, airplanes, motorcycles 250 cc and over, snowmobiles, off-road vehicles, travel trailers, pop-up trailers, camper inserts for pick-up trucks, or other recreational vehicles</w:t>
      </w:r>
    </w:p>
    <w:p>
      <w:pPr>
        <w:spacing w:after="0" w:line="66"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Livestock or domestic animals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Frozen/perishable foods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Liquids in unsafe containers/flammable liquids, items that may contaminate or damage other goods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Valuable papers/jewelry/items of extraordinary value</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Riding lawn mowers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Heavy machinery/tractors/farm equipment larger than normally required for yard and garden maintenance</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Lumber or other building materials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Plants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Antiques and fine art</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Grandfather clocks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Animal-drawn carriages or wagons, vintage and show automobiles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Storage sheds, greenhouses, play houses or other outside buildings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Campers, motor homes, livestock trailers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Satellite dishes greater than 24” in diameter</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Coins, stamps and other fine collectibles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Hot tubs/spas/above-ground pools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Live ammunition</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Any other items which cannot be packed or moved by a standard commercial carrier</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3"/>
        </w:numPr>
        <w:rPr>
          <w:rFonts w:ascii="Arial" w:cs="Arial" w:eastAsia="Arial" w:hAnsi="Arial"/>
          <w:sz w:val="16"/>
          <w:szCs w:val="16"/>
          <w:color w:val="798CBA"/>
        </w:rPr>
      </w:pPr>
      <w:r>
        <w:rPr>
          <w:rFonts w:ascii="Arial" w:cs="Arial" w:eastAsia="Arial" w:hAnsi="Arial"/>
          <w:sz w:val="22"/>
          <w:szCs w:val="22"/>
          <w:color w:val="auto"/>
        </w:rPr>
        <w:t>Any goods/materials prohibited by law</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Note: </w:t>
      </w:r>
      <w:r>
        <w:rPr>
          <w:rFonts w:ascii="Arial" w:cs="Arial" w:eastAsia="Arial" w:hAnsi="Arial"/>
          <w:sz w:val="22"/>
          <w:szCs w:val="22"/>
          <w:color w:val="auto"/>
        </w:rPr>
        <w:t>Gas grills may be shipped but must be emptied and certified before loading.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14</w:t>
      </w:r>
    </w:p>
    <w:p>
      <w:pPr>
        <w:sectPr>
          <w:pgSz w:w="11900" w:h="16838" w:orient="portrait"/>
          <w:cols w:equalWidth="0" w:num="1">
            <w:col w:w="11300"/>
          </w:cols>
          <w:pgMar w:left="240" w:top="585" w:right="359" w:bottom="1440" w:gutter="0" w:footer="0" w:header="0"/>
        </w:sectPr>
      </w:pPr>
    </w:p>
    <w:bookmarkStart w:id="84" w:name="page85"/>
    <w:bookmarkEnd w:id="84"/>
    <w:p>
      <w:pPr>
        <w:spacing w:after="0"/>
        <w:rPr>
          <w:sz w:val="20"/>
          <w:szCs w:val="20"/>
          <w:color w:val="auto"/>
        </w:rPr>
      </w:pPr>
      <w:r>
        <w:rPr>
          <w:rFonts w:ascii="Arial" w:cs="Arial" w:eastAsia="Arial" w:hAnsi="Arial"/>
          <w:sz w:val="22"/>
          <w:szCs w:val="22"/>
          <w:b w:val="1"/>
          <w:bCs w:val="1"/>
          <w:color w:val="0C2E82"/>
        </w:rPr>
        <w:t>Additional Exclusions</w:t>
      </w:r>
    </w:p>
    <w:p>
      <w:pPr>
        <w:spacing w:after="0" w:line="118"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6"/>
          <w:szCs w:val="16"/>
          <w:color w:val="798CBA"/>
        </w:rPr>
      </w:pPr>
      <w:r>
        <w:rPr>
          <w:rFonts w:ascii="Arial" w:cs="Arial" w:eastAsia="Arial" w:hAnsi="Arial"/>
          <w:sz w:val="22"/>
          <w:szCs w:val="22"/>
          <w:color w:val="auto"/>
        </w:rPr>
        <w:t>Maid service or housecleaning service</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4"/>
        </w:numPr>
        <w:rPr>
          <w:rFonts w:ascii="Arial" w:cs="Arial" w:eastAsia="Arial" w:hAnsi="Arial"/>
          <w:sz w:val="16"/>
          <w:szCs w:val="16"/>
          <w:color w:val="798CBA"/>
        </w:rPr>
      </w:pPr>
      <w:r>
        <w:rPr>
          <w:rFonts w:ascii="Arial" w:cs="Arial" w:eastAsia="Arial" w:hAnsi="Arial"/>
          <w:sz w:val="22"/>
          <w:szCs w:val="22"/>
          <w:color w:val="auto"/>
        </w:rPr>
        <w:t>Tips to movers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4"/>
        </w:numPr>
        <w:rPr>
          <w:rFonts w:ascii="Arial" w:cs="Arial" w:eastAsia="Arial" w:hAnsi="Arial"/>
          <w:sz w:val="16"/>
          <w:szCs w:val="16"/>
          <w:color w:val="798CBA"/>
        </w:rPr>
      </w:pPr>
      <w:r>
        <w:rPr>
          <w:rFonts w:ascii="Arial" w:cs="Arial" w:eastAsia="Arial" w:hAnsi="Arial"/>
          <w:sz w:val="22"/>
          <w:szCs w:val="22"/>
          <w:color w:val="auto"/>
        </w:rPr>
        <w:t>Disassembly of swimming pools, swing sets, basketball goals, or similar personal property</w:t>
      </w:r>
    </w:p>
    <w:p>
      <w:pPr>
        <w:spacing w:after="0" w:line="111" w:lineRule="exact"/>
        <w:rPr>
          <w:rFonts w:ascii="Arial" w:cs="Arial" w:eastAsia="Arial" w:hAnsi="Arial"/>
          <w:sz w:val="16"/>
          <w:szCs w:val="16"/>
          <w:color w:val="798CBA"/>
        </w:rPr>
      </w:pPr>
    </w:p>
    <w:p>
      <w:pPr>
        <w:ind w:left="340" w:right="260" w:hanging="332"/>
        <w:spacing w:after="0" w:line="263" w:lineRule="auto"/>
        <w:tabs>
          <w:tab w:leader="none" w:pos="340" w:val="left"/>
        </w:tabs>
        <w:numPr>
          <w:ilvl w:val="0"/>
          <w:numId w:val="44"/>
        </w:numPr>
        <w:rPr>
          <w:rFonts w:ascii="Arial" w:cs="Arial" w:eastAsia="Arial" w:hAnsi="Arial"/>
          <w:sz w:val="16"/>
          <w:szCs w:val="16"/>
          <w:color w:val="798CBA"/>
        </w:rPr>
      </w:pPr>
      <w:r>
        <w:rPr>
          <w:rFonts w:ascii="Arial" w:cs="Arial" w:eastAsia="Arial" w:hAnsi="Arial"/>
          <w:sz w:val="22"/>
          <w:szCs w:val="22"/>
          <w:color w:val="auto"/>
        </w:rPr>
        <w:t>Insurance for items of extraordinary value such as antiques, fine art, coin and stamp collections, precious metals, documents, securities and notes, or insurance above the coverage provided by Autodesk.</w:t>
      </w:r>
    </w:p>
    <w:p>
      <w:pPr>
        <w:spacing w:after="0" w:line="66" w:lineRule="exact"/>
        <w:rPr>
          <w:rFonts w:ascii="Arial" w:cs="Arial" w:eastAsia="Arial" w:hAnsi="Arial"/>
          <w:sz w:val="16"/>
          <w:szCs w:val="16"/>
          <w:color w:val="798CBA"/>
        </w:rPr>
      </w:pPr>
    </w:p>
    <w:p>
      <w:pPr>
        <w:ind w:left="340" w:right="60" w:hanging="332"/>
        <w:spacing w:after="0" w:line="341" w:lineRule="auto"/>
        <w:tabs>
          <w:tab w:leader="none" w:pos="340" w:val="left"/>
        </w:tabs>
        <w:numPr>
          <w:ilvl w:val="0"/>
          <w:numId w:val="44"/>
        </w:numPr>
        <w:rPr>
          <w:rFonts w:ascii="Arial" w:cs="Arial" w:eastAsia="Arial" w:hAnsi="Arial"/>
          <w:sz w:val="15"/>
          <w:szCs w:val="15"/>
          <w:color w:val="798CBA"/>
        </w:rPr>
      </w:pPr>
      <w:r>
        <w:rPr>
          <w:rFonts w:ascii="Arial" w:cs="Arial" w:eastAsia="Arial" w:hAnsi="Arial"/>
          <w:sz w:val="19"/>
          <w:szCs w:val="19"/>
          <w:color w:val="auto"/>
        </w:rPr>
        <w:t xml:space="preserve">Disassembly/assembly of play gyms, television/radio antennas, chandeliers, flagpoles, etc. If such items are disassembled prior to packing, they may be transported. </w:t>
      </w:r>
      <w:r>
        <w:rPr>
          <w:rFonts w:ascii="Arial" w:cs="Arial" w:eastAsia="Arial" w:hAnsi="Arial"/>
          <w:sz w:val="19"/>
          <w:szCs w:val="19"/>
          <w:b w:val="1"/>
          <w:bCs w:val="1"/>
          <w:color w:val="auto"/>
        </w:rPr>
        <w:t>If movers assemble or disassemble unusual items, you will be billed directly</w:t>
      </w:r>
      <w:r>
        <w:rPr>
          <w:rFonts w:ascii="Arial" w:cs="Arial" w:eastAsia="Arial" w:hAnsi="Arial"/>
          <w:sz w:val="19"/>
          <w:szCs w:val="19"/>
          <w:color w:val="auto"/>
        </w:rPr>
        <w:t>.</w:t>
      </w:r>
    </w:p>
    <w:p>
      <w:pPr>
        <w:ind w:left="340" w:hanging="332"/>
        <w:spacing w:after="0"/>
        <w:tabs>
          <w:tab w:leader="none" w:pos="340" w:val="left"/>
        </w:tabs>
        <w:numPr>
          <w:ilvl w:val="0"/>
          <w:numId w:val="44"/>
        </w:numPr>
        <w:rPr>
          <w:rFonts w:ascii="Arial" w:cs="Arial" w:eastAsia="Arial" w:hAnsi="Arial"/>
          <w:sz w:val="16"/>
          <w:szCs w:val="16"/>
          <w:color w:val="798CBA"/>
        </w:rPr>
      </w:pPr>
      <w:r>
        <w:rPr>
          <w:rFonts w:ascii="Arial" w:cs="Arial" w:eastAsia="Arial" w:hAnsi="Arial"/>
          <w:sz w:val="22"/>
          <w:szCs w:val="22"/>
          <w:color w:val="auto"/>
        </w:rPr>
        <w:t>Draining and refilling of waterbeds.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4"/>
        </w:numPr>
        <w:rPr>
          <w:rFonts w:ascii="Arial" w:cs="Arial" w:eastAsia="Arial" w:hAnsi="Arial"/>
          <w:sz w:val="16"/>
          <w:szCs w:val="16"/>
          <w:color w:val="798CBA"/>
        </w:rPr>
      </w:pPr>
      <w:r>
        <w:rPr>
          <w:rFonts w:ascii="Arial" w:cs="Arial" w:eastAsia="Arial" w:hAnsi="Arial"/>
          <w:sz w:val="22"/>
          <w:szCs w:val="22"/>
          <w:color w:val="auto"/>
        </w:rPr>
        <w:t>Establishing services such as power, water, gas, telephones, etc.</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4"/>
        </w:numPr>
        <w:rPr>
          <w:rFonts w:ascii="Arial" w:cs="Arial" w:eastAsia="Arial" w:hAnsi="Arial"/>
          <w:sz w:val="16"/>
          <w:szCs w:val="16"/>
          <w:color w:val="798CBA"/>
        </w:rPr>
      </w:pPr>
      <w:r>
        <w:rPr>
          <w:rFonts w:ascii="Arial" w:cs="Arial" w:eastAsia="Arial" w:hAnsi="Arial"/>
          <w:sz w:val="22"/>
          <w:szCs w:val="22"/>
          <w:color w:val="auto"/>
        </w:rPr>
        <w:t>Exclusive use of moving van or space reservation</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4"/>
        </w:numPr>
        <w:rPr>
          <w:rFonts w:ascii="Arial" w:cs="Arial" w:eastAsia="Arial" w:hAnsi="Arial"/>
          <w:sz w:val="16"/>
          <w:szCs w:val="16"/>
          <w:color w:val="798CBA"/>
        </w:rPr>
      </w:pPr>
      <w:r>
        <w:rPr>
          <w:rFonts w:ascii="Arial" w:cs="Arial" w:eastAsia="Arial" w:hAnsi="Arial"/>
          <w:sz w:val="22"/>
          <w:szCs w:val="22"/>
          <w:color w:val="auto"/>
        </w:rPr>
        <w:t>Unauthorized extra pick-ups or deliveries</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4"/>
        </w:numPr>
        <w:rPr>
          <w:rFonts w:ascii="Arial" w:cs="Arial" w:eastAsia="Arial" w:hAnsi="Arial"/>
          <w:sz w:val="16"/>
          <w:szCs w:val="16"/>
          <w:color w:val="798CBA"/>
        </w:rPr>
      </w:pPr>
      <w:r>
        <w:rPr>
          <w:rFonts w:ascii="Arial" w:cs="Arial" w:eastAsia="Arial" w:hAnsi="Arial"/>
          <w:sz w:val="22"/>
          <w:szCs w:val="22"/>
          <w:color w:val="auto"/>
        </w:rPr>
        <w:t>Unauthorized overtime packing and unpacking</w:t>
      </w:r>
    </w:p>
    <w:p>
      <w:pPr>
        <w:spacing w:after="0" w:line="111" w:lineRule="exact"/>
        <w:rPr>
          <w:rFonts w:ascii="Arial" w:cs="Arial" w:eastAsia="Arial" w:hAnsi="Arial"/>
          <w:sz w:val="16"/>
          <w:szCs w:val="16"/>
          <w:color w:val="798CBA"/>
        </w:rPr>
      </w:pPr>
    </w:p>
    <w:p>
      <w:pPr>
        <w:ind w:left="340" w:hanging="332"/>
        <w:spacing w:after="0"/>
        <w:tabs>
          <w:tab w:leader="none" w:pos="340" w:val="left"/>
        </w:tabs>
        <w:numPr>
          <w:ilvl w:val="0"/>
          <w:numId w:val="44"/>
        </w:numPr>
        <w:rPr>
          <w:rFonts w:ascii="Arial" w:cs="Arial" w:eastAsia="Arial" w:hAnsi="Arial"/>
          <w:sz w:val="16"/>
          <w:szCs w:val="16"/>
          <w:color w:val="798CBA"/>
        </w:rPr>
      </w:pPr>
      <w:r>
        <w:rPr>
          <w:rFonts w:ascii="Arial" w:cs="Arial" w:eastAsia="Arial" w:hAnsi="Arial"/>
          <w:sz w:val="22"/>
          <w:szCs w:val="22"/>
          <w:color w:val="auto"/>
        </w:rPr>
        <w:t>Unauthorized crating</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Important Information Concerning Household Goods Shipping</w:t>
      </w:r>
    </w:p>
    <w:p>
      <w:pPr>
        <w:spacing w:after="0" w:line="118" w:lineRule="exact"/>
        <w:rPr>
          <w:sz w:val="20"/>
          <w:szCs w:val="20"/>
          <w:color w:val="auto"/>
        </w:rPr>
      </w:pPr>
    </w:p>
    <w:p>
      <w:pPr>
        <w:ind w:left="340" w:right="260" w:hanging="332"/>
        <w:spacing w:after="0" w:line="302" w:lineRule="auto"/>
        <w:tabs>
          <w:tab w:leader="none" w:pos="340" w:val="left"/>
        </w:tabs>
        <w:numPr>
          <w:ilvl w:val="0"/>
          <w:numId w:val="45"/>
        </w:numPr>
        <w:rPr>
          <w:rFonts w:ascii="Arial" w:cs="Arial" w:eastAsia="Arial" w:hAnsi="Arial"/>
          <w:sz w:val="15"/>
          <w:szCs w:val="15"/>
          <w:color w:val="798CBA"/>
        </w:rPr>
      </w:pPr>
      <w:r>
        <w:rPr>
          <w:rFonts w:ascii="Arial" w:cs="Arial" w:eastAsia="Arial" w:hAnsi="Arial"/>
          <w:sz w:val="19"/>
          <w:szCs w:val="19"/>
          <w:color w:val="auto"/>
        </w:rPr>
        <w:t>Valuables such as jewelry, coin and stamp collections, computer programs, currency, precious metals, gems or semi-precious stones, rare documents, or most other collectibles should be set aside and transported with you when you travel. Only under certain very specific conditions is the mover responsible for these items. Be certain to ask the representative of your moving company about transporting valuables when he or she visits your home to inventory your belongings.</w:t>
      </w:r>
    </w:p>
    <w:p>
      <w:pPr>
        <w:spacing w:after="0" w:line="34" w:lineRule="exact"/>
        <w:rPr>
          <w:rFonts w:ascii="Arial" w:cs="Arial" w:eastAsia="Arial" w:hAnsi="Arial"/>
          <w:sz w:val="15"/>
          <w:szCs w:val="15"/>
          <w:color w:val="798CBA"/>
        </w:rPr>
      </w:pPr>
    </w:p>
    <w:p>
      <w:pPr>
        <w:ind w:left="340" w:hanging="332"/>
        <w:spacing w:after="0" w:line="250" w:lineRule="auto"/>
        <w:tabs>
          <w:tab w:leader="none" w:pos="340" w:val="left"/>
        </w:tabs>
        <w:numPr>
          <w:ilvl w:val="0"/>
          <w:numId w:val="45"/>
        </w:numPr>
        <w:rPr>
          <w:rFonts w:ascii="Arial" w:cs="Arial" w:eastAsia="Arial" w:hAnsi="Arial"/>
          <w:sz w:val="16"/>
          <w:szCs w:val="16"/>
          <w:color w:val="798CBA"/>
        </w:rPr>
      </w:pPr>
      <w:r>
        <w:rPr>
          <w:rFonts w:ascii="Arial" w:cs="Arial" w:eastAsia="Arial" w:hAnsi="Arial"/>
          <w:sz w:val="22"/>
          <w:szCs w:val="22"/>
          <w:color w:val="auto"/>
        </w:rPr>
        <w:t>Firearms may be transported, but must be unloaded, packed separately and inventoried by type of firearm and serial number. The inventory must be included in the documentation of the move. This is for your protection as well as the protection of the mover. You will be responsible for meeting the licensing or registration requirements, if any, of the state where you are moving. You cannot ship live ammunition via household goods movers.</w:t>
      </w:r>
    </w:p>
    <w:p>
      <w:pPr>
        <w:spacing w:after="0" w:line="80" w:lineRule="exact"/>
        <w:rPr>
          <w:rFonts w:ascii="Arial" w:cs="Arial" w:eastAsia="Arial" w:hAnsi="Arial"/>
          <w:sz w:val="16"/>
          <w:szCs w:val="16"/>
          <w:color w:val="798CBA"/>
        </w:rPr>
      </w:pPr>
    </w:p>
    <w:p>
      <w:pPr>
        <w:ind w:left="340" w:right="20" w:hanging="332"/>
        <w:spacing w:after="0" w:line="341" w:lineRule="auto"/>
        <w:tabs>
          <w:tab w:leader="none" w:pos="340" w:val="left"/>
        </w:tabs>
        <w:numPr>
          <w:ilvl w:val="0"/>
          <w:numId w:val="45"/>
        </w:numPr>
        <w:rPr>
          <w:rFonts w:ascii="Arial" w:cs="Arial" w:eastAsia="Arial" w:hAnsi="Arial"/>
          <w:sz w:val="15"/>
          <w:szCs w:val="15"/>
          <w:color w:val="798CBA"/>
        </w:rPr>
      </w:pPr>
      <w:r>
        <w:rPr>
          <w:rFonts w:ascii="Arial" w:cs="Arial" w:eastAsia="Arial" w:hAnsi="Arial"/>
          <w:sz w:val="19"/>
          <w:szCs w:val="19"/>
          <w:color w:val="auto"/>
        </w:rPr>
        <w:t>Accompany the mover through the home as he or she inventories and tags each item to be moved. Plan to check off the items at the destination as well; otherwise, you may have difficulty with claims settlements should they prove necessary.</w:t>
      </w:r>
    </w:p>
    <w:p>
      <w:pPr>
        <w:jc w:val="both"/>
        <w:ind w:left="340" w:right="40" w:hanging="332"/>
        <w:spacing w:after="0" w:line="253" w:lineRule="auto"/>
        <w:tabs>
          <w:tab w:leader="none" w:pos="340" w:val="left"/>
        </w:tabs>
        <w:numPr>
          <w:ilvl w:val="0"/>
          <w:numId w:val="45"/>
        </w:numPr>
        <w:rPr>
          <w:rFonts w:ascii="Arial" w:cs="Arial" w:eastAsia="Arial" w:hAnsi="Arial"/>
          <w:sz w:val="16"/>
          <w:szCs w:val="16"/>
          <w:color w:val="798CBA"/>
        </w:rPr>
      </w:pPr>
      <w:r>
        <w:rPr>
          <w:rFonts w:ascii="Arial" w:cs="Arial" w:eastAsia="Arial" w:hAnsi="Arial"/>
          <w:sz w:val="22"/>
          <w:szCs w:val="22"/>
          <w:color w:val="auto"/>
        </w:rPr>
        <w:t>You or your representative should be present during packing and loading. Do not release the drivers until a complete inspection of the home and property has been accomplished, since items left behind could result in extra charges to you not covered under Autodesk’s relocation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15</w:t>
      </w:r>
    </w:p>
    <w:p>
      <w:pPr>
        <w:sectPr>
          <w:pgSz w:w="11900" w:h="16838" w:orient="portrait"/>
          <w:cols w:equalWidth="0" w:num="1">
            <w:col w:w="11380"/>
          </w:cols>
          <w:pgMar w:left="240" w:top="585" w:right="279" w:bottom="1440" w:gutter="0" w:footer="0" w:header="0"/>
        </w:sectPr>
      </w:pPr>
    </w:p>
    <w:bookmarkStart w:id="85" w:name="page86"/>
    <w:bookmarkEnd w:id="85"/>
    <w:p>
      <w:pPr>
        <w:ind w:left="340" w:right="160" w:hanging="332"/>
        <w:spacing w:after="0" w:line="253" w:lineRule="auto"/>
        <w:tabs>
          <w:tab w:leader="none" w:pos="340" w:val="left"/>
        </w:tabs>
        <w:numPr>
          <w:ilvl w:val="0"/>
          <w:numId w:val="46"/>
        </w:numPr>
        <w:rPr>
          <w:rFonts w:ascii="Arial" w:cs="Arial" w:eastAsia="Arial" w:hAnsi="Arial"/>
          <w:sz w:val="16"/>
          <w:szCs w:val="16"/>
          <w:color w:val="798CBA"/>
        </w:rPr>
      </w:pPr>
      <w:r>
        <w:rPr>
          <w:rFonts w:ascii="Arial" w:cs="Arial" w:eastAsia="Arial" w:hAnsi="Arial"/>
          <w:sz w:val="22"/>
          <w:szCs w:val="22"/>
          <w:color w:val="auto"/>
        </w:rPr>
        <w:t>Detach items that are to be moved, such as wall-mounted can openers and coffee makers, pictures, posters, curtain rods, attached bookcases and the like. Unplug appliances and electrical devices such as stereos and computers; if possible, stow the connecting cords and cables.</w:t>
      </w:r>
    </w:p>
    <w:p>
      <w:pPr>
        <w:spacing w:after="0" w:line="77" w:lineRule="exact"/>
        <w:rPr>
          <w:rFonts w:ascii="Arial" w:cs="Arial" w:eastAsia="Arial" w:hAnsi="Arial"/>
          <w:sz w:val="16"/>
          <w:szCs w:val="16"/>
          <w:color w:val="798CBA"/>
        </w:rPr>
      </w:pPr>
    </w:p>
    <w:p>
      <w:pPr>
        <w:ind w:left="340" w:hanging="332"/>
        <w:spacing w:after="0"/>
        <w:tabs>
          <w:tab w:leader="none" w:pos="340" w:val="left"/>
        </w:tabs>
        <w:numPr>
          <w:ilvl w:val="0"/>
          <w:numId w:val="46"/>
        </w:numPr>
        <w:rPr>
          <w:rFonts w:ascii="Arial" w:cs="Arial" w:eastAsia="Arial" w:hAnsi="Arial"/>
          <w:sz w:val="15"/>
          <w:szCs w:val="15"/>
          <w:color w:val="798CBA"/>
        </w:rPr>
      </w:pPr>
      <w:r>
        <w:rPr>
          <w:rFonts w:ascii="Arial" w:cs="Arial" w:eastAsia="Arial" w:hAnsi="Arial"/>
          <w:sz w:val="19"/>
          <w:szCs w:val="19"/>
          <w:color w:val="auto"/>
        </w:rPr>
        <w:t>Remove all items from refrigerators. Unplug, defrost, clean and let stand open to dry at least 24 hours in advance of loading.</w:t>
      </w:r>
    </w:p>
    <w:p>
      <w:pPr>
        <w:spacing w:after="0" w:line="146" w:lineRule="exact"/>
        <w:rPr>
          <w:rFonts w:ascii="Arial" w:cs="Arial" w:eastAsia="Arial" w:hAnsi="Arial"/>
          <w:sz w:val="15"/>
          <w:szCs w:val="15"/>
          <w:color w:val="798CBA"/>
        </w:rPr>
      </w:pPr>
    </w:p>
    <w:p>
      <w:pPr>
        <w:ind w:left="340" w:hanging="332"/>
        <w:spacing w:after="0"/>
        <w:tabs>
          <w:tab w:leader="none" w:pos="340" w:val="left"/>
        </w:tabs>
        <w:numPr>
          <w:ilvl w:val="0"/>
          <w:numId w:val="46"/>
        </w:numPr>
        <w:rPr>
          <w:rFonts w:ascii="Arial" w:cs="Arial" w:eastAsia="Arial" w:hAnsi="Arial"/>
          <w:sz w:val="16"/>
          <w:szCs w:val="16"/>
          <w:color w:val="798CBA"/>
        </w:rPr>
      </w:pPr>
      <w:r>
        <w:rPr>
          <w:rFonts w:ascii="Arial" w:cs="Arial" w:eastAsia="Arial" w:hAnsi="Arial"/>
          <w:sz w:val="22"/>
          <w:szCs w:val="22"/>
          <w:color w:val="auto"/>
        </w:rPr>
        <w:t>Items that cannot be moved by your household goods mover:</w:t>
      </w:r>
    </w:p>
    <w:p>
      <w:pPr>
        <w:spacing w:after="0" w:line="111" w:lineRule="exact"/>
        <w:rPr>
          <w:rFonts w:ascii="Arial" w:cs="Arial" w:eastAsia="Arial" w:hAnsi="Arial"/>
          <w:sz w:val="16"/>
          <w:szCs w:val="16"/>
          <w:color w:val="798CBA"/>
        </w:rPr>
      </w:pPr>
    </w:p>
    <w:p>
      <w:pPr>
        <w:ind w:left="660" w:hanging="328"/>
        <w:spacing w:after="0"/>
        <w:tabs>
          <w:tab w:leader="none" w:pos="660" w:val="left"/>
        </w:tabs>
        <w:numPr>
          <w:ilvl w:val="1"/>
          <w:numId w:val="46"/>
        </w:numPr>
        <w:rPr>
          <w:rFonts w:ascii="Arial" w:cs="Arial" w:eastAsia="Arial" w:hAnsi="Arial"/>
          <w:sz w:val="20"/>
          <w:szCs w:val="20"/>
          <w:color w:val="798CBA"/>
        </w:rPr>
      </w:pPr>
      <w:r>
        <w:rPr>
          <w:rFonts w:ascii="Arial" w:cs="Arial" w:eastAsia="Arial" w:hAnsi="Arial"/>
          <w:sz w:val="22"/>
          <w:szCs w:val="22"/>
          <w:color w:val="auto"/>
        </w:rPr>
        <w:t>Bleach</w:t>
      </w:r>
    </w:p>
    <w:p>
      <w:pPr>
        <w:spacing w:after="0" w:line="71" w:lineRule="exact"/>
        <w:rPr>
          <w:rFonts w:ascii="Arial" w:cs="Arial" w:eastAsia="Arial" w:hAnsi="Arial"/>
          <w:sz w:val="20"/>
          <w:szCs w:val="20"/>
          <w:color w:val="798CBA"/>
        </w:rPr>
      </w:pPr>
    </w:p>
    <w:p>
      <w:pPr>
        <w:ind w:left="660" w:hanging="328"/>
        <w:spacing w:after="0"/>
        <w:tabs>
          <w:tab w:leader="none" w:pos="660" w:val="left"/>
        </w:tabs>
        <w:numPr>
          <w:ilvl w:val="1"/>
          <w:numId w:val="46"/>
        </w:numPr>
        <w:rPr>
          <w:rFonts w:ascii="Arial" w:cs="Arial" w:eastAsia="Arial" w:hAnsi="Arial"/>
          <w:sz w:val="20"/>
          <w:szCs w:val="20"/>
          <w:color w:val="798CBA"/>
        </w:rPr>
      </w:pPr>
      <w:r>
        <w:rPr>
          <w:rFonts w:ascii="Arial" w:cs="Arial" w:eastAsia="Arial" w:hAnsi="Arial"/>
          <w:sz w:val="22"/>
          <w:szCs w:val="22"/>
          <w:color w:val="auto"/>
        </w:rPr>
        <w:t>Propane tanks or butane tanks</w:t>
      </w:r>
    </w:p>
    <w:p>
      <w:pPr>
        <w:spacing w:after="0" w:line="71" w:lineRule="exact"/>
        <w:rPr>
          <w:rFonts w:ascii="Arial" w:cs="Arial" w:eastAsia="Arial" w:hAnsi="Arial"/>
          <w:sz w:val="20"/>
          <w:szCs w:val="20"/>
          <w:color w:val="798CBA"/>
        </w:rPr>
      </w:pPr>
    </w:p>
    <w:p>
      <w:pPr>
        <w:ind w:left="660" w:right="700" w:hanging="328"/>
        <w:spacing w:after="0" w:line="263" w:lineRule="auto"/>
        <w:tabs>
          <w:tab w:leader="none" w:pos="660" w:val="left"/>
        </w:tabs>
        <w:numPr>
          <w:ilvl w:val="1"/>
          <w:numId w:val="46"/>
        </w:numPr>
        <w:rPr>
          <w:rFonts w:ascii="Arial" w:cs="Arial" w:eastAsia="Arial" w:hAnsi="Arial"/>
          <w:sz w:val="20"/>
          <w:szCs w:val="20"/>
          <w:color w:val="798CBA"/>
        </w:rPr>
      </w:pPr>
      <w:r>
        <w:rPr>
          <w:rFonts w:ascii="Arial" w:cs="Arial" w:eastAsia="Arial" w:hAnsi="Arial"/>
          <w:sz w:val="22"/>
          <w:szCs w:val="22"/>
          <w:color w:val="auto"/>
        </w:rPr>
        <w:t>Flammable or combustible items of any kind, including gas and oil in lawn mowers, edgers and other yard or utility equipment</w:t>
      </w:r>
    </w:p>
    <w:p>
      <w:pPr>
        <w:spacing w:after="0" w:line="26" w:lineRule="exact"/>
        <w:rPr>
          <w:rFonts w:ascii="Arial" w:cs="Arial" w:eastAsia="Arial" w:hAnsi="Arial"/>
          <w:sz w:val="20"/>
          <w:szCs w:val="20"/>
          <w:color w:val="798CBA"/>
        </w:rPr>
      </w:pPr>
    </w:p>
    <w:p>
      <w:pPr>
        <w:ind w:left="660" w:hanging="328"/>
        <w:spacing w:after="0"/>
        <w:tabs>
          <w:tab w:leader="none" w:pos="660" w:val="left"/>
        </w:tabs>
        <w:numPr>
          <w:ilvl w:val="1"/>
          <w:numId w:val="46"/>
        </w:numPr>
        <w:rPr>
          <w:rFonts w:ascii="Arial" w:cs="Arial" w:eastAsia="Arial" w:hAnsi="Arial"/>
          <w:sz w:val="20"/>
          <w:szCs w:val="20"/>
          <w:color w:val="798CBA"/>
        </w:rPr>
      </w:pPr>
      <w:r>
        <w:rPr>
          <w:rFonts w:ascii="Arial" w:cs="Arial" w:eastAsia="Arial" w:hAnsi="Arial"/>
          <w:sz w:val="22"/>
          <w:szCs w:val="22"/>
          <w:color w:val="auto"/>
        </w:rPr>
        <w:t>Open liquids of any kind</w:t>
      </w:r>
    </w:p>
    <w:p>
      <w:pPr>
        <w:spacing w:after="0" w:line="71" w:lineRule="exact"/>
        <w:rPr>
          <w:rFonts w:ascii="Arial" w:cs="Arial" w:eastAsia="Arial" w:hAnsi="Arial"/>
          <w:sz w:val="20"/>
          <w:szCs w:val="20"/>
          <w:color w:val="798CBA"/>
        </w:rPr>
      </w:pPr>
    </w:p>
    <w:p>
      <w:pPr>
        <w:ind w:left="660" w:hanging="328"/>
        <w:spacing w:after="0"/>
        <w:tabs>
          <w:tab w:leader="none" w:pos="660" w:val="left"/>
        </w:tabs>
        <w:numPr>
          <w:ilvl w:val="1"/>
          <w:numId w:val="46"/>
        </w:numPr>
        <w:rPr>
          <w:rFonts w:ascii="Arial" w:cs="Arial" w:eastAsia="Arial" w:hAnsi="Arial"/>
          <w:sz w:val="20"/>
          <w:szCs w:val="20"/>
          <w:color w:val="798CBA"/>
        </w:rPr>
      </w:pPr>
      <w:r>
        <w:rPr>
          <w:rFonts w:ascii="Arial" w:cs="Arial" w:eastAsia="Arial" w:hAnsi="Arial"/>
          <w:sz w:val="22"/>
          <w:szCs w:val="22"/>
          <w:color w:val="auto"/>
        </w:rPr>
        <w:t>Frozen foods</w:t>
      </w:r>
    </w:p>
    <w:p>
      <w:pPr>
        <w:spacing w:after="0" w:line="71" w:lineRule="exact"/>
        <w:rPr>
          <w:rFonts w:ascii="Arial" w:cs="Arial" w:eastAsia="Arial" w:hAnsi="Arial"/>
          <w:sz w:val="20"/>
          <w:szCs w:val="20"/>
          <w:color w:val="798CBA"/>
        </w:rPr>
      </w:pPr>
    </w:p>
    <w:p>
      <w:pPr>
        <w:ind w:left="660" w:hanging="328"/>
        <w:spacing w:after="0"/>
        <w:tabs>
          <w:tab w:leader="none" w:pos="660" w:val="left"/>
        </w:tabs>
        <w:numPr>
          <w:ilvl w:val="1"/>
          <w:numId w:val="46"/>
        </w:numPr>
        <w:rPr>
          <w:rFonts w:ascii="Arial" w:cs="Arial" w:eastAsia="Arial" w:hAnsi="Arial"/>
          <w:sz w:val="20"/>
          <w:szCs w:val="20"/>
          <w:color w:val="798CBA"/>
        </w:rPr>
      </w:pPr>
      <w:r>
        <w:rPr>
          <w:rFonts w:ascii="Arial" w:cs="Arial" w:eastAsia="Arial" w:hAnsi="Arial"/>
          <w:sz w:val="22"/>
          <w:szCs w:val="22"/>
          <w:color w:val="auto"/>
        </w:rPr>
        <w:t>Aerosol cans or paints</w:t>
      </w:r>
    </w:p>
    <w:p>
      <w:pPr>
        <w:spacing w:after="0" w:line="71" w:lineRule="exact"/>
        <w:rPr>
          <w:rFonts w:ascii="Arial" w:cs="Arial" w:eastAsia="Arial" w:hAnsi="Arial"/>
          <w:sz w:val="20"/>
          <w:szCs w:val="20"/>
          <w:color w:val="798CBA"/>
        </w:rPr>
      </w:pPr>
    </w:p>
    <w:p>
      <w:pPr>
        <w:ind w:left="340" w:right="60" w:hanging="332"/>
        <w:spacing w:after="0" w:line="263" w:lineRule="auto"/>
        <w:tabs>
          <w:tab w:leader="none" w:pos="340" w:val="left"/>
        </w:tabs>
        <w:numPr>
          <w:ilvl w:val="0"/>
          <w:numId w:val="46"/>
        </w:numPr>
        <w:rPr>
          <w:rFonts w:ascii="Arial" w:cs="Arial" w:eastAsia="Arial" w:hAnsi="Arial"/>
          <w:sz w:val="16"/>
          <w:szCs w:val="16"/>
          <w:color w:val="798CBA"/>
        </w:rPr>
      </w:pPr>
      <w:r>
        <w:rPr>
          <w:rFonts w:ascii="Arial" w:cs="Arial" w:eastAsia="Arial" w:hAnsi="Arial"/>
          <w:sz w:val="22"/>
          <w:szCs w:val="22"/>
          <w:color w:val="auto"/>
        </w:rPr>
        <w:t>No mover will accept liability for moving plants. If you choose to allow the mover to move your plants, you do so at your own risk.</w:t>
      </w:r>
    </w:p>
    <w:p>
      <w:pPr>
        <w:spacing w:after="0" w:line="66" w:lineRule="exact"/>
        <w:rPr>
          <w:rFonts w:ascii="Arial" w:cs="Arial" w:eastAsia="Arial" w:hAnsi="Arial"/>
          <w:sz w:val="16"/>
          <w:szCs w:val="16"/>
          <w:color w:val="798CBA"/>
        </w:rPr>
      </w:pPr>
    </w:p>
    <w:p>
      <w:pPr>
        <w:ind w:left="340"/>
        <w:spacing w:after="0" w:line="253" w:lineRule="auto"/>
        <w:rPr>
          <w:rFonts w:ascii="Arial" w:cs="Arial" w:eastAsia="Arial" w:hAnsi="Arial"/>
          <w:sz w:val="16"/>
          <w:szCs w:val="16"/>
          <w:color w:val="798CBA"/>
        </w:rPr>
      </w:pPr>
      <w:r>
        <w:rPr>
          <w:rFonts w:ascii="Arial" w:cs="Arial" w:eastAsia="Arial" w:hAnsi="Arial"/>
          <w:sz w:val="22"/>
          <w:szCs w:val="22"/>
          <w:i w:val="1"/>
          <w:iCs w:val="1"/>
          <w:color w:val="auto"/>
        </w:rPr>
        <w:t xml:space="preserve">Note: </w:t>
      </w:r>
      <w:r>
        <w:rPr>
          <w:rFonts w:ascii="Arial" w:cs="Arial" w:eastAsia="Arial" w:hAnsi="Arial"/>
          <w:sz w:val="22"/>
          <w:szCs w:val="22"/>
          <w:color w:val="auto"/>
        </w:rPr>
        <w:t>Federal regulations require that plants moved interstate be inspected and certified free of pests and diseases. The states of</w:t>
      </w:r>
      <w:r>
        <w:rPr>
          <w:rFonts w:ascii="Arial" w:cs="Arial" w:eastAsia="Arial" w:hAnsi="Arial"/>
          <w:sz w:val="22"/>
          <w:szCs w:val="22"/>
          <w:i w:val="1"/>
          <w:iCs w:val="1"/>
          <w:color w:val="auto"/>
        </w:rPr>
        <w:t xml:space="preserve"> </w:t>
      </w:r>
      <w:r>
        <w:rPr>
          <w:rFonts w:ascii="Arial" w:cs="Arial" w:eastAsia="Arial" w:hAnsi="Arial"/>
          <w:sz w:val="22"/>
          <w:szCs w:val="22"/>
          <w:color w:val="auto"/>
        </w:rPr>
        <w:t>California, Arizona and Florida are especially diligent in enforcing their agriculture laws. Taking plants into these states may require considerable extra expense and effort.</w:t>
      </w:r>
    </w:p>
    <w:p>
      <w:pPr>
        <w:spacing w:after="0" w:line="77" w:lineRule="exact"/>
        <w:rPr>
          <w:rFonts w:ascii="Arial" w:cs="Arial" w:eastAsia="Arial" w:hAnsi="Arial"/>
          <w:sz w:val="16"/>
          <w:szCs w:val="16"/>
          <w:color w:val="798CBA"/>
        </w:rPr>
      </w:pPr>
    </w:p>
    <w:p>
      <w:pPr>
        <w:ind w:left="340" w:right="540" w:hanging="332"/>
        <w:spacing w:after="0" w:line="263" w:lineRule="auto"/>
        <w:tabs>
          <w:tab w:leader="none" w:pos="340" w:val="left"/>
        </w:tabs>
        <w:numPr>
          <w:ilvl w:val="0"/>
          <w:numId w:val="46"/>
        </w:numPr>
        <w:rPr>
          <w:rFonts w:ascii="Arial" w:cs="Arial" w:eastAsia="Arial" w:hAnsi="Arial"/>
          <w:sz w:val="16"/>
          <w:szCs w:val="16"/>
          <w:color w:val="798CBA"/>
        </w:rPr>
      </w:pPr>
      <w:r>
        <w:rPr>
          <w:rFonts w:ascii="Arial" w:cs="Arial" w:eastAsia="Arial" w:hAnsi="Arial"/>
          <w:sz w:val="22"/>
          <w:szCs w:val="22"/>
          <w:color w:val="auto"/>
        </w:rPr>
        <w:t>In the event damage occurs during the shipment of your goods, please advise your Altair consultant who will assist in the claims process.</w:t>
      </w:r>
    </w:p>
    <w:p>
      <w:pPr>
        <w:spacing w:after="0" w:line="66" w:lineRule="exact"/>
        <w:rPr>
          <w:rFonts w:ascii="Arial" w:cs="Arial" w:eastAsia="Arial" w:hAnsi="Arial"/>
          <w:sz w:val="16"/>
          <w:szCs w:val="16"/>
          <w:color w:val="798CBA"/>
        </w:rPr>
      </w:pPr>
    </w:p>
    <w:p>
      <w:pPr>
        <w:ind w:left="340" w:right="640" w:hanging="332"/>
        <w:spacing w:after="0" w:line="263" w:lineRule="auto"/>
        <w:tabs>
          <w:tab w:leader="none" w:pos="340" w:val="left"/>
        </w:tabs>
        <w:numPr>
          <w:ilvl w:val="0"/>
          <w:numId w:val="46"/>
        </w:numPr>
        <w:rPr>
          <w:rFonts w:ascii="Arial" w:cs="Arial" w:eastAsia="Arial" w:hAnsi="Arial"/>
          <w:sz w:val="16"/>
          <w:szCs w:val="16"/>
          <w:color w:val="798CBA"/>
        </w:rPr>
      </w:pPr>
      <w:r>
        <w:rPr>
          <w:rFonts w:ascii="Arial" w:cs="Arial" w:eastAsia="Arial" w:hAnsi="Arial"/>
          <w:sz w:val="22"/>
          <w:szCs w:val="22"/>
          <w:color w:val="auto"/>
        </w:rPr>
        <w:t>If you have items in temporary storage, please give the shipper maximum possible advance notice of the date you prefer delivery. Fourteen days is recommended to ensure the availability of your preferred dates.</w:t>
      </w:r>
    </w:p>
    <w:p>
      <w:pPr>
        <w:spacing w:after="0" w:line="66" w:lineRule="exact"/>
        <w:rPr>
          <w:rFonts w:ascii="Arial" w:cs="Arial" w:eastAsia="Arial" w:hAnsi="Arial"/>
          <w:sz w:val="16"/>
          <w:szCs w:val="16"/>
          <w:color w:val="798CBA"/>
        </w:rPr>
      </w:pPr>
    </w:p>
    <w:p>
      <w:pPr>
        <w:ind w:left="340" w:hanging="332"/>
        <w:spacing w:after="0"/>
        <w:tabs>
          <w:tab w:leader="none" w:pos="340" w:val="left"/>
        </w:tabs>
        <w:numPr>
          <w:ilvl w:val="0"/>
          <w:numId w:val="46"/>
        </w:numPr>
        <w:rPr>
          <w:rFonts w:ascii="Arial" w:cs="Arial" w:eastAsia="Arial" w:hAnsi="Arial"/>
          <w:sz w:val="15"/>
          <w:szCs w:val="15"/>
          <w:color w:val="798CBA"/>
        </w:rPr>
      </w:pPr>
      <w:r>
        <w:rPr>
          <w:rFonts w:ascii="Arial" w:cs="Arial" w:eastAsia="Arial" w:hAnsi="Arial"/>
          <w:sz w:val="21"/>
          <w:szCs w:val="21"/>
          <w:color w:val="auto"/>
        </w:rPr>
        <w:t>Keep your utilities on at the old location until at least the day after the scheduled completion of packing and loading.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Tax Liability</w:t>
      </w:r>
    </w:p>
    <w:p>
      <w:pPr>
        <w:spacing w:after="0" w:line="118" w:lineRule="exact"/>
        <w:rPr>
          <w:sz w:val="20"/>
          <w:szCs w:val="20"/>
          <w:color w:val="auto"/>
        </w:rPr>
      </w:pPr>
    </w:p>
    <w:p>
      <w:pPr>
        <w:ind w:right="500"/>
        <w:spacing w:after="0" w:line="263" w:lineRule="auto"/>
        <w:rPr>
          <w:sz w:val="20"/>
          <w:szCs w:val="20"/>
          <w:color w:val="auto"/>
        </w:rPr>
      </w:pPr>
      <w:r>
        <w:rPr>
          <w:rFonts w:ascii="Arial" w:cs="Arial" w:eastAsia="Arial" w:hAnsi="Arial"/>
          <w:sz w:val="22"/>
          <w:szCs w:val="22"/>
          <w:color w:val="auto"/>
        </w:rPr>
        <w:t>Household goods moving expenses and storage up to 30 days are excluded from gross earnings and no tax liability is created; therefore, gross-up is not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1492885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16</w:t>
      </w:r>
    </w:p>
    <w:p>
      <w:pPr>
        <w:sectPr>
          <w:pgSz w:w="11900" w:h="16838" w:orient="portrait"/>
          <w:cols w:equalWidth="0" w:num="1">
            <w:col w:w="11360"/>
          </w:cols>
          <w:pgMar w:left="240" w:top="375" w:right="299" w:bottom="1440" w:gutter="0" w:footer="0" w:header="0"/>
        </w:sectPr>
      </w:pPr>
    </w:p>
    <w:bookmarkStart w:id="86" w:name="page87"/>
    <w:bookmarkEnd w:id="86"/>
    <w:p>
      <w:pPr>
        <w:jc w:val="center"/>
        <w:ind w:right="-59"/>
        <w:spacing w:after="0"/>
        <w:rPr>
          <w:sz w:val="20"/>
          <w:szCs w:val="20"/>
          <w:color w:val="auto"/>
        </w:rPr>
      </w:pPr>
      <w:r>
        <w:rPr>
          <w:rFonts w:ascii="Arial" w:cs="Arial" w:eastAsia="Arial" w:hAnsi="Arial"/>
          <w:sz w:val="22"/>
          <w:szCs w:val="22"/>
          <w:b w:val="1"/>
          <w:bCs w:val="1"/>
          <w:color w:val="0C2E82"/>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Final Trip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3"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Reimbursement will be provided for reasonable in-transit expenses incurred by you, your spouse/partner, and eligible dependents while traveling on the final trip from the old to the new location.</w:t>
      </w:r>
    </w:p>
    <w:p>
      <w:pPr>
        <w:spacing w:after="0" w:line="6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Travel arrangements should be made through the Autodesk Travel Department. If you choose to travel by air, one-way economy airfare for you and your family will be provided. If you drive, mileage will be reimbursed at the current IRS rate. Provided you drive at least 350 miles per day, reasonable expenses for hotel (up to $125 per night) and meals ($35 per adult and $17.50 per each child per day) will be reimbursed.</w:t>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color w:val="auto"/>
        </w:rPr>
        <w:t>You must report actual travel expenses on a Relocation Expense Form. Altair will approve the Relocation Expense Form.</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Pet Transportation</w:t>
      </w:r>
    </w:p>
    <w:p>
      <w:pPr>
        <w:spacing w:after="0" w:line="118" w:lineRule="exact"/>
        <w:rPr>
          <w:sz w:val="20"/>
          <w:szCs w:val="20"/>
          <w:color w:val="auto"/>
        </w:rPr>
      </w:pPr>
    </w:p>
    <w:p>
      <w:pPr>
        <w:ind w:right="360"/>
        <w:spacing w:after="0" w:line="253" w:lineRule="auto"/>
        <w:rPr>
          <w:sz w:val="20"/>
          <w:szCs w:val="20"/>
          <w:color w:val="auto"/>
        </w:rPr>
      </w:pPr>
      <w:r>
        <w:rPr>
          <w:rFonts w:ascii="Arial" w:cs="Arial" w:eastAsia="Arial" w:hAnsi="Arial"/>
          <w:sz w:val="22"/>
          <w:szCs w:val="22"/>
          <w:color w:val="auto"/>
        </w:rPr>
        <w:t>Air travel for up to two family pets (dog or cat) traveling on the same flight as you and your family will be provided, subject to airline guidelines. You are responsible for all other costs associated with transporting your pets, such as crating, vaccinations, specialized pet transport company costs, etc.</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Tax Liability</w:t>
      </w:r>
    </w:p>
    <w:p>
      <w:pPr>
        <w:spacing w:after="0" w:line="118"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With the exception of meals and excess mileage in accordance with IRS guidelines, final move expenses are excluded from income and no gross-up is necessary. Meals and excess mileage payments are reported as additional gross earnings and are grossed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3643630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17</w:t>
      </w:r>
    </w:p>
    <w:p>
      <w:pPr>
        <w:sectPr>
          <w:pgSz w:w="11900" w:h="16838" w:orient="portrait"/>
          <w:cols w:equalWidth="0" w:num="1">
            <w:col w:w="11360"/>
          </w:cols>
          <w:pgMar w:left="240" w:top="612" w:right="29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22"/>
          <w:szCs w:val="22"/>
          <w:b w:val="1"/>
          <w:bCs w:val="1"/>
          <w:color w:val="0C2E82"/>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Expense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right="320"/>
        <w:spacing w:after="0" w:line="253" w:lineRule="auto"/>
        <w:rPr>
          <w:sz w:val="20"/>
          <w:szCs w:val="20"/>
          <w:color w:val="auto"/>
        </w:rPr>
      </w:pPr>
      <w:r>
        <w:rPr>
          <w:rFonts w:ascii="Arial" w:cs="Arial" w:eastAsia="Arial" w:hAnsi="Arial"/>
          <w:sz w:val="22"/>
          <w:szCs w:val="22"/>
          <w:color w:val="auto"/>
        </w:rPr>
        <w:t>In some circumstances, you may be required to pay certain relocation expenses and request reimbursement afterward. Such reimbursement requests must be kept separate from other business expenses and submitted to Altair, using the Altair Relocation Expense Form.</w:t>
      </w:r>
    </w:p>
    <w:p>
      <w:pPr>
        <w:spacing w:after="0" w:line="67"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This form may be accessed and submitted online through Altair’s STAR</w:t>
      </w:r>
      <w:r>
        <w:rPr>
          <w:rFonts w:ascii="Arial" w:cs="Arial" w:eastAsia="Arial" w:hAnsi="Arial"/>
          <w:sz w:val="28"/>
          <w:szCs w:val="28"/>
          <w:color w:val="auto"/>
          <w:vertAlign w:val="superscript"/>
        </w:rPr>
        <w:t>®</w:t>
      </w:r>
      <w:r>
        <w:rPr>
          <w:rFonts w:ascii="Arial" w:cs="Arial" w:eastAsia="Arial" w:hAnsi="Arial"/>
          <w:sz w:val="22"/>
          <w:szCs w:val="22"/>
          <w:color w:val="auto"/>
        </w:rPr>
        <w:t xml:space="preserve"> Employee and Family web site. Instructions for expense report completion and submission are described in STAR</w:t>
      </w:r>
      <w:r>
        <w:rPr>
          <w:rFonts w:ascii="Arial" w:cs="Arial" w:eastAsia="Arial" w:hAnsi="Arial"/>
          <w:sz w:val="28"/>
          <w:szCs w:val="28"/>
          <w:color w:val="auto"/>
          <w:vertAlign w:val="superscript"/>
        </w:rPr>
        <w:t>®</w:t>
      </w:r>
      <w:r>
        <w:rPr>
          <w:rFonts w:ascii="Arial" w:cs="Arial" w:eastAsia="Arial" w:hAnsi="Arial"/>
          <w:sz w:val="22"/>
          <w:szCs w:val="22"/>
          <w:color w:val="auto"/>
        </w:rPr>
        <w:t>.</w:t>
      </w:r>
    </w:p>
    <w:p>
      <w:pPr>
        <w:spacing w:after="0" w:line="1" w:lineRule="exact"/>
        <w:rPr>
          <w:sz w:val="20"/>
          <w:szCs w:val="20"/>
          <w:color w:val="auto"/>
        </w:rPr>
      </w:pPr>
    </w:p>
    <w:p>
      <w:pPr>
        <w:spacing w:after="0" w:line="313" w:lineRule="auto"/>
        <w:rPr>
          <w:sz w:val="20"/>
          <w:szCs w:val="20"/>
          <w:color w:val="auto"/>
        </w:rPr>
      </w:pPr>
      <w:r>
        <w:rPr>
          <w:rFonts w:ascii="Arial" w:cs="Arial" w:eastAsia="Arial" w:hAnsi="Arial"/>
          <w:sz w:val="19"/>
          <w:szCs w:val="19"/>
          <w:color w:val="auto"/>
        </w:rPr>
        <w:t xml:space="preserve">After submitting the expense report online, the required receipt copies should be submitted to Altair for approval and processing </w:t>
      </w:r>
      <w:r>
        <w:rPr>
          <w:rFonts w:ascii="Arial" w:cs="Arial" w:eastAsia="Arial" w:hAnsi="Arial"/>
          <w:sz w:val="19"/>
          <w:szCs w:val="19"/>
          <w:b w:val="1"/>
          <w:bCs w:val="1"/>
          <w:color w:val="auto"/>
        </w:rPr>
        <w:t>no</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later than 30 days after you incur the expenses. </w:t>
      </w:r>
      <w:r>
        <w:rPr>
          <w:rFonts w:ascii="Arial" w:cs="Arial" w:eastAsia="Arial" w:hAnsi="Arial"/>
          <w:sz w:val="19"/>
          <w:szCs w:val="19"/>
          <w:color w:val="auto"/>
        </w:rPr>
        <w:t>Failure to submit expenses within this time frame could jeopardize</w:t>
      </w:r>
      <w:r>
        <w:rPr>
          <w:rFonts w:ascii="Arial" w:cs="Arial" w:eastAsia="Arial" w:hAnsi="Arial"/>
          <w:sz w:val="19"/>
          <w:szCs w:val="19"/>
          <w:b w:val="1"/>
          <w:bCs w:val="1"/>
          <w:color w:val="auto"/>
        </w:rPr>
        <w:t xml:space="preserve"> </w:t>
      </w:r>
      <w:r>
        <w:rPr>
          <w:rFonts w:ascii="Arial" w:cs="Arial" w:eastAsia="Arial" w:hAnsi="Arial"/>
          <w:sz w:val="19"/>
          <w:szCs w:val="19"/>
          <w:color w:val="auto"/>
        </w:rPr>
        <w:t>reimbursement, your tax assistance, or both. Reimbursement will be for actual, reasonable costs only, within the policy guidelines.</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Please remember:</w:t>
      </w:r>
    </w:p>
    <w:p>
      <w:pPr>
        <w:spacing w:after="0" w:line="118"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6"/>
          <w:szCs w:val="16"/>
          <w:color w:val="798CBA"/>
        </w:rPr>
      </w:pPr>
      <w:r>
        <w:rPr>
          <w:rFonts w:ascii="Arial" w:cs="Arial" w:eastAsia="Arial" w:hAnsi="Arial"/>
          <w:sz w:val="22"/>
          <w:szCs w:val="22"/>
          <w:color w:val="auto"/>
        </w:rPr>
        <w:t>Copies of itemized paid receipts should be provided for each expense by Fax or email (if scanned) to Altair.</w:t>
      </w:r>
    </w:p>
    <w:p>
      <w:pPr>
        <w:spacing w:after="0" w:line="165" w:lineRule="exact"/>
        <w:rPr>
          <w:rFonts w:ascii="Arial" w:cs="Arial" w:eastAsia="Arial" w:hAnsi="Arial"/>
          <w:sz w:val="16"/>
          <w:szCs w:val="16"/>
          <w:color w:val="798CBA"/>
        </w:rPr>
      </w:pPr>
    </w:p>
    <w:p>
      <w:pPr>
        <w:ind w:left="340" w:hanging="332"/>
        <w:spacing w:after="0"/>
        <w:tabs>
          <w:tab w:leader="none" w:pos="340" w:val="left"/>
        </w:tabs>
        <w:numPr>
          <w:ilvl w:val="0"/>
          <w:numId w:val="47"/>
        </w:numPr>
        <w:rPr>
          <w:rFonts w:ascii="Arial" w:cs="Arial" w:eastAsia="Arial" w:hAnsi="Arial"/>
          <w:sz w:val="16"/>
          <w:szCs w:val="16"/>
          <w:color w:val="798CBA"/>
        </w:rPr>
      </w:pPr>
      <w:r>
        <w:rPr>
          <w:rFonts w:ascii="Arial" w:cs="Arial" w:eastAsia="Arial" w:hAnsi="Arial"/>
          <w:sz w:val="22"/>
          <w:szCs w:val="22"/>
          <w:color w:val="auto"/>
        </w:rPr>
        <w:t>You must include a copy of the expense report when you provide your receipts.</w:t>
      </w:r>
    </w:p>
    <w:p>
      <w:pPr>
        <w:spacing w:after="0" w:line="165" w:lineRule="exact"/>
        <w:rPr>
          <w:rFonts w:ascii="Arial" w:cs="Arial" w:eastAsia="Arial" w:hAnsi="Arial"/>
          <w:sz w:val="16"/>
          <w:szCs w:val="16"/>
          <w:color w:val="798CBA"/>
        </w:rPr>
      </w:pPr>
    </w:p>
    <w:p>
      <w:pPr>
        <w:ind w:left="340" w:right="640" w:hanging="332"/>
        <w:spacing w:after="0" w:line="263" w:lineRule="auto"/>
        <w:tabs>
          <w:tab w:leader="none" w:pos="340" w:val="left"/>
        </w:tabs>
        <w:numPr>
          <w:ilvl w:val="0"/>
          <w:numId w:val="47"/>
        </w:numPr>
        <w:rPr>
          <w:rFonts w:ascii="Arial" w:cs="Arial" w:eastAsia="Arial" w:hAnsi="Arial"/>
          <w:sz w:val="16"/>
          <w:szCs w:val="16"/>
          <w:color w:val="798CBA"/>
        </w:rPr>
      </w:pPr>
      <w:r>
        <w:rPr>
          <w:rFonts w:ascii="Arial" w:cs="Arial" w:eastAsia="Arial" w:hAnsi="Arial"/>
          <w:sz w:val="22"/>
          <w:szCs w:val="22"/>
          <w:color w:val="auto"/>
        </w:rPr>
        <w:t>It is wise to keep copies of all reimbursement forms and receipts that you submit for your personal records as well as for income tax purposes.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Regular business/travel expenses must be submitted separately to Autodesk on separate expense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3604895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18</w:t>
      </w:r>
    </w:p>
    <w:p>
      <w:pPr>
        <w:sectPr>
          <w:pgSz w:w="11900" w:h="16838" w:orient="portrait"/>
          <w:cols w:equalWidth="0" w:num="1">
            <w:col w:w="11380"/>
          </w:cols>
          <w:pgMar w:left="240" w:top="612" w:right="279" w:bottom="1440" w:gutter="0" w:footer="0" w:header="0"/>
        </w:sectPr>
      </w:pPr>
    </w:p>
    <w:bookmarkStart w:id="88" w:name="page89"/>
    <w:bookmarkEnd w:id="88"/>
    <w:p>
      <w:pPr>
        <w:ind w:left="3980"/>
        <w:spacing w:after="0"/>
        <w:rPr>
          <w:sz w:val="20"/>
          <w:szCs w:val="20"/>
          <w:color w:val="auto"/>
        </w:rPr>
      </w:pPr>
      <w:r>
        <w:rPr>
          <w:rFonts w:ascii="Arial" w:cs="Arial" w:eastAsia="Arial" w:hAnsi="Arial"/>
          <w:sz w:val="22"/>
          <w:szCs w:val="22"/>
          <w:b w:val="1"/>
          <w:bCs w:val="1"/>
          <w:color w:val="0C2E82"/>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t>Tax Liability on Relocation Expenses</w:t>
      </w:r>
    </w:p>
    <w:p>
      <w:pPr>
        <w:spacing w:after="0" w:line="28"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0C2E82"/>
        </w:rPr>
        <w:t>Paid to You or On Your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both"/>
        <w:ind w:right="260"/>
        <w:spacing w:after="0" w:line="265" w:lineRule="auto"/>
        <w:rPr>
          <w:sz w:val="20"/>
          <w:szCs w:val="20"/>
          <w:color w:val="auto"/>
        </w:rPr>
      </w:pPr>
      <w:r>
        <w:rPr>
          <w:rFonts w:ascii="Arial" w:cs="Arial" w:eastAsia="Arial" w:hAnsi="Arial"/>
          <w:sz w:val="21"/>
          <w:szCs w:val="21"/>
          <w:color w:val="auto"/>
        </w:rPr>
        <w:t xml:space="preserve">Most of the amounts expended by Autodesk on your behalf during relocation, whether reimbursed to you or paid directly to the service provider, will be included in your annual income. The only exceptions are certain household goods moving and final trip expenses, defined by the IRS, which are </w:t>
      </w:r>
      <w:r>
        <w:rPr>
          <w:rFonts w:ascii="Arial" w:cs="Arial" w:eastAsia="Arial" w:hAnsi="Arial"/>
          <w:sz w:val="21"/>
          <w:szCs w:val="21"/>
          <w:i w:val="1"/>
          <w:iCs w:val="1"/>
          <w:color w:val="auto"/>
        </w:rPr>
        <w:t>excluded</w:t>
      </w:r>
      <w:r>
        <w:rPr>
          <w:rFonts w:ascii="Arial" w:cs="Arial" w:eastAsia="Arial" w:hAnsi="Arial"/>
          <w:sz w:val="21"/>
          <w:szCs w:val="21"/>
          <w:color w:val="auto"/>
        </w:rPr>
        <w:t xml:space="preserve"> from your income. Other than these specific, limited exclusions, the total of all other relocation payments will appear on your W-2 issued in January of the following year.</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Autodesk will provide tax assistance for most taxable benefits through a process called “gross-up.” Altair will calculate the amount of gross-up to which you are entitled and report it to Autodesk following completion of the move, or at year-end if your move spans more than one tax year. Autodesk, through the payroll department, will pay additional funds directly to the appropriate tax authority to help cover the extra taxes caused by your relocation benefits.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Please take note of these important factors pertaining to your gross-up benefits:</w:t>
      </w:r>
    </w:p>
    <w:p>
      <w:pPr>
        <w:spacing w:after="0" w:line="112" w:lineRule="exact"/>
        <w:rPr>
          <w:sz w:val="20"/>
          <w:szCs w:val="20"/>
          <w:color w:val="auto"/>
        </w:rPr>
      </w:pPr>
    </w:p>
    <w:p>
      <w:pPr>
        <w:ind w:left="340" w:right="320" w:hanging="332"/>
        <w:spacing w:after="0" w:line="263" w:lineRule="auto"/>
        <w:tabs>
          <w:tab w:leader="none" w:pos="340" w:val="left"/>
        </w:tabs>
        <w:numPr>
          <w:ilvl w:val="0"/>
          <w:numId w:val="48"/>
        </w:numPr>
        <w:rPr>
          <w:rFonts w:ascii="Arial" w:cs="Arial" w:eastAsia="Arial" w:hAnsi="Arial"/>
          <w:sz w:val="16"/>
          <w:szCs w:val="16"/>
          <w:color w:val="798CBA"/>
        </w:rPr>
      </w:pPr>
      <w:r>
        <w:rPr>
          <w:rFonts w:ascii="Arial" w:cs="Arial" w:eastAsia="Arial" w:hAnsi="Arial"/>
          <w:sz w:val="22"/>
          <w:szCs w:val="22"/>
          <w:color w:val="auto"/>
        </w:rPr>
        <w:t>The tax assistance provided by Autodesk will be calculated using supplemental federal, state and local rates and will include Social Security and Medicare if applicable.</w:t>
      </w:r>
    </w:p>
    <w:p>
      <w:pPr>
        <w:spacing w:after="0" w:line="120" w:lineRule="exact"/>
        <w:rPr>
          <w:rFonts w:ascii="Arial" w:cs="Arial" w:eastAsia="Arial" w:hAnsi="Arial"/>
          <w:sz w:val="16"/>
          <w:szCs w:val="16"/>
          <w:color w:val="798CBA"/>
        </w:rPr>
      </w:pPr>
    </w:p>
    <w:p>
      <w:pPr>
        <w:ind w:left="340" w:hanging="332"/>
        <w:spacing w:after="0"/>
        <w:tabs>
          <w:tab w:leader="none" w:pos="340" w:val="left"/>
        </w:tabs>
        <w:numPr>
          <w:ilvl w:val="0"/>
          <w:numId w:val="48"/>
        </w:numPr>
        <w:rPr>
          <w:rFonts w:ascii="Arial" w:cs="Arial" w:eastAsia="Arial" w:hAnsi="Arial"/>
          <w:sz w:val="16"/>
          <w:szCs w:val="16"/>
          <w:color w:val="798CBA"/>
        </w:rPr>
      </w:pPr>
      <w:r>
        <w:rPr>
          <w:rFonts w:ascii="Arial" w:cs="Arial" w:eastAsia="Arial" w:hAnsi="Arial"/>
          <w:sz w:val="22"/>
          <w:szCs w:val="22"/>
          <w:color w:val="auto"/>
        </w:rPr>
        <w:t>Certain relocation expenses may be deductible on your individual tax return and are not grossed up.</w:t>
      </w:r>
    </w:p>
    <w:p>
      <w:pPr>
        <w:spacing w:after="0" w:line="165" w:lineRule="exact"/>
        <w:rPr>
          <w:rFonts w:ascii="Arial" w:cs="Arial" w:eastAsia="Arial" w:hAnsi="Arial"/>
          <w:sz w:val="16"/>
          <w:szCs w:val="16"/>
          <w:color w:val="798CBA"/>
        </w:rPr>
      </w:pPr>
    </w:p>
    <w:p>
      <w:pPr>
        <w:ind w:left="340" w:right="180" w:hanging="332"/>
        <w:spacing w:after="0" w:line="253" w:lineRule="auto"/>
        <w:tabs>
          <w:tab w:leader="none" w:pos="340" w:val="left"/>
        </w:tabs>
        <w:numPr>
          <w:ilvl w:val="0"/>
          <w:numId w:val="48"/>
        </w:numPr>
        <w:rPr>
          <w:rFonts w:ascii="Arial" w:cs="Arial" w:eastAsia="Arial" w:hAnsi="Arial"/>
          <w:sz w:val="16"/>
          <w:szCs w:val="16"/>
          <w:color w:val="798CBA"/>
        </w:rPr>
      </w:pPr>
      <w:r>
        <w:rPr>
          <w:rFonts w:ascii="Arial" w:cs="Arial" w:eastAsia="Arial" w:hAnsi="Arial"/>
          <w:sz w:val="22"/>
          <w:szCs w:val="22"/>
          <w:color w:val="auto"/>
        </w:rPr>
        <w:t>Gross-up is provided as a financial benefit, but is not intended to compensate you completely for all tax liabilities. Your Miscellaneous Expense Allowance will help to pay any additional taxes resulting from your relocation that are not covered by the gross-up payments.</w:t>
      </w:r>
    </w:p>
    <w:p>
      <w:pPr>
        <w:spacing w:after="0" w:line="131" w:lineRule="exact"/>
        <w:rPr>
          <w:rFonts w:ascii="Arial" w:cs="Arial" w:eastAsia="Arial" w:hAnsi="Arial"/>
          <w:sz w:val="16"/>
          <w:szCs w:val="16"/>
          <w:color w:val="798CBA"/>
        </w:rPr>
      </w:pPr>
    </w:p>
    <w:p>
      <w:pPr>
        <w:ind w:left="340" w:right="80" w:hanging="332"/>
        <w:spacing w:after="0" w:line="250" w:lineRule="auto"/>
        <w:tabs>
          <w:tab w:leader="none" w:pos="340" w:val="left"/>
        </w:tabs>
        <w:numPr>
          <w:ilvl w:val="0"/>
          <w:numId w:val="48"/>
        </w:numPr>
        <w:rPr>
          <w:rFonts w:ascii="Arial" w:cs="Arial" w:eastAsia="Arial" w:hAnsi="Arial"/>
          <w:sz w:val="16"/>
          <w:szCs w:val="16"/>
          <w:color w:val="798CBA"/>
        </w:rPr>
      </w:pPr>
      <w:r>
        <w:rPr>
          <w:rFonts w:ascii="Arial" w:cs="Arial" w:eastAsia="Arial" w:hAnsi="Arial"/>
          <w:sz w:val="22"/>
          <w:szCs w:val="22"/>
          <w:color w:val="auto"/>
        </w:rPr>
        <w:t>You are responsible for calculating, reporting and paying all personal federal, state and local income taxes for which you are liable. Altair will send you a detailed gross-up package that itemizes all relocation expenses for the tax year, including the gross-up payments the company provides on your behalf. The package is provided for your information and for use by your tax professional if you use such services.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The services of competent tax and legal professionals are recommended.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1658620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19</w:t>
      </w:r>
    </w:p>
    <w:p>
      <w:pPr>
        <w:sectPr>
          <w:pgSz w:w="11900" w:h="16838" w:orient="portrait"/>
          <w:cols w:equalWidth="0" w:num="1">
            <w:col w:w="11420"/>
          </w:cols>
          <w:pgMar w:left="240" w:top="612"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22"/>
          <w:szCs w:val="22"/>
          <w:b w:val="1"/>
          <w:bCs w:val="1"/>
          <w:color w:val="0C2E82"/>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t>Reimbursement of Relocation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If you resign from your employment with Autodesk for any reason or are involuntarily terminated by Autodesk for cause (as defined below) within 24 months of your hire date, you must reimburse Autodesk for all relocation benefits it provided to you, within ten (10) days of your termination date or later if the Company approves in writing different repayment terms. “Good Cause” means: (a) your use of narcotics or alcohol while working for the Company or being impaired by narcotics or alcohol while performing work, (b) your misconduct as defined by the Company, (c) violation of your obligations under the Employee Inventions and Nondisclosure Agreement, the Company’s Code of Conduct or any written Company policies, and/or (d) your poor performance, as defined by the Company, after the Company has given you a written Performance Improvement Plan and has met any legal obligation to accommodate any disability that you may have.</w:t>
      </w:r>
    </w:p>
    <w:p>
      <w:pPr>
        <w:spacing w:after="0" w:line="76"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You will be required to reimburse the Company for a percentage of Benefits calculated as follows. The percentage is based on the number of months you worked for the Company divided by twenty-four (24) months. If you worked just one day of a month, that month is considered worked for purposes of this calculation. For example, if you worked six months, you would have to reimburse the Company for 75% of Benefits. Your payment is due within ten calendar days of your termination. You agree, by accepting these benefits, you will reimburse them pursuant to this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0C2E82"/>
        </w:rPr>
        <w:t>Autodesk Relocation Policy for</w:t>
      </w:r>
    </w:p>
    <w:p>
      <w:pPr>
        <w:spacing w:after="0" w:line="13"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0C2E82"/>
        </w:rPr>
        <w:t>R. Scott Herren</w:t>
      </w:r>
      <w:r>
        <w:rPr>
          <w:sz w:val="20"/>
          <w:szCs w:val="20"/>
          <w:color w:val="auto"/>
        </w:rPr>
        <w:tab/>
      </w:r>
      <w:r>
        <w:rPr>
          <w:rFonts w:ascii="Arial" w:cs="Arial" w:eastAsia="Arial" w:hAnsi="Arial"/>
          <w:sz w:val="13"/>
          <w:szCs w:val="13"/>
          <w:color w:val="0C2E82"/>
        </w:rPr>
        <w:t>Autodesk</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0C2E82"/>
        </w:rPr>
        <w:t>September 23, 2014</w:t>
      </w:r>
      <w:r>
        <w:rPr>
          <w:sz w:val="20"/>
          <w:szCs w:val="20"/>
          <w:color w:val="auto"/>
        </w:rPr>
        <w:tab/>
      </w:r>
      <w:r>
        <w:rPr>
          <w:rFonts w:ascii="Arial" w:cs="Arial" w:eastAsia="Arial" w:hAnsi="Arial"/>
          <w:sz w:val="12"/>
          <w:szCs w:val="12"/>
          <w:color w:val="0C2E82"/>
        </w:rPr>
        <w:t>Page 20</w:t>
      </w:r>
    </w:p>
    <w:p>
      <w:pPr>
        <w:sectPr>
          <w:pgSz w:w="11900" w:h="16838" w:orient="portrait"/>
          <w:cols w:equalWidth="0" w:num="1">
            <w:col w:w="11400"/>
          </w:cols>
          <w:pgMar w:left="240" w:top="612" w:right="25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2014</w:t>
      </w:r>
    </w:p>
    <w:p>
      <w:pPr>
        <w:spacing w:after="0" w:line="252" w:lineRule="exact"/>
        <w:rPr>
          <w:sz w:val="20"/>
          <w:szCs w:val="20"/>
          <w:color w:val="auto"/>
        </w:rPr>
      </w:pPr>
    </w:p>
    <w:p>
      <w:pPr>
        <w:jc w:val="center"/>
        <w:ind w:left="64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31750</wp:posOffset>
            </wp:positionV>
            <wp:extent cx="31470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57"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66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2014</w:t>
      </w:r>
    </w:p>
    <w:p>
      <w:pPr>
        <w:spacing w:after="0" w:line="252"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R. Scott Herren</w:t>
      </w:r>
    </w:p>
    <w:p>
      <w:pPr>
        <w:spacing w:after="0" w:line="73"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26" w:lineRule="exact"/>
        <w:rPr>
          <w:sz w:val="20"/>
          <w:szCs w:val="20"/>
          <w:color w:val="auto"/>
        </w:rPr>
      </w:pPr>
    </w:p>
    <w:p>
      <w:pPr>
        <w:ind w:left="7700"/>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1420"/>
          </w:cols>
          <w:pgMar w:left="240" w:top="66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October 31, 2014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5, 2014</w:t>
      </w:r>
    </w:p>
    <w:p>
      <w:pPr>
        <w:spacing w:after="0" w:line="252" w:lineRule="exact"/>
        <w:rPr>
          <w:sz w:val="20"/>
          <w:szCs w:val="20"/>
          <w:color w:val="auto"/>
        </w:rPr>
      </w:pPr>
    </w:p>
    <w:p>
      <w:pPr>
        <w:jc w:val="center"/>
        <w:ind w:left="690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31750</wp:posOffset>
            </wp:positionV>
            <wp:extent cx="28644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57"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(Principal Executive Officer)</w:t>
      </w:r>
    </w:p>
    <w:p>
      <w:pPr>
        <w:spacing w:after="0" w:line="33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October 31, 2014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5, 2014</w:t>
      </w:r>
    </w:p>
    <w:p>
      <w:pPr>
        <w:spacing w:after="0" w:line="252"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2416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x"/>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decimal"/>
      <w:start w:val="7"/>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lvl w:ilvl="1">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lvl w:ilvl="1">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lvl w:ilvl="1">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2019-12-05T20:42:27Z</dcterms:created>
  <dcterms:modified xsi:type="dcterms:W3CDTF">2019-12-05T20:42:27Z</dcterms:modified>
</cp:coreProperties>
</file>