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2016</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8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0" w:type="dxa"/>
            <w:vAlign w:val="bottom"/>
            <w:gridSpan w:val="6"/>
          </w:tcPr>
          <w:p>
            <w:pPr>
              <w:jc w:val="center"/>
              <w:ind w:right="19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42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ind w:right="320" w:firstLine="324"/>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9" w:lineRule="exact"/>
        <w:rPr>
          <w:sz w:val="24"/>
          <w:szCs w:val="24"/>
          <w:color w:val="auto"/>
        </w:rPr>
      </w:pPr>
    </w:p>
    <w:p>
      <w:pPr>
        <w:ind w:left="1400"/>
        <w:spacing w:after="0"/>
        <w:tabs>
          <w:tab w:leader="none" w:pos="3020" w:val="left"/>
          <w:tab w:leader="none" w:pos="5860" w:val="left"/>
          <w:tab w:leader="none" w:pos="870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21" w:lineRule="exact"/>
        <w:rPr>
          <w:sz w:val="24"/>
          <w:szCs w:val="24"/>
          <w:color w:val="auto"/>
        </w:r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pacing w:after="0" w:line="6" w:lineRule="exact"/>
        <w:rPr>
          <w:sz w:val="24"/>
          <w:szCs w:val="24"/>
          <w:color w:val="auto"/>
        </w:rPr>
      </w:pPr>
    </w:p>
    <w:p>
      <w:pPr>
        <w:ind w:right="20" w:firstLine="324"/>
        <w:spacing w:after="0" w:line="241" w:lineRule="auto"/>
        <w:rPr>
          <w:sz w:val="20"/>
          <w:szCs w:val="20"/>
          <w:color w:val="auto"/>
        </w:rPr>
      </w:pPr>
      <w:r>
        <w:rPr>
          <w:rFonts w:ascii="Arial" w:cs="Arial" w:eastAsia="Arial" w:hAnsi="Arial"/>
          <w:sz w:val="14"/>
          <w:szCs w:val="14"/>
          <w:color w:val="auto"/>
        </w:rPr>
        <w:t>As of July 31, 2015, the last business day of the registrant’s most recently completed second fiscal quarter, there were approximately 225.6 million shares of the registrant’s common stock outstanding that were held by non-affiliates, and the aggregate market value of such shares held by non-affiliates of the registrant (based on the closing sale price of such shares on the NASDAQ Global Select Market on July 31, 2015) was approximately $11.4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9, 2016, the registrant had outstanding 224,493,192 shares of common stock.</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339090</wp:posOffset>
            </wp:positionV>
            <wp:extent cx="9779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080"/>
        <w:spacing w:after="0"/>
        <w:rPr>
          <w:sz w:val="20"/>
          <w:szCs w:val="20"/>
          <w:color w:val="auto"/>
        </w:rPr>
      </w:pPr>
      <w:r>
        <w:rPr>
          <w:rFonts w:ascii="Arial" w:cs="Arial" w:eastAsia="Arial" w:hAnsi="Arial"/>
          <w:sz w:val="16"/>
          <w:szCs w:val="16"/>
          <w:i w:val="1"/>
          <w:iCs w:val="1"/>
          <w:color w:val="auto"/>
        </w:rPr>
        <w:t>2016 Form 10-K 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9779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2</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AUTODESK, INC. FORM 10-K</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860" w:type="dxa"/>
            <w:vAlign w:val="bottom"/>
            <w:gridSpan w:val="19"/>
          </w:tcPr>
          <w:p>
            <w:pPr>
              <w:spacing w:after="0"/>
              <w:rPr>
                <w:sz w:val="24"/>
                <w:szCs w:val="24"/>
                <w:color w:val="auto"/>
              </w:rPr>
            </w:pPr>
          </w:p>
        </w:tc>
        <w:tc>
          <w:tcPr>
            <w:tcW w:w="13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50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480" w:type="dxa"/>
            <w:vAlign w:val="bottom"/>
            <w:gridSpan w:val="6"/>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5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480" w:type="dxa"/>
            <w:vAlign w:val="bottom"/>
            <w:gridSpan w:val="6"/>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6460" w:type="dxa"/>
            <w:vAlign w:val="bottom"/>
            <w:gridSpan w:val="11"/>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Legal Proceedings</w:t>
              </w:r>
            </w:hyperlink>
          </w:p>
        </w:tc>
        <w:tc>
          <w:tcPr>
            <w:tcW w:w="7160" w:type="dxa"/>
            <w:vAlign w:val="bottom"/>
            <w:gridSpan w:val="15"/>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480" w:type="dxa"/>
            <w:vAlign w:val="bottom"/>
            <w:gridSpan w:val="6"/>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 Equity Securities</w:t>
              </w:r>
            </w:hyperlink>
          </w:p>
        </w:tc>
        <w:tc>
          <w:tcPr>
            <w:tcW w:w="420" w:type="dxa"/>
            <w:vAlign w:val="bottom"/>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420" w:type="dxa"/>
            <w:vAlign w:val="bottom"/>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040" w:type="dxa"/>
            <w:vAlign w:val="bottom"/>
            <w:gridSpan w:val="4"/>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4140" w:type="dxa"/>
            <w:vAlign w:val="bottom"/>
            <w:gridSpan w:val="6"/>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7"/>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111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520" w:type="dxa"/>
            <w:vAlign w:val="bottom"/>
            <w:gridSpan w:val="1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Controls and Procedures</w:t>
              </w:r>
            </w:hyperlink>
          </w:p>
        </w:tc>
        <w:tc>
          <w:tcPr>
            <w:tcW w:w="1980" w:type="dxa"/>
            <w:vAlign w:val="bottom"/>
            <w:gridSpan w:val="3"/>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6740" w:type="dxa"/>
            <w:vAlign w:val="bottom"/>
            <w:gridSpan w:val="13"/>
          </w:tcPr>
          <w:p>
            <w:pPr>
              <w:spacing w:after="0"/>
              <w:rPr>
                <w:sz w:val="24"/>
                <w:szCs w:val="24"/>
                <w:color w:val="auto"/>
              </w:rPr>
            </w:pPr>
          </w:p>
        </w:tc>
        <w:tc>
          <w:tcPr>
            <w:tcW w:w="1480" w:type="dxa"/>
            <w:vAlign w:val="bottom"/>
            <w:gridSpan w:val="6"/>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Directors, Executive Officers and Corporate Governance</w:t>
              </w:r>
            </w:hyperlink>
          </w:p>
        </w:tc>
        <w:tc>
          <w:tcPr>
            <w:tcW w:w="440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113</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50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1480" w:type="dxa"/>
            <w:vAlign w:val="bottom"/>
            <w:gridSpan w:val="6"/>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Certain Relationships and Related Transactions, and Director Independence</w:t>
              </w:r>
            </w:hyperlink>
          </w:p>
        </w:tc>
        <w:tc>
          <w:tcPr>
            <w:tcW w:w="3040" w:type="dxa"/>
            <w:vAlign w:val="bottom"/>
            <w:gridSpan w:val="5"/>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850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1480" w:type="dxa"/>
            <w:vAlign w:val="bottom"/>
            <w:gridSpan w:val="6"/>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Exhibits and Financial Statement Schedules</w:t>
              </w:r>
            </w:hyperlink>
          </w:p>
        </w:tc>
        <w:tc>
          <w:tcPr>
            <w:tcW w:w="534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115</w:t>
              </w:r>
            </w:hyperlink>
          </w:p>
        </w:tc>
        <w:tc>
          <w:tcPr>
            <w:tcW w:w="2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6">
              <w:r>
                <w:rPr>
                  <w:rFonts w:ascii="Arial" w:cs="Arial" w:eastAsia="Arial" w:hAnsi="Arial"/>
                  <w:sz w:val="18"/>
                  <w:szCs w:val="18"/>
                  <w:color w:val="0000EE"/>
                  <w:w w:val="85"/>
                </w:rPr>
                <w:t>Signatures</w:t>
              </w:r>
            </w:hyperlink>
          </w:p>
        </w:tc>
        <w:tc>
          <w:tcPr>
            <w:tcW w:w="7740" w:type="dxa"/>
            <w:vAlign w:val="bottom"/>
            <w:gridSpan w:val="17"/>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117</w:t>
              </w:r>
            </w:hyperlink>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188595</wp:posOffset>
            </wp:positionV>
            <wp:extent cx="97790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net revenue, future GAAP and non-GAAP (loss) income per share, operating margin, operating expenses, billings,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revenue from our channel partners and changes in mix of channel partners, our ability to increase our subscription base, expected market trends, including the growth of cloud, mobile and social computing, the effect of unemployment and availability of credit, the effects of mixed global economic conditions, our expectations for our restructuring, the effects of revenue recognition, our backlog, expected trends in certain financial metrics, including expenses and the predictability and ratability of our revenue over time,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and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remediations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7"/>
          <w:szCs w:val="17"/>
          <w:b w:val="1"/>
          <w:bCs w:val="1"/>
          <w:color w:val="0696D7"/>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are a global leader in design software and services, offering customers productive business solutions through powerful technology products and services. We serve customers in the architecture, engineering and construction; manufacturing; and digital media, consumer, and entertainment industries. Our sophisticated software products enable our customers to experience their ideas before they are real. Customers are able to imagine, design, and create their ideas by visualizing, simulating and analyzing real-world performance early in the design process by creating and manipulating digital prototypes. These capabilities allow our customers to foster innovation, optimize and improve their designs, save time and money, improve quality, communicate plans, and collaborate with others. Our professional software products are sold globally, both directly to customers and through a network of resellers and distributors. Additionally, we offer tools and user communities for personal design and creativity. These applications and user communities are available over the Internet and through various digital storefronts, including the Apple App Store and the Google Play Store.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Segments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based on four reportable operating segments: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38% of our net revenue in fiscal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29% of our net revenue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27% of our net revenue in fiscal 2016;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6% of our net revenue in fiscal 2016.</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AEC, MFG, and PSEB segments derive revenue from the sale of licenses and subscriptions for software products and services to customers who design, build, and own buildings, infrastructure, and manufactured products. In addition to software products, the AEC, MFG, and PSEB segments offer a range of services, including consulting, support, and training, largely dedicated to enhancing our ability to sell licenses and subscriptions to our software products. Our M&amp;E segment derives revenue from the sale of licenses and subscriptions for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products and services of these segments include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Flagship products, which accounted for approximately 45% of our net revenue in fiscal 2016, are our core individual horizontal, vertical, and model-based design products including AutoCAD, AutoCAD LT, AutoCAD Mechanical, AutoCAD Civil 3D, AutoCAD Architecture, AutoCAD Map, Autodesk Maya, and 3ds Max.</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Suites, which accounted for approximately 37% of our net revenue in fiscal 2016, are a combination of products that target a specific user objective (product design, building design, etc.) and support a set of workflows for that objective, including Autodesk Building Design Suites, Autodesk Product Design Suites, Autodesk Infrastructure Design Suites, and AutoCAD Design Suites.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and Adjacent products, which accounted for approximately 18% of our net revenue in fiscal 2016, are new product offerings as well as products that are not considered flagship or suites, including Delcam, Moldflow, Alias Design, Vault, and Autodesk Creative Finishing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AEC</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Our AEC software products help to improve the way building, civil infrastructure, process plant and construction projects are designed, built, and used. A broad portfolio of solutions enables greater efficiency, accuracy, and sustainability across the entire project lifecycle. Our AEC solutions include advanced technology for building information modeling (“BIM”), AutoCAD-based design and documentation productivity software, sustainable design analysis applications, collaboration, and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 during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139065</wp:posOffset>
            </wp:positionV>
            <wp:extent cx="9779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0696D7"/>
        </w:rPr>
      </w:pPr>
      <w:r>
        <w:rPr>
          <w:rFonts w:ascii="Arial" w:cs="Arial" w:eastAsia="Arial" w:hAnsi="Arial"/>
          <w:sz w:val="18"/>
          <w:szCs w:val="18"/>
          <w:i w:val="1"/>
          <w:iCs w:val="1"/>
          <w:color w:val="0696D7"/>
        </w:rPr>
        <w:t>Autodesk Building Design Suites</w:t>
      </w:r>
    </w:p>
    <w:p>
      <w:pPr>
        <w:spacing w:after="0" w:line="22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Autodesk Building Design Suites ("BDS") give the power of BIM or computer-aided design ("CAD"), with tools for modeling, visualization, and documentation. With a comprehensive set of tools, BDS gives customers the ability to manage all phases of design and construction. Three editions of BDS are available to meet each customer's particular business needs and offer the depth and breadth of the Autodesk portfolio.</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0696D7"/>
        </w:rPr>
      </w:pPr>
      <w:r>
        <w:rPr>
          <w:rFonts w:ascii="Arial" w:cs="Arial" w:eastAsia="Arial" w:hAnsi="Arial"/>
          <w:sz w:val="18"/>
          <w:szCs w:val="18"/>
          <w:i w:val="1"/>
          <w:iCs w:val="1"/>
          <w:color w:val="0696D7"/>
        </w:rPr>
        <w:t>Autodesk Infrastructure Design Suites</w:t>
      </w:r>
    </w:p>
    <w:p>
      <w:pPr>
        <w:spacing w:after="0" w:line="22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Infrastructure Design Suites are the BIM for Infrastructure design solution that combines intelligent, model-based tools to help the user to gain more accurate, accessible, and actionable insight. With unique access to the Autodesk infrastructure software portfolio, users can benefit throughout the execution and lifecycle of transportation, land, and water projects. Three editions of Infrastructure Design Suites are available to meet each customer's particular business needs and offer the depth and breadth of the Autodesk portfolio.</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0696D7"/>
        </w:rPr>
      </w:pPr>
      <w:r>
        <w:rPr>
          <w:rFonts w:ascii="Arial" w:cs="Arial" w:eastAsia="Arial" w:hAnsi="Arial"/>
          <w:sz w:val="18"/>
          <w:szCs w:val="18"/>
          <w:i w:val="1"/>
          <w:iCs w:val="1"/>
          <w:color w:val="0696D7"/>
        </w:rPr>
        <w:t>AutoCAD Civil 3D</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0696D7"/>
        </w:rPr>
      </w:pPr>
      <w:r>
        <w:rPr>
          <w:rFonts w:ascii="Arial" w:cs="Arial" w:eastAsia="Arial" w:hAnsi="Arial"/>
          <w:sz w:val="18"/>
          <w:szCs w:val="18"/>
          <w:i w:val="1"/>
          <w:iCs w:val="1"/>
          <w:color w:val="0696D7"/>
        </w:rPr>
        <w:t>AutoCAD Map 3D</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and asset data.</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Autodesk Revit</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MFG</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MFG segment provides manufacturers in automotive and transportation, industrial machinery, consumer products and building products with comprehensive digital engineering solutions that bring together data from all phases of the product development and production life cycle creating a single digital model based on Autodesk Inventor software. Our solutions are scalable, attainable, cost-effective, and allow for real-world simulation, enabling a broad group of manufacturers to realize benefits with minimal disruption to existing workflows. In addition, Autodesk is redefining the product development process with the introduction of a cloud-based Product Innovation Platform consisting of next generation technologies like Fusion 360 and PLM 360. These solutions support manufacturers' transformation to "agile" based product development processes versus the traditional "waterfall" cycle conventional PLM technologies offer. MFG’s principal product offerings included the following during fiscal 2016:</w:t>
      </w:r>
    </w:p>
    <w:p>
      <w:pPr>
        <w:spacing w:after="0" w:line="1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0696D7"/>
        </w:rPr>
      </w:pPr>
      <w:r>
        <w:rPr>
          <w:rFonts w:ascii="Arial" w:cs="Arial" w:eastAsia="Arial" w:hAnsi="Arial"/>
          <w:sz w:val="18"/>
          <w:szCs w:val="18"/>
          <w:i w:val="1"/>
          <w:iCs w:val="1"/>
          <w:color w:val="0696D7"/>
        </w:rPr>
        <w:t>Autodesk Product Design Suites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Product Design Suites ("PDS") is a comprehensive solution for digital prototyping, delivering 3D design, visualization and simulation tools to complete the entire engineering process. The digital prototyping capabilities of PDS can help customers design better products, reduce development costs and get to market faster. Two editions of PDS are available to meet each customer's particular business needs and offer the depth and breadth of the Autodesk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9779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Mechanical</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in addition to comprehensive libraries of standards-based parts and tools for automating common design tasks.</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0696D7"/>
        </w:rPr>
      </w:pPr>
      <w:r>
        <w:rPr>
          <w:rFonts w:ascii="Arial" w:cs="Arial" w:eastAsia="Arial" w:hAnsi="Arial"/>
          <w:sz w:val="18"/>
          <w:szCs w:val="18"/>
          <w:i w:val="1"/>
          <w:iCs w:val="1"/>
          <w:color w:val="0696D7"/>
        </w:rPr>
        <w:t>Autodesk Delcam</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Autodesk Delcam family of products provides CAD and computer-aided manufacturing ("CAM") software for the manufacturing industry. PowerMILL, Delcam's leading product, is a CAM software solution allowing production of complex shapes, providing our customers with advanced toolpath strategies to minimize machining times and maximize component quality.</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0696D7"/>
        </w:rPr>
      </w:pPr>
      <w:r>
        <w:rPr>
          <w:rFonts w:ascii="Arial" w:cs="Arial" w:eastAsia="Arial" w:hAnsi="Arial"/>
          <w:sz w:val="18"/>
          <w:szCs w:val="18"/>
          <w:i w:val="1"/>
          <w:iCs w:val="1"/>
          <w:color w:val="0696D7"/>
        </w:rPr>
        <w:t>Autodesk Moldflow</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i w:val="1"/>
          <w:iCs w:val="1"/>
          <w:color w:val="0696D7"/>
        </w:rPr>
      </w:pPr>
      <w:r>
        <w:rPr>
          <w:rFonts w:ascii="Arial" w:cs="Arial" w:eastAsia="Arial" w:hAnsi="Arial"/>
          <w:sz w:val="18"/>
          <w:szCs w:val="18"/>
          <w:i w:val="1"/>
          <w:iCs w:val="1"/>
          <w:color w:val="0696D7"/>
        </w:rPr>
        <w:t>Autodesk Inventor</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Autodesk Inventor allows manufacturers to go beyond 3D design to digital prototyping by giving engineers a comprehensive and flexible set of tools for 3D mechanical design, simulation, analysis, tooling, visualization, and documentation. With Autodesk Inventor,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0696D7"/>
        </w:rPr>
      </w:pPr>
      <w:r>
        <w:rPr>
          <w:rFonts w:ascii="Arial" w:cs="Arial" w:eastAsia="Arial" w:hAnsi="Arial"/>
          <w:sz w:val="18"/>
          <w:szCs w:val="18"/>
          <w:i w:val="1"/>
          <w:iCs w:val="1"/>
          <w:color w:val="0696D7"/>
        </w:rPr>
        <w:t>Autodesk PLM 360</w:t>
      </w:r>
    </w:p>
    <w:p>
      <w:pPr>
        <w:spacing w:after="0" w:line="225"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PLM 360 is a cloud-based product lifecycle management ("PLM") application that automates key tasks related to the management of processes, projects, and people. Because PLM 360 is on the cloud, software deployment, management and organizational access to data can be achieved instantly compared to traditional PLM technologies.</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0696D7"/>
        </w:rPr>
      </w:pPr>
      <w:r>
        <w:rPr>
          <w:rFonts w:ascii="Arial" w:cs="Arial" w:eastAsia="Arial" w:hAnsi="Arial"/>
          <w:sz w:val="18"/>
          <w:szCs w:val="18"/>
          <w:i w:val="1"/>
          <w:iCs w:val="1"/>
          <w:color w:val="0696D7"/>
        </w:rPr>
        <w:t>Autodesk Fusion 360</w:t>
      </w:r>
    </w:p>
    <w:p>
      <w:pPr>
        <w:spacing w:after="0" w:line="225"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Fusion 360 offers a cloud-based product development environment comprising CAD, CAM, and computer-aided engineering ("CAE") software which enables an integrated concept-to-production toolset. Fusion 360 enables manufacturers to integrate industrial design, mechanical engineering, simulation and manufacturing workflows, in a single solution that supports data management and collaboration on the cloud.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PSEB</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PSEB segment includes our design platform product, AutoCAD. AutoCAD underpins our design product offerings for all the industries we serve. For example, our AEC and MFG segments offer tailored versions of AutoCAD software for their respective industries. AutoCAD also provides a platform for our developer partners to build custom solutions for a range of diverse design-oriented markets. PSEB's revenue primarily includes revenue from sales of licenses of our design products, AutoCAD and AutoCAD LT, as well as the AutoCAD Design Suite and many other design and consumer products. The segment’s principal product offerings included the following during fiscal 2016:</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0696D7"/>
        </w:rPr>
      </w:pPr>
      <w:r>
        <w:rPr>
          <w:rFonts w:ascii="Arial" w:cs="Arial" w:eastAsia="Arial" w:hAnsi="Arial"/>
          <w:sz w:val="18"/>
          <w:szCs w:val="18"/>
          <w:i w:val="1"/>
          <w:iCs w:val="1"/>
          <w:color w:val="0696D7"/>
        </w:rPr>
        <w:t>AutoCAD</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AutoCAD software, which is our largest single revenue-generating product, is a customizable and extensible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0696D7"/>
        </w:rPr>
      </w:pPr>
      <w:r>
        <w:rPr>
          <w:rFonts w:ascii="Arial" w:cs="Arial" w:eastAsia="Arial" w:hAnsi="Arial"/>
          <w:sz w:val="18"/>
          <w:szCs w:val="18"/>
          <w:i w:val="1"/>
          <w:iCs w:val="1"/>
          <w:color w:val="0696D7"/>
        </w:rPr>
        <w:t>AutoCAD LT</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 AutoCAD LT software is our second largest revenue-generating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M&amp;E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M&amp;E segment consists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sold as software solutions for editing, finishing and visual effects design and color grading. Principal product offerings in our M&amp;E segment’s Animation and Creative Finishing product groups included the following during fiscal 2016:</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Animation</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0696D7"/>
        </w:rPr>
      </w:pPr>
      <w:r>
        <w:rPr>
          <w:rFonts w:ascii="Arial" w:cs="Arial" w:eastAsia="Arial" w:hAnsi="Arial"/>
          <w:sz w:val="18"/>
          <w:szCs w:val="18"/>
          <w:i w:val="1"/>
          <w:iCs w:val="1"/>
          <w:color w:val="0696D7"/>
        </w:rPr>
        <w:t>Autodesk Maya</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0696D7"/>
        </w:rPr>
      </w:pPr>
      <w:r>
        <w:rPr>
          <w:rFonts w:ascii="Arial" w:cs="Arial" w:eastAsia="Arial" w:hAnsi="Arial"/>
          <w:sz w:val="18"/>
          <w:szCs w:val="18"/>
          <w:i w:val="1"/>
          <w:iCs w:val="1"/>
          <w:color w:val="0696D7"/>
        </w:rPr>
        <w:t>Autodesk 3ds Max</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Creative Finishing</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0696D7"/>
        </w:rPr>
      </w:pPr>
      <w:r>
        <w:rPr>
          <w:rFonts w:ascii="Arial" w:cs="Arial" w:eastAsia="Arial" w:hAnsi="Arial"/>
          <w:sz w:val="18"/>
          <w:szCs w:val="18"/>
          <w:i w:val="1"/>
          <w:iCs w:val="1"/>
          <w:color w:val="0696D7"/>
        </w:rPr>
        <w:t>Autodesk Flame and Autodesk Lustre</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Lustre software is a high-performance color grading solution used by artists for creative look development and final color and lighting effects for both film and television.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software industry is undergoing a transition from the personal computer to cloud, social, and mobile computing. In fiscal 2016, we continued to successfully implement a strategic transition of our business model announced in fiscal 2014. We accelerated our move to the cloud and expanded our flexible product license offerings. We continued to expand desktop subscription for a broader range of our product portfolio, expanded our token-based licensing program to more enterprise customers, and continued to expand our industry-leading cloud-based offerings, including the launch of our North American eStore which creates a better customer experience and can meaningfully increase the volume of our online business. These offerings are designed to give our customers even more value and flexibility to use our products, and also to attract new types of customers, such as project-based users and small businesses that have more variable needs. Further, to support our transition, effective February 1, 2016, we discontinued the sale of new commercial seats of most individual software products, which are now exclusively available by desktop subscription, and we plan to discontinue selling perpetual licenses of suites products effective August 1, 2016.</w:t>
      </w:r>
    </w:p>
    <w:p>
      <w:pPr>
        <w:spacing w:after="0" w:line="18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dedicate considerable technical and financial resources to research and development to further enhance our existing products and to create new products and technologies to expand our market opportunity. For example, in fiscal 2016, we began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investing in an Internet of Things ("IoT") platform integrated with our cloud infrastructure. IoT will allow our customers to develop applications for predictive maintenance, improved design quality, and smarter connected design systems. We believe that IoT will play an increasingly important role for our customers as the buildings and products they design contain embedded sensors and computation. IoT provides a unique opportunity for our customers to connect designing, making, and using. We anticipate ongoing investment in IoT to both serve existing customers and expand market opportunity.</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Research and development expenditures were $790.0 million or 32% of fiscal 2016 net revenue, $725.2 million or 29% of fiscal 2015 net revenue and $611.1 million or 27% of fiscal 2014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8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addition, our business and our customers benefit from our relationships with a network of over 4,100 third-party developers who develop and sell their own products that further enhance the range of integrated solutions available to our customers.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a select set of customers who are primarily large corporations. Our indirect channel model includes both a two-tiered distribution structure, where distributors sell to resellers, and a one-tiered structure, where Autodesk sells directly to resellers. We have a network of approximately 2,000 resellers and distributors worldwide. For fiscal 2016, approximately 79% of our revenue was derived from indirect channel sales through distributors and resellers, and we expect that the majority of our revenue will continue to be derived from indirect channel sales in the future. We anticipate that our channel mix will change to support our new business model and are proactively working with our channel partners to ensure a smooth transition. We employ a variety of incentive programs and promotions to align our reseller channel with our business strategies. Sales through our largest distributor, Tech Data Corporation and its affiliates, accounted for 25%, 25%, and 24% of our net revenue for fiscal years 2016, 2015, and 2014,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6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2016 net revenue in the Americas, EMEA, and APAC was $972.8 million (39%), $934.6 million (37%), and $596.7 million (24%), respectively. We intend to continue to make our products available in foreign languages.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“Segments,” in the Notes to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148590</wp:posOffset>
            </wp:positionV>
            <wp:extent cx="9779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Our international operations and sales subject us to a variety of risks; see Item 1A, “Risk Factors,” for further discussion.</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w:t>
      </w:r>
    </w:p>
    <w:p>
      <w:pPr>
        <w:spacing w:after="0" w:line="171"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We generate revenue through several subscription-based business models in addition to perpetual use software license sales. The largest is our maintenance program, under which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We also offer more flexible term-based license offerings to our customers.</w:t>
      </w:r>
    </w:p>
    <w:p>
      <w:pPr>
        <w:spacing w:after="0" w:line="15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 tier support to the resellers and distributors. Other customers are supported directly via self-service using the Autodesk Knowledge Network which guides customers to answers in our online support assets, support forums, webinars or to support representatives using a number of different modalities such as social media, phone, email and webchat. We also support our resellers and distributors through technical product training, sales training classes, webinars and other knowledge sharing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SUSTAINABILITY, AND PHILANTHROPIC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software worldwide to students, educators, and educational institutions. In fiscal 2016, we initiated Project Ignite, a free and open learning platform delivering a unique package of technology, learning content, and services created specifically for the classroom. The Project Ignite learning platform additionally offers classroom bundles, which include hardware such as 3D printers and electronics kits along with professional development and training services to help educators.</w:t>
      </w:r>
    </w:p>
    <w:p>
      <w:pPr>
        <w:spacing w:after="0" w:line="19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Beginning in the second quarter of fiscal 2016, we also made Autodesk Design Academy curricula available on iTunes U. Our intention is to make Autodesk software ubiquitous and the design software of choice for those poised to become the next generation of professional users.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 Programs</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To help our customers imagine, design, and create a better world, our Sustainability Programs focus our efforts where we can have the greatest impact: providing sustainability solutions, delivering sustainable design learning and training opportunities, expanding access to technology, and leading by example with our sustainable business practices. This benefits our customers, who use our products and services to improve design decisions to have long-term positive social and environmental impacts. Through the Autodesk Foundation, the Autodesk Technology Impact Program, and the Autodesk Entrepreneur Program, we’re helping nonprofits and entrepreneurs design high-impact solutions to social and environmental challenges by providing them with funding, training, and easy access to our professional software suites at either no charge or for a small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97790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Climate Change</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Autodesk recognizes inherent opportunities related to climate change, which have potential to expand our business. Opportunities driven by changes in regulation, changes in building code, physical climate parameters and other climate-related developments can directly and indirectly create more demand for existing and new Autodesk products and services in the short and long-term. Opportunities relating to Autodesk’s leadership on climate action can further improve our reputation in the marketplace.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25"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To drive continued progress and meet growing demand, we continue to expand the solutions, education, and support we offer, helping customers secure a competitive advantage for a low 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5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science-based greenhouse gas reduction target of 43% absolute emissions by 2020.</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Governance</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Ultimately, our CEO, Carl Bass, has the highest level of direct responsibility for addressing our climate-change related risks and opportunities. Autodesk has established an Environmental Core Team which reports indirectly to Mr. Bass. The Environmental Core Team has direct responsibility for setting and implementing the corporate sustainability strategy, including the climate change strategy.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25"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Autodesk has reduced its greenhouse gas emissions for its operational boundary by 27% from our fiscal year 2009 baseline to 76,700 metric tons of carbon dioxide equivalent. This reduction was accomplished through increased investment in renewable energy, LEED certification and energy efficiency in our global real estate portfolio, and continued transition from physical software delivery to cloud and electronic software delivery. More information about our sustainability commitment can be found in our annual sustainability reports, which we have published on our website since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Spark program to support ideas that push the boundaries of 3D printing and nurture the companies that will advance innovations within 3D printing hardware and software. We have also created the Autodesk Forge program to support innovators that build solutions to facilitate the development of a single connected ecosystem for the future of how things are designed, made, and used. Through our programs, over 4,100 developers in the Autodesk Developer Network create interoperable products that further enhance the range of integrated solutions available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132080</wp:posOffset>
            </wp:positionV>
            <wp:extent cx="97790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competitors include large, global, publicly traded companies; small, geographically focused firms; startup firms; and solutions produced in-house by their users. Our primary global competitors in the PSEB, AEC, and MFG segments include Adobe Systems Incorporated, ANSYS, Inc., AVEVA Group plc, Bentley Systems, Incorporated, Dassault Systèmes S.A. and its subsidiary Dassault Systèmes SolidWorks Corp., Environmental Systems Research Institute, Inc. (ESRI), Intergraph Corporation, a wholly owned subsidiary of Hexagon AB, MSC Software Corporation, Nemetschek AG, PTC, 3D Systems, Siemens PLM, and Trimble Navigation Limited.</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Technicolor, among others.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58"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7" w:lineRule="exact"/>
        <w:rPr>
          <w:sz w:val="20"/>
          <w:szCs w:val="20"/>
          <w:color w:val="auto"/>
        </w:rPr>
      </w:pPr>
    </w:p>
    <w:p>
      <w:pPr>
        <w:jc w:val="both"/>
        <w:ind w:right="50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9779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retain ownership of software we develop.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pirated.</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 production of our AEC, MFG, PSEB, and certain M&amp;E software products and services involves duplication or hosting of software media. As we progress through our business model transition, the way that we deliver software has evolved. For certain cloud-based products, we use a combination of co-located hosting facilities as well as infrastructure-as-a-service providers like Amazon Web Services. For other products, we offer customers an electronic software download option for both initial product fulfillment as well as product updates for maintenance subscribers.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As of January 31, 2016, we employed approximately 9,500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 In February 2016, we announced a restructuring plan that will result in the termination of approximately 10% of the Company’s workforce, or approximately 925 employees, in fiscal 2017. Through the restructuring, we seek to reduce expenses, streamline the organization, and reallocate resources to align more closely with the Company’s needs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283845</wp:posOffset>
            </wp:positionV>
            <wp:extent cx="9779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Over the past three years, we acquired new technology or supplemented our technology by purchasing businesses or technology related assets focused in specific markets or industries. For the fiscal years ended January 31, 2016, 2015, and 2014, we acquired a number of companies and technology related assets, some of which were accounted for as business combinations. The following were key acquisitions for fiscal years 2016, 2015, and 2014: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720" w:type="dxa"/>
            <w:vAlign w:val="bottom"/>
            <w:gridSpan w:val="3"/>
          </w:tcPr>
          <w:p>
            <w:pPr>
              <w:ind w:left="370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2015</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8"/>
              </w:rPr>
              <w:t>netfabb GmbH ("netfabb")</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7"/>
              </w:rPr>
              <w:t>The acquisition of netfabb GmbH (“netfabb”) provides Autodesk with software solutions that reduce production</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6"/>
              </w:rPr>
              <w:t>costs and increase efficiency in 3D printing and additive manufacturing. netfabb was integrated, and the related</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goodwill has been assigned to, Autodesk's PSEB reportable 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June 2014</w:t>
            </w: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Shotgun Software Inc.</w:t>
            </w: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3"/>
              </w:rPr>
              <w:t>The acquisition of Shotgun provides a cloud-based production management solution that enables digital studios to</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("Shotgun")</w:t>
            </w: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4"/>
              </w:rPr>
              <w:t>track, schedule, review, and collaborate on projects and images. Shotgun was integrated, and the related goodwill</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has been assigned to, Autodesk's M&amp;E reportable segment.</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May 2014</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Within Technologies</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The acquisition of Within will accelerate Autodesk’s development of tools and technologies for advanced</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Limited ("Within”)</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6"/>
              </w:rPr>
              <w:t>manufacturing, including 3D printing. Within was integrated into, and the related goodwill has been assigned to,</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Autodesk’s PSEB reportable 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February 2014</w:t>
            </w: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Delcam plc (“Delcam”)</w:t>
            </w:r>
          </w:p>
        </w:tc>
        <w:tc>
          <w:tcPr>
            <w:tcW w:w="7720" w:type="dxa"/>
            <w:vAlign w:val="bottom"/>
            <w:gridSpan w:val="3"/>
          </w:tcPr>
          <w:p>
            <w:pPr>
              <w:ind w:left="160"/>
              <w:spacing w:after="0"/>
              <w:rPr>
                <w:sz w:val="20"/>
                <w:szCs w:val="20"/>
                <w:color w:val="auto"/>
              </w:rPr>
            </w:pPr>
            <w:r>
              <w:rPr>
                <w:rFonts w:ascii="Arial" w:cs="Arial" w:eastAsia="Arial" w:hAnsi="Arial"/>
                <w:sz w:val="16"/>
                <w:szCs w:val="16"/>
                <w:color w:val="auto"/>
                <w:w w:val="98"/>
              </w:rPr>
              <w:t>The acquisition of Delcam provides Autodesk a range of design, manufacturing and inspection software that</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9"/>
              </w:rPr>
              <w:t>enables automated CADCAM solutions for a variety of industries, ranging from aerospace to toys and sports</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3"/>
              </w:rPr>
              <w:t>equipment. Delcam was integrated into, and the related goodwill has been assigned to, Autodesk's MFG reportable</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segment.</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2013</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Graitec SA (“Graitec”)</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3"/>
              </w:rPr>
              <w:t>The acquisition of Graitec (including Graitec’s Advance Steel and Advance Concrete product lines, and associated</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4"/>
              </w:rPr>
              <w:t>employees) enhanced Autodesk’s offerings for structural engineering and expanded our portfolio of technology for</w:t>
            </w:r>
          </w:p>
        </w:tc>
      </w:tr>
      <w:tr>
        <w:trPr>
          <w:trHeight w:val="206"/>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BIM for structural fabrication and detailing. Graitec was integrated into Autodesk’s AEC segment.</w:t>
            </w:r>
          </w:p>
        </w:tc>
      </w:tr>
      <w:tr>
        <w:trPr>
          <w:trHeight w:val="33"/>
        </w:trPr>
        <w:tc>
          <w:tcPr>
            <w:tcW w:w="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typically ship products shortly after receipt of an order, which is common in the software industry. Our backlog consists of current software license product orders which have not yet shipped. The category of current software license product orders which we have not yet shipped consists of orders from customers with approved credit status for currently available software products.</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Backlog was $31.4 million at January 31, 2016 compared to $40.4 million at January 31, 2015. The actual amount of backlog at any particular time may not be a meaningful indicator of future business prospects as this amount is impacted by a number of factors not related to future trends or events such as the order fulfillment process, the method of software delivery or the linearity of our business within the fiscal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ARR (Annualized Recurring Revenue)—</w:t>
      </w:r>
      <w:r>
        <w:rPr>
          <w:rFonts w:ascii="Arial" w:cs="Arial" w:eastAsia="Arial" w:hAnsi="Arial"/>
          <w:sz w:val="18"/>
          <w:szCs w:val="18"/>
          <w:color w:val="auto"/>
        </w:rPr>
        <w:t>Represents the annualized value of our average monthly recurring revenue for the preceding three months. The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captures ARR relating to traditional maintenance attached to perpetual licenses, including Delcam. The “new model” captures ARR relating to desktop, cloud services, enterprise, and Shotgun product offerings. Recurring revenue acquired with the acquisition of a business may cause variability in the comparison of this calculation.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ARPS (Annualized Revenue Per Subscription)—</w:t>
      </w:r>
      <w:r>
        <w:rPr>
          <w:rFonts w:ascii="Arial" w:cs="Arial" w:eastAsia="Arial" w:hAnsi="Arial"/>
          <w:sz w:val="18"/>
          <w:szCs w:val="18"/>
          <w:color w:val="auto"/>
        </w:rPr>
        <w:t>Is calculated by dividing our annualized recurring revenue by total subscriptions.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Amounts billed to customers during the current fiscal period net of any partner incentives, hedge gains or other discounts.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97790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Mechanical), Civil 3D, Inventor products (individual), Map 3D, Maya, and Revit products (individual).</w:t>
      </w:r>
    </w:p>
    <w:p>
      <w:pPr>
        <w:spacing w:after="0" w:line="17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product license revenue and other revenue. Product license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software license revenue from the sale of seat licenses,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8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b w:val="1"/>
          <w:bCs w:val="1"/>
          <w:color w:val="auto"/>
        </w:rPr>
        <w:t>—</w:t>
      </w:r>
      <w:r>
        <w:rPr>
          <w:rFonts w:ascii="Arial" w:cs="Arial" w:eastAsia="Arial" w:hAnsi="Arial"/>
          <w:sz w:val="18"/>
          <w:szCs w:val="18"/>
          <w:color w:val="auto"/>
        </w:rPr>
        <w:t>Our maintenance program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8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Delcam products, Autodesk Moldflow products, Autodesk Navisworks, Autodesk Scaleform, Autodesk Vault products, and all other products.</w:t>
      </w:r>
    </w:p>
    <w:p>
      <w:pPr>
        <w:spacing w:after="0" w:line="184" w:lineRule="exact"/>
        <w:rPr>
          <w:sz w:val="20"/>
          <w:szCs w:val="20"/>
          <w:color w:val="auto"/>
        </w:rPr>
      </w:pPr>
    </w:p>
    <w:p>
      <w:pPr>
        <w:ind w:right="460" w:firstLine="405"/>
        <w:spacing w:after="0" w:line="313" w:lineRule="auto"/>
        <w:rPr>
          <w:sz w:val="20"/>
          <w:szCs w:val="20"/>
          <w:color w:val="auto"/>
        </w:rPr>
      </w:pPr>
      <w:r>
        <w:rPr>
          <w:rFonts w:ascii="Arial" w:cs="Arial" w:eastAsia="Arial" w:hAnsi="Arial"/>
          <w:sz w:val="17"/>
          <w:szCs w:val="17"/>
          <w:i w:val="1"/>
          <w:iCs w:val="1"/>
          <w:color w:val="auto"/>
        </w:rPr>
        <w:t>Product Innovation Platform</w:t>
      </w:r>
      <w:r>
        <w:rPr>
          <w:rFonts w:ascii="Arial" w:cs="Arial" w:eastAsia="Arial" w:hAnsi="Arial"/>
          <w:sz w:val="17"/>
          <w:szCs w:val="17"/>
          <w:b w:val="1"/>
          <w:bCs w:val="1"/>
          <w:color w:val="auto"/>
        </w:rPr>
        <w:t>—</w:t>
      </w:r>
      <w:r>
        <w:rPr>
          <w:rFonts w:ascii="Arial" w:cs="Arial" w:eastAsia="Arial" w:hAnsi="Arial"/>
          <w:sz w:val="17"/>
          <w:szCs w:val="17"/>
          <w:color w:val="auto"/>
        </w:rPr>
        <w:t>Represents a single connected ecosystem advancing the way products are designed, made, and used. The Autodesk</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Innovation Platform enables companies to take advantage of the rapid changes taking place in manufacturing.</w:t>
      </w:r>
    </w:p>
    <w:p>
      <w:pPr>
        <w:spacing w:after="0" w:line="138" w:lineRule="exact"/>
        <w:rPr>
          <w:sz w:val="20"/>
          <w:szCs w:val="20"/>
          <w:color w:val="auto"/>
        </w:rPr>
      </w:pPr>
    </w:p>
    <w:p>
      <w:pPr>
        <w:ind w:firstLine="405"/>
        <w:spacing w:after="0" w:line="303" w:lineRule="auto"/>
        <w:rPr>
          <w:sz w:val="20"/>
          <w:szCs w:val="20"/>
          <w:color w:val="auto"/>
        </w:rPr>
      </w:pPr>
      <w:r>
        <w:rPr>
          <w:rFonts w:ascii="Arial" w:cs="Arial" w:eastAsia="Arial" w:hAnsi="Arial"/>
          <w:sz w:val="16"/>
          <w:szCs w:val="16"/>
          <w:i w:val="1"/>
          <w:iCs w:val="1"/>
          <w:color w:val="auto"/>
        </w:rPr>
        <w:t>Recurring Revenue</w:t>
      </w:r>
      <w:r>
        <w:rPr>
          <w:rFonts w:ascii="Arial" w:cs="Arial" w:eastAsia="Arial" w:hAnsi="Arial"/>
          <w:sz w:val="16"/>
          <w:szCs w:val="16"/>
          <w:b w:val="1"/>
          <w:bCs w:val="1"/>
          <w:color w:val="auto"/>
        </w:rPr>
        <w:t>—</w:t>
      </w:r>
      <w:r>
        <w:rPr>
          <w:rFonts w:ascii="Arial" w:cs="Arial" w:eastAsia="Arial" w:hAnsi="Arial"/>
          <w:sz w:val="16"/>
          <w:szCs w:val="16"/>
          <w:color w:val="auto"/>
        </w:rPr>
        <w:t>Represents the revenue for the period from our maintenance, desktop, cloud services and enterprise license offerings,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revenue allocated to license &amp; other revenue for those offerings. It excludes revenue from Autodesk Consulting Services, and subscription revenue related to education offerings, consumer product offerings, select Creative Finishing product offerings, Autodesk Buzzsaw, Autodesk Constructware, and third party products. Recurring revenue acquired with the acquisition of a business is captured and may cause variability in the comparison of this calculation.</w:t>
      </w:r>
    </w:p>
    <w:p>
      <w:pPr>
        <w:spacing w:after="0" w:line="151"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6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and paid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quarter end date. For certain cloud-based and enterprise license offerings, subscriptions represent the monthly average activity reported within the last three months of the quarter end date. Total subscriptions do not include data from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 New model subscriptions consist of desktop, cloud service and enterprise license offerings, and subscriptions from Autodesk Shotgun product offerings. Maintenance subscriptions consist of maintenance subscriptions and subscriptions from Autodesk Delcam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1A.</w:t>
      </w:r>
      <w:r>
        <w:rPr>
          <w:sz w:val="20"/>
          <w:szCs w:val="20"/>
          <w:color w:val="auto"/>
        </w:rPr>
        <w:tab/>
      </w:r>
      <w:r>
        <w:rPr>
          <w:rFonts w:ascii="Arial" w:cs="Arial" w:eastAsia="Arial" w:hAnsi="Arial"/>
          <w:sz w:val="17"/>
          <w:szCs w:val="17"/>
          <w:b w:val="1"/>
          <w:bCs w:val="1"/>
          <w:color w:val="0696D7"/>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65"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200" w:firstLine="378"/>
        <w:spacing w:after="0" w:line="312" w:lineRule="auto"/>
        <w:rPr>
          <w:sz w:val="20"/>
          <w:szCs w:val="20"/>
          <w:color w:val="auto"/>
        </w:rPr>
      </w:pPr>
      <w:r>
        <w:rPr>
          <w:rFonts w:ascii="Arial" w:cs="Arial" w:eastAsia="Arial" w:hAnsi="Arial"/>
          <w:sz w:val="16"/>
          <w:szCs w:val="16"/>
          <w:color w:val="auto"/>
        </w:rPr>
        <w:t>To address the industry transition from personal computer to cloud, mobile, and social computing, we have accelerated our move to the cloud and are offering more flexible product licenses. To support our transition, we discontinued licensing upgrades effective March 6, 2015, discontinued selling new perpetual licenses of most individual software products effective February 1, 2016, and plan to discontinue selling new perpetual licenses of suites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7790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August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78"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8" w:lineRule="exact"/>
        <w:rPr>
          <w:sz w:val="20"/>
          <w:szCs w:val="20"/>
          <w:color w:val="auto"/>
        </w:rPr>
      </w:pPr>
    </w:p>
    <w:p>
      <w:pPr>
        <w:ind w:right="24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2016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superior experience and resources to us.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discontinuance of our perpetual licenses for most individual software products on February 1, 2016 and for perpetual suites on August 1, 2016 will result in the loss of future up-front licensing revenue. This also will freeze growth of our maintenance subscription revenue because there will be no further opportunities to attach maintenance licensing once we cease the sale of suites licenses. We expect our maintenance subscription revenue to decline over time, but it may decline more quickly than anticipated due to low maintenance renewals. At the same time, our new model subscription revenue may not grow as rapidly as anticipated. Our new model subscription pricing allows customers to use our offerings at a lower initial cost when compared to the sale of a perpetual license. Although our new model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seek to reduce expenses, streamline the organization, and reallocate resources to align more closely with the Company’s needs going forward. As a result of these actions, we have incurred and will incur additional costs in the short term that have the effect of reducing our operating margins. If we are unable to realize the expected outcomes from the restructuring efforts, our business and operating results may be harmed.</w:t>
      </w:r>
    </w:p>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97790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68% and 71% of our net revenue in fiscal 2016 and 2015,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2012 and 2015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97790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73"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of additional technological safeguards.</w:t>
      </w:r>
    </w:p>
    <w:p>
      <w:pPr>
        <w:spacing w:after="0" w:line="19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in October 2015 the European Court of Justice issued a ruling immediately invalidating the U.S.-EU Safe Harbor Framework, which facilitated personal data transfers to the U.S. in compliance with applicable EU data protection laws. In February of 2016, The European Commission and the United States agreed on a new framework for transatlantic data flows: the EU-US Privacy Shield. Autodesk is currently awaiting additional guidance from European regulators on how the EU-US Privacy Shield will be implemented. We continue to comply with the previous Safe Harbor principles and rely on other legal mechanisms for data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2016 and fiscal 2015, approximately 79% and 83%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25% of our total net revenue for both fiscal 2016 and 2015,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7790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renewal rates would negatively impact our future revenue and financial results.</w:t>
      </w:r>
    </w:p>
    <w:p>
      <w:pPr>
        <w:spacing w:after="0" w:line="170"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7"/>
          <w:szCs w:val="17"/>
          <w:color w:val="auto"/>
        </w:rPr>
        <w:t>Our maintenance customers have no obligation to attach maintenance to their initial license or renew their maintenance contract after the expiration of their initial maintenance period, which is typically one year. The discontinuance of our perpetual licenses for most individual software products on February 1, 2016 and for perpetual suites on August 1, 2016 will result in the loss of future maintenance attach opportunities and freeze maintenance growth. Once we discontinue new perpetual suites we expect customers' renewal rates will decline or fluctuate over time as a result of a number of factors, including the overall global economy, the health of their businesses, and the perceived value of the maintenance program. If our customers do not renew their maintenance contract for our products, our maintenance revenue will decline and our financial results will suffer.</w:t>
      </w:r>
    </w:p>
    <w:p>
      <w:pPr>
        <w:spacing w:after="0" w:line="17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to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321310</wp:posOffset>
            </wp:positionV>
            <wp:extent cx="9779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97790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18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For example, we face risks relating to our fiscal 2017 integration of our Delcam subsidiaries, which previously operated autonomously.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fiscal 2016 and 2015, combined revenue from our AutoCAD and AutoCAD LT products, not including suites having AutoCAD or AutoCAD LT as a component, represented 24% and 28% of our total net revenue,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286385</wp:posOffset>
            </wp:positionV>
            <wp:extent cx="97790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concluded that a material weakness exists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9779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initiated remediation plans including the following:</w:t>
      </w:r>
    </w:p>
    <w:p>
      <w:pPr>
        <w:spacing w:after="0" w:line="18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6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assessed </w:t>
      </w:r>
      <w:r>
        <w:rPr>
          <w:rFonts w:ascii="Arial" w:cs="Arial" w:eastAsia="Arial" w:hAnsi="Arial"/>
          <w:sz w:val="19"/>
          <w:szCs w:val="19"/>
          <w:color w:val="auto"/>
        </w:rPr>
        <w:t>an</w:t>
      </w:r>
      <w:r>
        <w:rPr>
          <w:rFonts w:ascii="Arial" w:cs="Arial" w:eastAsia="Arial" w:hAnsi="Arial"/>
          <w:sz w:val="18"/>
          <w:szCs w:val="18"/>
          <w:color w:val="auto"/>
        </w:rPr>
        <w:t>d reorganized the structure of our tax function to enhance the level of documentation, technical oversight and review</w:t>
      </w:r>
    </w:p>
    <w:p>
      <w:pPr>
        <w:spacing w:after="0" w:line="23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Condensed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9779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48"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compromise our business model transition.</w:t>
      </w:r>
    </w:p>
    <w:p>
      <w:pPr>
        <w:spacing w:after="0" w:line="1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We are a U.S.-based multinational company subject to tax in multiple U.S. and foreign tax jurisdictions. Our effective tax rate is primarily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119380</wp:posOffset>
            </wp:positionV>
            <wp:extent cx="9779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consistent with the tax laws in the jurisdictions in which we conduct our business. It is possible that these positions may be overturned by jurisdictional tax authorities and may have a significant impact on our effective tax rate.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9779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not more likely than not to be realized and determined during our second quarter of fiscal 2016 that our U.S. deferred tax assets were no longer more likely than not to be realized.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40" w:firstLine="392"/>
        <w:spacing w:after="0" w:line="276"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3"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January 31, 2016,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7"/>
          <w:szCs w:val="17"/>
          <w:b w:val="1"/>
          <w:bCs w:val="1"/>
          <w:color w:val="0696D7"/>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7"/>
          <w:szCs w:val="17"/>
          <w:b w:val="1"/>
          <w:bCs w:val="1"/>
          <w:color w:val="0696D7"/>
        </w:rPr>
        <w:t>PROPERTIES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lease 2,043,000 square feet of office space in 143 locations in the United States and internationally through our foreign subsidiaries. In addition, we own 107,000 square feet of office space in six locations internationally through our foreign subsidiaries. Our executive offices and corporate headquarters are located in leased office space in San Rafael, California. Our San Rafael facilities consist of 220,000 square feet under leases that have expiration dates ranging from December 2017 to December 2019. We and our foreign subsidiaries lease additional space in various locations throughout the world for local sales, product development, and technical support personnel. In February 2016, we announced a restructuring plan that will result in the consolidation of certain leased facilities.</w:t>
      </w:r>
    </w:p>
    <w:p>
      <w:pPr>
        <w:spacing w:after="0" w:line="193"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82% occupancy worldwide as of January 31, 2016.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8"/>
          <w:szCs w:val="18"/>
          <w:b w:val="1"/>
          <w:bCs w:val="1"/>
          <w:color w:val="0696D7"/>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7"/>
          <w:szCs w:val="17"/>
          <w:b w:val="1"/>
          <w:bCs w:val="1"/>
          <w:color w:val="0696D7"/>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intraday high and low sales prices for each quarter in the last two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Low</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2016</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65.00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53.02</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49.50</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42.06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45.04</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Fiscal 2015</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44.76</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57.59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46.09</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48.38</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63.00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53.89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2016 or fiscal 2015.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2016, the number of common stockholders of record was 458.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and economic conditions, the number of employee stock option exercises and restricted stock unit issuances, the trading price of Autodesk common stock, cash on hand and available in the United States, cash requirements for acquisitions, and Company defined trading windows.During the three and twelve months ended January 31, 2016, we repurchased 1.6 million and 8.5 million shares, respectively, of our common stock. At January 31, 2016, 6.3 million shares remained available for repurchase under the repurchase program approved by the Board of Directors. This program does not have a fixed expiration date. See Note 9, “Stockholders' Equity,”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276860</wp:posOffset>
            </wp:positionV>
            <wp:extent cx="9779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62.95</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62.16</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2840" w:type="dxa"/>
            <w:vAlign w:val="bottom"/>
            <w:gridSpan w:val="2"/>
          </w:tcPr>
          <w:p>
            <w:pPr>
              <w:jc w:val="right"/>
              <w:ind w:right="28"/>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59.84</w:t>
            </w: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1.6</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62.16</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220" w:hanging="412"/>
        <w:spacing w:after="0" w:line="257"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authorizes the repurchase of 30.0 million shares. The plan does not have a fixed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wp:posOffset>
            </wp:positionV>
            <wp:extent cx="4570730" cy="3430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$100 invested on January 31, 2011,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258445</wp:posOffset>
            </wp:positionV>
            <wp:extent cx="9779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8"/>
          <w:szCs w:val="18"/>
          <w:b w:val="1"/>
          <w:bCs w:val="1"/>
          <w:color w:val="0696D7"/>
        </w:rPr>
        <w:t>SELECTED FINANCIAL DATA</w:t>
      </w:r>
    </w:p>
    <w:p>
      <w:pPr>
        <w:spacing w:after="0" w:line="22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2016 and 2015 are derived from, and are qualified by reference to, the audited consolidated financial statements that are included in this Form 10-K. The Consolidated Statement of Operations and the Consolidated Statement of Cash Flows data for the year ended January 31, 2014 are derived from, and are qualified by reference to, the audited consolidated financial statements that are included in this Form 10-K. The Consolidated Balance Sheet data for the fiscal year ended January 31, 2014 and the remaining financial data for the fiscal years ended January 31, 2013 and 2012 are derived from audited, consolidated financial statements which are not included in this Form 10-K.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Fiscal year ended January 31,</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2,504.1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2,512.2</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2,273.9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2,312.2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2,215.6</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284.8</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305.9</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355.6</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(330.5)</w:t>
            </w:r>
          </w:p>
        </w:tc>
        <w:tc>
          <w:tcPr>
            <w:tcW w:w="3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81.8</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228.8</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247.4</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285.3</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414.0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708.1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563.5</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559.1</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573.5</w:t>
            </w:r>
          </w:p>
        </w:tc>
      </w:tr>
      <w:tr>
        <w:trPr>
          <w:trHeight w:val="224"/>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Common Stock Data: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(loss) income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Diluted net (loss) income per share</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3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0.35</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At Year End: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5,515.3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4,909.7</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4,589.9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4,302.4</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3,227.8</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2,304.7</w:t>
            </w:r>
          </w:p>
        </w:tc>
        <w:tc>
          <w:tcPr>
            <w:tcW w:w="3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1,294.5</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1,262.0</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1,221.5</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390.8</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1,619.6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2,219.2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2,261.5</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2,043.2</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1,882.9</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420" w:hanging="412"/>
        <w:spacing w:after="0" w:line="290" w:lineRule="auto"/>
        <w:tabs>
          <w:tab w:leader="none" w:pos="4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Effective in the second quarter of fiscal 2016, Autodesk elected to retrospectively adopt ASU 2015-03, regarding Subtopic 835-30 “Interest - Imputation of Interest". The adoption resulted in the reclassification of debt issuance costs from other assets to a reduction of long term notes payable, net for the prior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9779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7"/>
          <w:szCs w:val="17"/>
          <w:b w:val="1"/>
          <w:bCs w:val="1"/>
          <w:color w:val="0696D7"/>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Fiscal 2015” and “Business Outlook” below, anticipated future net revenue, future GAAP and non-GAAP net (loss) income per share, operating margin, operating expenses, billings,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our expectations for our restructuring,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our ability to successfully increase sales of product suites as part of our overall sales strategy, the impact of economic volatility and geopolitical activities in certain countries, particularly emerging economy countries, and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remediations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alike—the people who imagine, design, and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For example, Autodesk BIM 360, PLM 360, Fusion 360, and AutoCAD360 Pro, some of our cloud based offerings,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92"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Our strategy is to lead the industries we serve to cloud based technologies and business models. This entails both a technological shift and a business model shift. We now have term-based license offerings, including desktop subscriptions, for certain products and flexible enterprise offerings. These offerings are designed to give our customers even more flexibility with how they use our products and service offerings and to address new types of customers such as project-based users and small businesses. As part of this transition, we discontinued licensing upgrades effective March 6, 2015, discontinued selling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124460</wp:posOffset>
            </wp:positionV>
            <wp:extent cx="97790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perpetual licenses of most individual software products effective February 1, 2016, and plan to discontinue selling new perpetual licenses of suites effective August 1, 2016.</w:t>
      </w:r>
    </w:p>
    <w:p>
      <w:pPr>
        <w:spacing w:after="0" w:line="17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With the discontinuation of the sale of most perpetual licenses, we are accelerating our transition away from selling a hybrid of perpetual licenses and term-based offerings toward a single subscription model. During the transition, billings, revenue, gross margin, operating margin, earnings (loss) per share, deferred revenue, and cash flow from operations will be impacted as more revenue is recognized ratably rather than up front and as new offerings bring a wider variety of price points.</w:t>
      </w:r>
    </w:p>
    <w:p>
      <w:pPr>
        <w:spacing w:after="0" w:line="18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we progress through the business model transition, billings and reported revenue will become less relevant to measure the success of the business as perpetual license sales are discontinued in favor of subscription offerings, which have considerably lower up-front prices. Annualized recurring revenue ("ARR") and subscription additions will better reflect business momentum and provide additional transparency into the transition. To further analyze progress, we will also disaggregate our growth in these metrics between the original maintenance subscription model ("maintenance") and the new desktop, cloud and mobile, and enterprise flexible license agreements ("new model"). We expect maintenance subscriptions to peak as perpetual license sales end this year, and we expect them to decline slowly over time.</w:t>
      </w:r>
    </w:p>
    <w:p>
      <w:pPr>
        <w:spacing w:after="0" w:line="19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Another key element of our strategy is increasing our global penetration. Emerging economies, such as Brazil, Russia, India, and China, represent a construction and manufacturing opportunity. Emerging economies face many of the challenges that our design technology can help address, including infrastructure build-out and innovative design and manufacturing. However,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 We believe that our move to the new model increases the number of potential markets for Autodesk. By connecting all of the participants in the process of designing and making things, we can sell new offerings into the construction and manufacturing spaces. In fiscal 2016, revenue from emerging economies decreased 4% as compared to fiscal 2015 and represented 15% of our total net revenue for both fiscal 2016 and fiscal 2015, respectively.</w:t>
      </w:r>
    </w:p>
    <w:p>
      <w:pPr>
        <w:spacing w:after="0" w:line="179"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9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software worldwide to students, educators, and educational institutions. In fiscal 2016, we initiated Project Ignite, a free and open learning platform delivering a unique package of technology, learning content, and services created specifically for the classroom. The Project Ignite learning platform additionally offers classroom bundles, which include hardware such as 3D printers and electronics kits along with professional development and training services to help educators.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Beginning in the second quarter of fiscal 2016, we have also made Autodesk Design Academy curricula available on iTunes U. Our intention is to make Autodesk software ubiquitous and the design software of choice for those poised to become the next generation of professional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9779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multiple element arrangements containing only software and software-related elements, we allocate the sales price among each of the deliverables using the residual method, under which revenue is allocated to undelivered elements based on our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8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allocate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we perform a quantitative analysis of pricing data points for historical standalone transactions involving such elements for a twelve-month period. As part of this analysis, we monitor and evaluate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we offer our products and services, and the type of customer (i.e. distributor, value-added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148590</wp:posOffset>
            </wp:positionV>
            <wp:extent cx="97790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reseller, and direct end user, among others). We analyze BESP at least annually or on a more frequent basis if a significant change in our business necessitates a more timely analysis or if we experience significant variances in our selling prices.</w:t>
      </w:r>
    </w:p>
    <w:p>
      <w:pPr>
        <w:spacing w:after="0" w:line="170"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situations when we have multiple contracts with a single counterparty, we use the guidance in ASC 985-605 to evaluate both the form and the substance of the arrangements to determine if they should be combined and accounted for as one arrangement or as separate arrangements.</w:t>
      </w:r>
    </w:p>
    <w:p>
      <w:pPr>
        <w:spacing w:after="0" w:line="124"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Our assessment of the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4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9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part of the indirect channel model, we have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The reserves associated with the partner incentive program are treated on the balance sheet as either contra account receivable (when due to distributors and direct resellers) or accounts payable (when due to indirect resellers).</w:t>
      </w:r>
    </w:p>
    <w:p>
      <w:pPr>
        <w:spacing w:after="0" w:line="1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As described in Note 2, “Financial Instruments,” in the Notes to the Consolidated Financial Statements, our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6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32BCAD"/>
        </w:rPr>
        <w:t>Level 1</w:t>
      </w:r>
      <w:r>
        <w:rPr>
          <w:rFonts w:ascii="Arial" w:cs="Arial" w:eastAsia="Arial" w:hAnsi="Arial"/>
          <w:sz w:val="18"/>
          <w:szCs w:val="18"/>
          <w:color w:val="32BCAD"/>
        </w:rPr>
        <w:t xml:space="preserve"> </w:t>
      </w:r>
      <w:r>
        <w:rPr>
          <w:rFonts w:ascii="Arial" w:cs="Arial" w:eastAsia="Arial" w:hAnsi="Arial"/>
          <w:sz w:val="18"/>
          <w:szCs w:val="18"/>
          <w:color w:val="000000"/>
        </w:rPr>
        <w:t>- Quoted prices for identical instruments in active markets;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32BCAD"/>
        </w:rPr>
        <w:t>Level 2</w:t>
      </w:r>
      <w:r>
        <w:rPr>
          <w:rFonts w:ascii="Arial" w:cs="Arial" w:eastAsia="Arial" w:hAnsi="Arial"/>
          <w:sz w:val="17"/>
          <w:szCs w:val="17"/>
          <w:color w:val="32BCAD"/>
        </w:rPr>
        <w:t xml:space="preserve"> </w:t>
      </w:r>
      <w:r>
        <w:rPr>
          <w:rFonts w:ascii="Arial" w:cs="Arial" w:eastAsia="Arial" w:hAnsi="Arial"/>
          <w:sz w:val="17"/>
          <w:szCs w:val="17"/>
          <w:color w:val="000000"/>
        </w:rPr>
        <w:t>- Quoted prices for similar instruments in active markets, quoted prices for identical or similar instruments in markets that are not active, and</w:t>
      </w:r>
      <w:r>
        <w:rPr>
          <w:rFonts w:ascii="Arial" w:cs="Arial" w:eastAsia="Arial" w:hAnsi="Arial"/>
          <w:sz w:val="17"/>
          <w:szCs w:val="17"/>
          <w:color w:val="32BCAD"/>
        </w:rPr>
        <w:t xml:space="preserve"> </w:t>
      </w:r>
      <w:r>
        <w:rPr>
          <w:rFonts w:ascii="Arial" w:cs="Arial" w:eastAsia="Arial" w:hAnsi="Arial"/>
          <w:sz w:val="17"/>
          <w:szCs w:val="17"/>
          <w:color w:val="000000"/>
        </w:rPr>
        <w:t>model-derived valuations in which all significant inputs and significant value drivers are observable in active markets;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32BCAD"/>
        </w:rPr>
        <w:t>Level 3</w:t>
      </w:r>
      <w:r>
        <w:rPr>
          <w:rFonts w:ascii="Arial" w:cs="Arial" w:eastAsia="Arial" w:hAnsi="Arial"/>
          <w:sz w:val="17"/>
          <w:szCs w:val="17"/>
          <w:color w:val="32BCAD"/>
        </w:rPr>
        <w:t xml:space="preserve"> </w:t>
      </w:r>
      <w:r>
        <w:rPr>
          <w:rFonts w:ascii="Arial" w:cs="Arial" w:eastAsia="Arial" w:hAnsi="Arial"/>
          <w:sz w:val="17"/>
          <w:szCs w:val="17"/>
          <w:color w:val="000000"/>
        </w:rPr>
        <w:t>- Valuations derived from valuation techniques in which one or more significant inputs or significant value drivers are unobservable.</w:t>
      </w:r>
    </w:p>
    <w:p>
      <w:pPr>
        <w:spacing w:after="0" w:line="23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probability weighted discounted cash flow models, in which some of the inputs are unobservable in the market, to estimate the fair value of our convertible debt securities.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97790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All of Autodesk’s marketable securities are subject to a periodic impairment review. We recognize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fair value of the consideration transferred to the assets and liabilities acquired, as well as to in-process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product portfolio;</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When we acquire a business, a portion of the consideration transferred is typically allocated to acquired technology and other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such as customer relationships and developed technology. The excess of the consideration transferred over the net of the acquisition-date fair value of identifiable assets acquired and liabilities assumed is recorded as goodwill. The amounts allocated to acquired technology and other intangible assets represent our estimates of their fair values at the acquisition date. We amortize the acquired technology and other intangible assets with finite lives over their estimated useful lives. The estimation of acquisition-date fair values of intangible assets and their useful lives requires us to make assumptions and judgments, including but not limited to an evaluation of macroeconomic conditions as they relate to our business, industry and market trends, projections of future cash flows, and appropriate discount rates.</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test goodwill for impairment annually in our fourth fiscal quarter or sooner should events or changes in circumstances indicate potential impairment. An optional assessment of qualitative factors of impairment (“optional assessment”) can be performed prior to necessitating a two-step quantitative impairment test. Should the optional assessment be performed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65"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Under the two-step quantitative impairment test, we use discounted cash flow models that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For our annual impairment assessment in fiscal 2016, we utilized the optional assessment for the following reporting units: Platform Solutions and Emerging Business (“PSEB”), Manufacturing ("MFG"), Architecture, Engineering, and Construction ("AEC"), and Media and Entertainment (“M&amp;E”). Based on a review of the qualitative factors described above, we determined that it was more likely than not that the fair value of each of the reporting units exceeded the carrying value. As a result, we concluded that performing the two-step impairment test was not necessary, and therefore the goodwill of our PSEB, MFG, AEC, and M&amp;E reporting units were not impaired during the fiscal year ended January 31, 2016.</w:t>
      </w:r>
    </w:p>
    <w:p>
      <w:pPr>
        <w:spacing w:after="0" w:line="17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Delcam reporting unit, we deemed the two-step impairment test was necessary and used a discounted cash flow model which included assumptions regarding projected cash flows. Based on this testing, we estimated fair value was 16% in excess of the carrying value for Delcam, and therefore the goodwill was not impaired during the fiscal year ended January 31, 2016.</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Estimating the fair value of the reporting units requires the use of estimates and significant judgments regarding future cash flows that are based on a number of factors including actual operating results, forecasted billings, revenue, and spend targets, discount rate assumptions, and long-term growth rate assumptions. The estimates and judgments described above could adversely change in future periods and we cannot provide absolute assurance that all of the targets will be achieved, which could lead to future impairment charges.</w:t>
      </w:r>
    </w:p>
    <w:p>
      <w:pPr>
        <w:spacing w:after="0" w:line="18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tax 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a more likely than not threshold. We recognize potential accrued interest and penalties related to unrecognized tax benefits as income tax expense.</w:t>
      </w:r>
    </w:p>
    <w:p>
      <w:pPr>
        <w:spacing w:after="0" w:line="18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is was not more likely than not that the Company would realize US federal and state deferred tax assets and recorded a valuation allowance on our federal and state deferred tax assets. As we continually strive to optimize our overall business model, tax planning strategies may become feasible and prudent whereby management may determine that it is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97790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likely than not that the federal and state deferred tax assets will be realized; therefore, we will continue to evaluate the realizability of our net deferred tax assets each quarter, both in the US and in foreign jurisdictions, based on all available evidence, both positive and negative.</w:t>
      </w:r>
    </w:p>
    <w:p>
      <w:pPr>
        <w:spacing w:after="0" w:line="14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ratably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requisite service period, which is generally the vesting period. We estimate the fair value of certain stock-based payment awards (including grants of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69"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2016</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620" w:type="dxa"/>
            <w:vAlign w:val="bottom"/>
          </w:tcPr>
          <w:p>
            <w:pPr>
              <w:jc w:val="right"/>
              <w:ind w:right="302"/>
              <w:spacing w:after="0"/>
              <w:rPr>
                <w:sz w:val="20"/>
                <w:szCs w:val="20"/>
                <w:color w:val="auto"/>
              </w:rPr>
            </w:pPr>
            <w:r>
              <w:rPr>
                <w:rFonts w:ascii="Arial" w:cs="Arial" w:eastAsia="Arial" w:hAnsi="Arial"/>
                <w:sz w:val="14"/>
                <w:szCs w:val="14"/>
                <w:b w:val="1"/>
                <w:bCs w:val="1"/>
                <w:color w:val="auto"/>
              </w:rPr>
              <w:t>As a % of Net</w:t>
            </w:r>
          </w:p>
        </w:tc>
        <w:tc>
          <w:tcPr>
            <w:tcW w:w="140" w:type="dxa"/>
            <w:vAlign w:val="bottom"/>
          </w:tcPr>
          <w:p>
            <w:pPr>
              <w:spacing w:after="0"/>
              <w:rPr>
                <w:sz w:val="14"/>
                <w:szCs w:val="14"/>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500" w:type="dxa"/>
            <w:vAlign w:val="bottom"/>
          </w:tcPr>
          <w:p>
            <w:pPr>
              <w:jc w:val="right"/>
              <w:ind w:right="182"/>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January 31, 2016</w:t>
            </w:r>
          </w:p>
        </w:tc>
        <w:tc>
          <w:tcPr>
            <w:tcW w:w="16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January 31, 2015</w:t>
            </w: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Revenue</w:t>
            </w:r>
          </w:p>
        </w:tc>
      </w:tr>
      <w:tr>
        <w:trPr>
          <w:trHeight w:val="196"/>
        </w:trPr>
        <w:tc>
          <w:tcPr>
            <w:tcW w:w="5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gridSpan w:val="3"/>
          </w:tcPr>
          <w:p>
            <w:pPr>
              <w:jc w:val="right"/>
              <w:ind w:right="1062"/>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7"/>
                <w:szCs w:val="17"/>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2,504.1</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2,512.2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370.7</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342.1</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2,133.4</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85%</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2,170.1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2,132.1</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2,049.4</w:t>
            </w:r>
          </w:p>
        </w:tc>
        <w:tc>
          <w:tcPr>
            <w:tcW w:w="15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120.7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are undergoing a business model transition in which we will discontinue selling new perpetual licenses in favor of subscriptions and flexible license arrangements. During the transition, billings, revenue, gross margin, operating margin, EPS, deferred revenue, and cash flow from operations will be impacted as more revenue is recognized ratably rather than up front and as new offerings bring a wider variety of price points. In order to help better understand our financial performance during and after the transition, we have introduced several new metrics including recurring revenue, total subscriptions, ARR, and annualized revenue per subscription ("ARPS"). ARR and ARPS are performance metrics and should be viewed independently of revenue, deferred revenue, and net billings as ARR and ARPS are not intended to be combined with any of these items.</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fiscal 2016, net revenue decreased slightly as compared to the prior fiscal year, gross profit decreased 2%, and income from operations decreased 99%. Contributing to the year over year decrease in income from operations during fiscal 2016 was an increase in both operating expenses and cost of revenue and a decrease in license and other revenue, partially offset by an increase in subscription revenue. Areas of revenue growth year-over-year included increases in our AEC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highlighted by an increase in our flexible enterprise offerings, our MFG segment, fueled by growth in Delcam and AutoCAD Mechanical, and the Americas geographic area. We also experienced growth in our total subscriptions and billings during fiscal 2016, as compared to fiscal 2015, primarily due to strong maintenance renewals and growth in new offerings such as desktop subscriptions and enterprise offerings. Offsetting these areas of growth were year-over-year revenue declines in our PSEB segment, many of our major products, particularly AutoCAD LT, and the EMEA and APAC geographic areas.</w:t>
      </w:r>
    </w:p>
    <w:p>
      <w:pPr>
        <w:spacing w:after="0" w:line="15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Income from operations for fiscal 2016 was negatively impacted by increased spend primarily from higher employee-related and cloud-related costs, as well as increased spending on other key initiatives.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Revenue Analysis</w:t>
      </w:r>
    </w:p>
    <w:p>
      <w:pPr>
        <w:spacing w:after="0" w:line="225"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Revenue from flagship products represented 45% and 48% of total net revenue during fiscal 2016 and fiscal 2015, respectively. Revenue from flagship products decreased by 5% as compared to the prior fiscal year. Revenue from suites represented 37% and 36% of total net revenue for fiscal 2016 and fiscal 2015, respectively, and remained flat compared to the prior fiscal year. Revenue from new and adjacent products represented 18% and 16% of total net revenue during fiscal 2016 and fiscal 2015, respectively. Revenue from new and adjacent products increased by 12% as compared to fiscal 2015.</w:t>
      </w:r>
    </w:p>
    <w:p>
      <w:pPr>
        <w:spacing w:after="0" w:line="15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25% of our consolidated net revenue during both fiscal 2016 and 2015,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Operating Margin Analysis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Income from operations decreased 99% in fiscal 2016 due to an $82.7 million or 4% increase in our operating expenses and a $28.6 million or 8% increase in cost of revenue, as compared to fiscal 2015. Our operating margin decreased to 0% for fiscal 2016 from 5% for fiscal 2015. The increase in cost of revenue was driven by employee related expenses as a result of increased employee headcount and product support costs. Also contributing to the increase in cost of revenue was an increase in cloud and hosting related costs in support of our business model transition. The increase in operating expenses between fiscal 2016 and 2015 was driven by higher employee related costs due to increased headcount and an increase in IT costs. Also impacting the increase in operating expenses during fiscal 2016 as compared to fiscal 2015 was an increase stock based compensation expense as a result of higher fair market value of awards granted.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cost of revenue and operating expense activities are discussed below under the heading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Business Model Transition Metrics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Recurring revenue represents the revenue for the period from our maintenance, desktop, cloud services and enterprise license offerings, including portions of revenue allocated to license &amp; other revenue for those offerings. It excludes revenue from Autodesk Consulting Services, and subscription revenue related to education offerings, consumer product offerings, select Creative Finishing product offerings, Autodesk Buzzsaw, Autodesk Constructware, and third party products. Recurring revenue acquired with the acquisition of a business is captured and may cause variability in the comparison of this calculation. Recurring revenue is a statistical measure rather than a non-GAAP measure and is not meant as a substitute for net revenues.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fiscal 2016, recurring revenue was 54% of total net revenue as compared to 46% of total net revenue for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subscriptions, ARR and ARPS metrics as of fiscal years ended January 31, 2016 and January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(Decrease)/Increase compared to</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3"/>
              </w:rPr>
              <w:t>prior fiscal year</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2015</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6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Subscriptions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New Model Subscriptions</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Subscriptions</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2,578.2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40"/>
              <w:spacing w:after="0"/>
              <w:rPr>
                <w:sz w:val="20"/>
                <w:szCs w:val="20"/>
                <w:color w:val="auto"/>
              </w:rPr>
            </w:pPr>
            <w:r>
              <w:rPr>
                <w:rFonts w:ascii="Arial" w:cs="Arial" w:eastAsia="Arial" w:hAnsi="Arial"/>
                <w:sz w:val="16"/>
                <w:szCs w:val="16"/>
                <w:color w:val="auto"/>
              </w:rPr>
              <w:t>Maintenance ARR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1,121.4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1,103.8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ARR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ARR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1,376.4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1,255.4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(ARR divided by Subscriptions)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ARPS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New Model ARPS</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ARPS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Year-over-year maintenance subscriptions increased 7% as of January 31, 2016 as compared to the same period in the prior fiscal year. Year-over-year new model subscriptions increased 94% as of January 31, 2016 as compared to the same period in the prior fiscal year, primarily due to 292% growth in Desktop subscriptions over the corresponding period. Also contributing to the overall subscription growth was an increase in maintenance renewal rates.</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Total Subscriptions ARR increased 10% as of January 31, 2016 as compared to the same period in the prior fiscal year primarily due to a 68% increase in New Model ARR driven by desktop license subscriptions and our flexible enterprise offerings. Also contributing to the increase was growth in Maintenance ARR, which increased 2% as compared to the same period in the prior fiscal year.</w:t>
      </w:r>
    </w:p>
    <w:p>
      <w:pPr>
        <w:spacing w:after="0" w:line="18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5% decrease in total ARPS was primarily due to growth in lower-priced subscription offerings causing total subscriptions growth to exceed total subscriptions ARR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Foreign Currency Analysis</w:t>
      </w:r>
    </w:p>
    <w:p>
      <w:pPr>
        <w:spacing w:after="0" w:line="225"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We generate a significant amount of our revenue in the U.S., Japan, Germany, France, and the United Kingdom. Total net revenue for fiscal 2016 was flat on an as reported basis compared to the prior fiscal year, and was negatively impacted by foreign exchange rate changes during fiscal 2016. Had applicable exchange rates from fiscal 2015 been in effect during fiscal 2016 and had we excluded foreign exchange hedge gains and losses from both fiscal 2015 and 2016 (“on a constant currency basis”), net revenue would have increased 4% compared to the prior fiscal year.</w:t>
      </w:r>
    </w:p>
    <w:p>
      <w:pPr>
        <w:spacing w:after="0" w:line="171"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color w:val="auto"/>
        </w:rPr>
        <w:t>Our total spend, defined as cost of revenue plus operating expenses, during fiscal 2016 increased 5% on an as reported basis as compared to the prior fiscal year. Had applicable exchange rates from fiscal 2015 been in effect during fiscal 2016 and had we excluded foreign exchange hedge gains and losses from both fiscal 2015 and 2016, total spend would have increased 9% on a constant currency basis compared to the prior fiscal year.</w:t>
      </w:r>
    </w:p>
    <w:p>
      <w:pPr>
        <w:spacing w:after="0" w:line="14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and spend of certain anticipated transactions but do not attempt to completely mitigate the impact of fluctuations of such foreign currency against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Balance Sheet and Cash Flow Items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At January 31, 2016, we had $2.8 billion in cash and marketable securities. This amount includes the aggregate net proceeds of $742.0 million, after deducting the underwriting discounts and related offering expenses, from our June 2015 registered underwritten public offering of $450.0 million aggregate principal amount of 3.125% notes due June 15, 2020 and $300.0 million aggregate principal amount of 4.375% notes due June 15, 2025. We completed fiscal 2016 with higher deferred revenue and accounts receivable balances as compared to the prior fiscal year. Our deferred revenue balance at January 31, 2016 included $1.1 billion of deferred subscription revenue primarily related to customer maintenance contracts, which will be recognized as revenue ratably over the life of the contracts. The term of our maintenance contracts is typically between one and three years. Our cash flow from operations decreased 42% to $414.0 million as of January 31, 2016 from $708.1 million at January 31, 2015. We repurchased 8.5 million shares of our common stock for $458.0 million during fiscal 2016. Comparatively, we repurchased 6.9 million shares of our common stock for $372.4 million during fiscal 2015. Further discussion regarding the balance sheet and cash flow activities are discussed below under the heading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Business Outlook</w:t>
      </w:r>
    </w:p>
    <w:p>
      <w:pPr>
        <w:spacing w:after="0" w:line="22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is undergoing a business model transition in which the company will discontinue selling new perpetual licenses in favor of subscriptions and flexible license arrangements. During the transition, billings, revenue, gross margin, operating margin, EPS, deferred revenue, and cash flow from operations will be impacted as more revenue is recognized ratably rather than up front and as new offerings bring a wider variety of price points. Over time, we expect our business model transition to expand our customer base by eliminating higher up-front licensing costs and provide more flexibility in how customers gain access to and pay for our products. In the future, we expect this business model transition will increase our long-term revenue growth rate by increasing total subscriptions, ARR, and customer value over time.</w:t>
      </w:r>
    </w:p>
    <w:p>
      <w:pPr>
        <w:spacing w:after="0" w:line="13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2016 we commenced a restructuring plan to reduce headcount by approximately 10% and to consolidate certain facilities around the world in order to accelerate the Company’s move to the cloud and its transition to a subscription-based business model. Through the restructuring, we seek to reduce expenses, streamline the organization, and reallocate resources to align more closely with the Company’s needs going forward. See further discussion of our restructuring plan in Note 17, “Subsequent Events” of the Notes to Consolidated Financial Statements. As a result of these actions, we have incurred and will incur additional costs in the short term that negatively impact our net income and cash flows from operating activities and have the effect of reducing our operating margins.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Q1 FY17 Guidance Metrics</w:t>
            </w:r>
          </w:p>
        </w:tc>
        <w:tc>
          <w:tcPr>
            <w:tcW w:w="6000" w:type="dxa"/>
            <w:vAlign w:val="bottom"/>
            <w:gridSpan w:val="2"/>
          </w:tcPr>
          <w:p>
            <w:pPr>
              <w:ind w:left="3680"/>
              <w:spacing w:after="0"/>
              <w:rPr>
                <w:sz w:val="20"/>
                <w:szCs w:val="20"/>
                <w:color w:val="auto"/>
              </w:rPr>
            </w:pPr>
            <w:r>
              <w:rPr>
                <w:rFonts w:ascii="Arial" w:cs="Arial" w:eastAsia="Arial" w:hAnsi="Arial"/>
                <w:sz w:val="14"/>
                <w:szCs w:val="14"/>
                <w:b w:val="1"/>
                <w:bCs w:val="1"/>
                <w:color w:val="auto"/>
              </w:rPr>
              <w:t>Q1 FY17 (ending April 30, 2016)</w:t>
            </w:r>
          </w:p>
        </w:tc>
      </w:tr>
      <w:tr>
        <w:trPr>
          <w:trHeight w:val="243"/>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 (in millions)</w:t>
            </w:r>
          </w:p>
        </w:tc>
        <w:tc>
          <w:tcPr>
            <w:tcW w:w="4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$520</w:t>
            </w:r>
          </w:p>
        </w:tc>
      </w:tr>
      <w:tr>
        <w:trPr>
          <w:trHeight w:val="224"/>
        </w:trPr>
        <w:tc>
          <w:tcPr>
            <w:tcW w:w="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EPS GAAP</w:t>
            </w:r>
          </w:p>
        </w:tc>
        <w:tc>
          <w:tcPr>
            <w:tcW w:w="4640" w:type="dxa"/>
            <w:vAlign w:val="bottom"/>
          </w:tcPr>
          <w:p>
            <w:pPr>
              <w:jc w:val="right"/>
              <w:spacing w:after="0"/>
              <w:rPr>
                <w:sz w:val="20"/>
                <w:szCs w:val="20"/>
                <w:color w:val="auto"/>
              </w:rPr>
            </w:pPr>
            <w:r>
              <w:rPr>
                <w:rFonts w:ascii="Arial" w:cs="Arial" w:eastAsia="Arial" w:hAnsi="Arial"/>
                <w:sz w:val="16"/>
                <w:szCs w:val="16"/>
                <w:color w:val="auto"/>
              </w:rPr>
              <w:t>($0.98)</w:t>
            </w:r>
          </w:p>
        </w:tc>
        <w:tc>
          <w:tcPr>
            <w:tcW w:w="1360" w:type="dxa"/>
            <w:vAlign w:val="bottom"/>
          </w:tcPr>
          <w:p>
            <w:pPr>
              <w:ind w:left="20"/>
              <w:spacing w:after="0"/>
              <w:rPr>
                <w:sz w:val="20"/>
                <w:szCs w:val="20"/>
                <w:color w:val="auto"/>
              </w:rPr>
            </w:pPr>
            <w:r>
              <w:rPr>
                <w:rFonts w:ascii="Arial" w:cs="Arial" w:eastAsia="Arial" w:hAnsi="Arial"/>
                <w:sz w:val="16"/>
                <w:szCs w:val="16"/>
                <w:color w:val="auto"/>
              </w:rPr>
              <w:t>- ($0.89)</w:t>
            </w:r>
          </w:p>
        </w:tc>
      </w:tr>
      <w:tr>
        <w:trPr>
          <w:trHeight w:val="33"/>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EPS Non-GAAP (1)</w:t>
            </w:r>
          </w:p>
        </w:tc>
        <w:tc>
          <w:tcPr>
            <w:tcW w:w="4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($0.12)</w:t>
            </w:r>
          </w:p>
        </w:tc>
      </w:tr>
      <w:tr>
        <w:trPr>
          <w:trHeight w:val="22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_______________</w:t>
            </w:r>
          </w:p>
        </w:tc>
        <w:tc>
          <w:tcPr>
            <w:tcW w:w="464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ind w:right="380" w:firstLine="8"/>
        <w:spacing w:after="0" w:line="290" w:lineRule="auto"/>
        <w:tabs>
          <w:tab w:leader="none" w:pos="229"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Non-GAAP earnings per diluted share exclude $0.28 related to restructuring expense, $0.27 related to stock-based compensation expense, between $0.18 and $0.14 of GAAP-only tax charges, and $0.10 for the amortization of acquisition related intangibles, offset by $0.02 for gains on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97790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FY17 Guidance Metrics</w:t>
            </w:r>
          </w:p>
        </w:tc>
        <w:tc>
          <w:tcPr>
            <w:tcW w:w="4660" w:type="dxa"/>
            <w:vAlign w:val="bottom"/>
            <w:gridSpan w:val="2"/>
          </w:tcPr>
          <w:p>
            <w:pPr>
              <w:jc w:val="center"/>
              <w:ind w:left="1960"/>
              <w:spacing w:after="0"/>
              <w:rPr>
                <w:sz w:val="20"/>
                <w:szCs w:val="20"/>
                <w:color w:val="auto"/>
              </w:rPr>
            </w:pPr>
            <w:r>
              <w:rPr>
                <w:rFonts w:ascii="Arial" w:cs="Arial" w:eastAsia="Arial" w:hAnsi="Arial"/>
                <w:sz w:val="14"/>
                <w:szCs w:val="14"/>
                <w:b w:val="1"/>
                <w:bCs w:val="1"/>
                <w:color w:val="auto"/>
                <w:w w:val="94"/>
              </w:rPr>
              <w:t>FY17 (ending January 31, 2017)</w:t>
            </w: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 (in millions) (1)</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$2,050</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GAAP Spend (cost of revenue plus operating expenses)</w:t>
            </w:r>
          </w:p>
        </w:tc>
        <w:tc>
          <w:tcPr>
            <w:tcW w:w="3300" w:type="dxa"/>
            <w:vAlign w:val="bottom"/>
          </w:tcPr>
          <w:p>
            <w:pPr>
              <w:jc w:val="right"/>
              <w:spacing w:after="0"/>
              <w:rPr>
                <w:sz w:val="20"/>
                <w:szCs w:val="20"/>
                <w:color w:val="auto"/>
              </w:rPr>
            </w:pPr>
            <w:r>
              <w:rPr>
                <w:rFonts w:ascii="Arial" w:cs="Arial" w:eastAsia="Arial" w:hAnsi="Arial"/>
                <w:sz w:val="16"/>
                <w:szCs w:val="16"/>
                <w:color w:val="auto"/>
              </w:rPr>
              <w:t>3%</w:t>
            </w:r>
          </w:p>
        </w:tc>
        <w:tc>
          <w:tcPr>
            <w:tcW w:w="1360" w:type="dxa"/>
            <w:vAlign w:val="bottom"/>
          </w:tcPr>
          <w:p>
            <w:pPr>
              <w:ind w:left="20"/>
              <w:spacing w:after="0"/>
              <w:rPr>
                <w:sz w:val="20"/>
                <w:szCs w:val="20"/>
                <w:color w:val="auto"/>
              </w:rPr>
            </w:pPr>
            <w:r>
              <w:rPr>
                <w:rFonts w:ascii="Arial" w:cs="Arial" w:eastAsia="Arial" w:hAnsi="Arial"/>
                <w:sz w:val="16"/>
                <w:szCs w:val="16"/>
                <w:color w:val="auto"/>
              </w:rPr>
              <w:t>- 4%</w:t>
            </w:r>
          </w:p>
        </w:tc>
      </w:tr>
      <w:tr>
        <w:trPr>
          <w:trHeight w:val="33"/>
        </w:trPr>
        <w:tc>
          <w:tcPr>
            <w:tcW w:w="676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Spend (cost of revenue plus operating expenses) (2)</w:t>
            </w:r>
          </w:p>
        </w:tc>
        <w:tc>
          <w:tcPr>
            <w:tcW w:w="4660" w:type="dxa"/>
            <w:vAlign w:val="bottom"/>
            <w:tcBorders>
              <w:bottom w:val="single" w:sz="8" w:color="CCEEFF"/>
            </w:tcBorders>
            <w:gridSpan w:val="2"/>
            <w:shd w:val="clear" w:color="auto" w:fill="CCEEFF"/>
          </w:tcPr>
          <w:p>
            <w:pPr>
              <w:jc w:val="center"/>
              <w:ind w:left="1960"/>
              <w:spacing w:after="0"/>
              <w:rPr>
                <w:sz w:val="20"/>
                <w:szCs w:val="20"/>
                <w:color w:val="auto"/>
              </w:rPr>
            </w:pPr>
            <w:r>
              <w:rPr>
                <w:rFonts w:ascii="Arial" w:cs="Arial" w:eastAsia="Arial" w:hAnsi="Arial"/>
                <w:sz w:val="16"/>
                <w:szCs w:val="16"/>
                <w:color w:val="auto"/>
                <w:w w:val="95"/>
              </w:rPr>
              <w:t>(1%) - flat</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EPS GAAP</w:t>
            </w:r>
          </w:p>
        </w:tc>
        <w:tc>
          <w:tcPr>
            <w:tcW w:w="3300" w:type="dxa"/>
            <w:vAlign w:val="bottom"/>
          </w:tcPr>
          <w:p>
            <w:pPr>
              <w:jc w:val="right"/>
              <w:spacing w:after="0"/>
              <w:rPr>
                <w:sz w:val="20"/>
                <w:szCs w:val="20"/>
                <w:color w:val="auto"/>
              </w:rPr>
            </w:pPr>
            <w:r>
              <w:rPr>
                <w:rFonts w:ascii="Arial" w:cs="Arial" w:eastAsia="Arial" w:hAnsi="Arial"/>
                <w:sz w:val="16"/>
                <w:szCs w:val="16"/>
                <w:color w:val="auto"/>
              </w:rPr>
              <w:t>($3.32)</w:t>
            </w:r>
          </w:p>
        </w:tc>
        <w:tc>
          <w:tcPr>
            <w:tcW w:w="1360" w:type="dxa"/>
            <w:vAlign w:val="bottom"/>
          </w:tcPr>
          <w:p>
            <w:pPr>
              <w:ind w:left="20"/>
              <w:spacing w:after="0"/>
              <w:rPr>
                <w:sz w:val="20"/>
                <w:szCs w:val="20"/>
                <w:color w:val="auto"/>
              </w:rPr>
            </w:pPr>
            <w:r>
              <w:rPr>
                <w:rFonts w:ascii="Arial" w:cs="Arial" w:eastAsia="Arial" w:hAnsi="Arial"/>
                <w:sz w:val="16"/>
                <w:szCs w:val="16"/>
                <w:color w:val="auto"/>
              </w:rPr>
              <w:t>- ($2.91)</w:t>
            </w:r>
          </w:p>
        </w:tc>
      </w:tr>
      <w:tr>
        <w:trPr>
          <w:trHeight w:val="33"/>
        </w:trPr>
        <w:tc>
          <w:tcPr>
            <w:tcW w:w="6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EPS Non-GAAP (3)</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($0.60)</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Net Subscription Additions</w:t>
            </w:r>
          </w:p>
        </w:tc>
        <w:tc>
          <w:tcPr>
            <w:tcW w:w="3300" w:type="dxa"/>
            <w:vAlign w:val="bottom"/>
          </w:tcPr>
          <w:p>
            <w:pPr>
              <w:jc w:val="right"/>
              <w:spacing w:after="0"/>
              <w:rPr>
                <w:sz w:val="20"/>
                <w:szCs w:val="20"/>
                <w:color w:val="auto"/>
              </w:rPr>
            </w:pPr>
            <w:r>
              <w:rPr>
                <w:rFonts w:ascii="Arial" w:cs="Arial" w:eastAsia="Arial" w:hAnsi="Arial"/>
                <w:sz w:val="16"/>
                <w:szCs w:val="16"/>
                <w:color w:val="auto"/>
              </w:rPr>
              <w:t>475,000</w:t>
            </w:r>
          </w:p>
        </w:tc>
        <w:tc>
          <w:tcPr>
            <w:tcW w:w="1360" w:type="dxa"/>
            <w:vAlign w:val="bottom"/>
          </w:tcPr>
          <w:p>
            <w:pPr>
              <w:ind w:left="20"/>
              <w:spacing w:after="0"/>
              <w:rPr>
                <w:sz w:val="20"/>
                <w:szCs w:val="20"/>
                <w:color w:val="auto"/>
              </w:rPr>
            </w:pPr>
            <w:r>
              <w:rPr>
                <w:rFonts w:ascii="Arial" w:cs="Arial" w:eastAsia="Arial" w:hAnsi="Arial"/>
                <w:sz w:val="16"/>
                <w:szCs w:val="16"/>
                <w:color w:val="auto"/>
              </w:rPr>
              <w:t>- 525,000</w:t>
            </w:r>
          </w:p>
        </w:tc>
      </w:tr>
      <w:tr>
        <w:trPr>
          <w:trHeight w:val="249"/>
        </w:trPr>
        <w:tc>
          <w:tcPr>
            <w:tcW w:w="6760" w:type="dxa"/>
            <w:vAlign w:val="bottom"/>
          </w:tcPr>
          <w:p>
            <w:pPr>
              <w:spacing w:after="0"/>
              <w:rPr>
                <w:sz w:val="20"/>
                <w:szCs w:val="20"/>
                <w:color w:val="auto"/>
              </w:rPr>
            </w:pPr>
            <w:r>
              <w:rPr>
                <w:rFonts w:ascii="Arial" w:cs="Arial" w:eastAsia="Arial" w:hAnsi="Arial"/>
                <w:sz w:val="18"/>
                <w:szCs w:val="18"/>
                <w:color w:val="auto"/>
              </w:rPr>
              <w:t>_______________</w:t>
            </w:r>
          </w:p>
        </w:tc>
        <w:tc>
          <w:tcPr>
            <w:tcW w:w="33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Excluding the impact of foreign currency rates and hedge gains/losses revenue guidance would be $2.0 - $2.1 billion.</w:t>
      </w:r>
    </w:p>
    <w:p>
      <w:pPr>
        <w:spacing w:after="0" w:line="9" w:lineRule="exact"/>
        <w:rPr>
          <w:rFonts w:ascii="Arial" w:cs="Arial" w:eastAsia="Arial" w:hAnsi="Arial"/>
          <w:sz w:val="16"/>
          <w:szCs w:val="16"/>
          <w:color w:val="auto"/>
        </w:rPr>
      </w:pPr>
    </w:p>
    <w:p>
      <w:pPr>
        <w:ind w:right="20" w:firstLine="8"/>
        <w:spacing w:after="0" w:line="246" w:lineRule="auto"/>
        <w:tabs>
          <w:tab w:leader="none" w:pos="2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Non-GAAP spend excludes $234 million related to stock-based compensation expense, $88 million related to restructuring expense, and $67 million for the amortization of acquisition related intangibles.</w:t>
      </w:r>
    </w:p>
    <w:p>
      <w:pPr>
        <w:ind w:right="160" w:firstLine="8"/>
        <w:spacing w:after="0" w:line="257" w:lineRule="auto"/>
        <w:tabs>
          <w:tab w:leader="none" w:pos="2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Non-GAAP earnings per diluted share excludes $1.05 related to stock-based compensation expense, between $0.75 and $0.59 of GAAP-only tax charges, $0.39 related to restructuring expense, and $0.30 for the amortization of acquisition related intangibles, offset by $0.02 for gains on strategic investments.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remain diligent about managing our spend while making essential investments to drive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2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9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2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52"/>
        </w:trPr>
        <w:tc>
          <w:tcPr>
            <w:tcW w:w="30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31, 2016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31, 2015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31, 2014</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1,226.9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(114.5)</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1,341.4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86.5</w:t>
            </w:r>
          </w:p>
        </w:tc>
        <w:tc>
          <w:tcPr>
            <w:tcW w:w="12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1,254.9</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1,019.0</w:t>
            </w:r>
          </w:p>
        </w:tc>
        <w:tc>
          <w:tcPr>
            <w:tcW w:w="0" w:type="dxa"/>
            <w:vAlign w:val="bottom"/>
          </w:tcPr>
          <w:p>
            <w:pPr>
              <w:spacing w:after="0"/>
              <w:rPr>
                <w:sz w:val="1"/>
                <w:szCs w:val="1"/>
                <w:color w:val="auto"/>
              </w:rPr>
            </w:pPr>
          </w:p>
        </w:tc>
      </w:tr>
      <w:tr>
        <w:trPr>
          <w:trHeight w:val="284"/>
        </w:trPr>
        <w:tc>
          <w:tcPr>
            <w:tcW w:w="30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2,504.1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32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color w:val="auto"/>
              </w:rPr>
              <w:t>—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184"/>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74.8</w:t>
            </w:r>
          </w:p>
        </w:tc>
        <w:tc>
          <w:tcPr>
            <w:tcW w:w="122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898.0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79.1</w:t>
            </w:r>
          </w:p>
        </w:tc>
        <w:tc>
          <w:tcPr>
            <w:tcW w:w="12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818.9</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31.0</w:t>
            </w:r>
          </w:p>
        </w:tc>
        <w:tc>
          <w:tcPr>
            <w:tcW w:w="12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Net Revenue by Operating Segment: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Construction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730.6</w:t>
            </w: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724.6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49.0</w:t>
            </w:r>
          </w:p>
        </w:tc>
        <w:tc>
          <w:tcPr>
            <w:tcW w:w="122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96.2</w:t>
            </w:r>
          </w:p>
        </w:tc>
        <w:tc>
          <w:tcPr>
            <w:tcW w:w="12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Business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789.2</w:t>
            </w:r>
          </w:p>
        </w:tc>
        <w:tc>
          <w:tcPr>
            <w:tcW w:w="0" w:type="dxa"/>
            <w:vAlign w:val="bottom"/>
          </w:tcPr>
          <w:p>
            <w:pPr>
              <w:spacing w:after="0"/>
              <w:rPr>
                <w:sz w:val="1"/>
                <w:szCs w:val="1"/>
                <w:color w:val="auto"/>
              </w:rPr>
            </w:pPr>
          </w:p>
        </w:tc>
      </w:tr>
      <w:tr>
        <w:trPr>
          <w:trHeight w:val="237"/>
        </w:trPr>
        <w:tc>
          <w:tcPr>
            <w:tcW w:w="302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BCAD"/>
        </w:rPr>
        <w:t>Fiscal 2016 Net Revenue Compared to Fiscal 2015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License and Other Revenue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desktop subscription and enterprise offerings, and product revenue for Creative Finishing. Other revenue includes revenue from consulting, training, Autodesk Developers Network, and Creative Finishing customer support, and is recognized as the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281940</wp:posOffset>
            </wp:positionV>
            <wp:extent cx="97790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Total License and other revenue decreased 9% during fiscal 2016 as compared to fiscal 2015. This decrease was primarily due to an 11% decrease in product license revenue as compared to the same period in the prior fiscal year. The decrease in product license revenue was primarily due to a 14% decrease in revenue from our flagship products and a 12% decrease in our suites revenue. Product license revenue, as a percentage of license and other revenue, was 88% and 89% for fiscal 2016 and fiscal 2015, respectively.</w:t>
      </w:r>
    </w:p>
    <w:p>
      <w:pPr>
        <w:spacing w:after="0" w:line="18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fiscal 2016, the 11% decrease in product license revenue was due to an 18% decrease in the average net revenue per seat while the number of seats sold increased by 7% compared to the prior fiscal year. Starting in the first quarter of fiscal 2017, and in connection with the discontinuation of sales of individual perpetual licenses, we will stop reporting changes in revenue attributable to average net revenue per seat and number of seats sold. We are replacing these disclosures with disclosure regarding changes in ARPS disclosed within Overview above. ARPS is more relevant to determine whether changes in net revenues are attributable to increases in price or volume.</w:t>
      </w:r>
    </w:p>
    <w:p>
      <w:pPr>
        <w:spacing w:after="0" w:line="18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fiscal 2016, total other revenue represented 12% of license and other revenue, and 6% of total net revenue. Other revenue increased by 12% during fiscal 2016 as compared to fiscal 2015. This increase is primarily due to an 11% increase in revenue from consulting and a 38% increase in revenue from our consumer product offerings, partially offset by a decrease in revenue from our education products as a result of our strategic transition to offer free educational licenses of Autodesk software to students, educators, and institutions.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decreased by $9.0 million from $40.4 million at January 31, 2015 to $31.4 million at January 31, 2016. Backlog from current software license product orders that we have not yet shipped consists of orders for currently available licensed software products from customers with approved credit status.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Subscription Revenue</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software products; (2) maintenance revenue from our term-based desktop subscription and enterprise offerings; and (3) revenue from our cloud service offerings. Our maintenance program provides our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Subscription revenue increased 9% during fiscal 2016 as compared to fiscal 2015 primarily due to a 9% increase in commercial maintenance revenue. The 9% increase in commercial maintenance revenue was due to a 12% increase from commercial enrollment during the corresponding maintenance contract term, offset by a 3% decrease from net revenue per maintenance seat. Commercial maintenance revenue represented 96% of Subscription revenue for both fiscal 2016 and fiscal 2015, respectively. Starting in the first quarter of fiscal 2017, and in connection with the discontinuation of sales of individual perpetual licenses, we will stop reporting changes in revenue attributable to average net revenue per seat and number of seats sold. We are replacing these disclosures with disclosure regarding changes in ARPS disclosed within Overview above. ARPS is more relevant to determine whether changes in net revenues are attributable to increases in price or volume.</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Changes in Subscription revenue lag changes in net billings for subscription contracts because we recognize the revenue from those contracts ratably over their contract terms. Net subscription billings increased 16% during fiscal 2016 as compared to the prior fiscal year primarily due to an increase in multi-year maintenance subscription billings.</w:t>
      </w:r>
    </w:p>
    <w:p>
      <w:pPr>
        <w:spacing w:after="0" w:line="181"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Our deferred subscription revenue balance at January 31, 2016 and January 31, 2015 was $1.1 billion and $0.9 billion, respectively, and primarily related to customer maintenance agreements, which will be recognized as revenue ratably over the term of the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97790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Geographic Area</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Net revenue in the Americas geography increased by 8% as reported and 9% on a constant currency basis during fiscal 2016, as compared to the prior fiscal year, primarily due to a 20% increase in our new and adjacent product revenue and an 8% increase in our suites revenue in this geography during fiscal 2016 as compared to fiscal 2015. The increase in this geography was led by the U.S.</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Net revenue in the EMEA geography decreased by 5% on an as reported basis and increased 3% on a constant currency basis during fiscal 2016 as compared to the prior fiscal year. This decrease was primarily due to a 7% decrease in our flagship products and a 5% decrease in our suites revenue in this geography during fiscal 2016 as compared to fiscal 2015. The decrease in our revenue in this geography was led by Germany and Russia, partially offset by an increase in revenue from Ireland.</w:t>
      </w:r>
    </w:p>
    <w:p>
      <w:pPr>
        <w:spacing w:after="0" w:line="187"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Net revenue in the APAC geography decreased 6% on an as reported basis and 1% on a constant currency basis, during fiscal 2016 as compared to the prior fiscal year, primarily due to a 10% decrease in our flagship products, partially offset by an 8% increase in our new and adjacent product revenue in this geography. The decrease in revenue in this geography during fiscal 2016 was led by Japan, partially offset by an increase in revenue from China.</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revenue in emerging economies decreased 4% on an as reported basis and 2% on a constant currency basis, during fiscal 2016 as compared to the prior fiscal year, primarily due to decreases in revenue from Russia and Brazil, partially offset by an increase in revenue from China. Revenue from emerging economies represented 15% of total net revenue for both fiscal 2016 and 2015, respectively.</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International net revenue represented 68% and 71% of our total net revenue for fiscal 2016 and 2015,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four reportable segments: AEC, MFG, PSEB, and M&amp;E. We have no material inter-segment revenue.</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revenue for AEC increased by 9% during fiscal 2016 as compared to the prior fiscal year primarily due to an 8% increase in revenue from our AEC suites, which was primarily driven by Autodesk Building Design Suite and Autodesk Infrastructure Design Suite.</w:t>
      </w:r>
    </w:p>
    <w:p>
      <w:pPr>
        <w:spacing w:after="0" w:line="170"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Net revenue for MFG increased by 7% during fiscal 2016 as compared to the prior fiscal year primarily due to a 78% increase in revenue from our Delcam products as a result of including 12 months of Delcam operating results during fiscal 2016, compared to 10 months during fiscal 2015. Also contributing to the increase in net revenue for MFG during fiscal 2016 was a 12% increase in revenue from our flagship product AutoCAD Mechanical.</w:t>
      </w:r>
    </w:p>
    <w:p>
      <w:pPr>
        <w:spacing w:after="0" w:line="14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revenue for PSEB decreased by 16% during fiscal 2016 as compared to the prior fiscal year primarily due to a 26% decrease in revenue from our flagship product AutoCAD LT. Revenue from AutoCAD decreased by 4% in fiscal 2016 as compared to fiscal 2015.</w:t>
      </w:r>
    </w:p>
    <w:p>
      <w:pPr>
        <w:spacing w:after="0" w:line="1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Net revenue for M&amp;E decreased by 4% during fiscal 2016 as compared to the prior fiscal year, primarily due to a 21% decrease in revenue from Creative Finishing, partially offset by a 1% increase in revenue from Animation. The decline in Creative Finishing was marked by a decrease in revenue from Creative Finishing hardware products and by a general decrease in the M&amp;E industry end-market demand. The slight increase in Animation revenue was primarily due to a 168% increase in our Shotgun product offering as a result of including a full year of Shotgun operating results in fiscal 2016 as compared to six months during fiscal 2015, and a 7% increase in our Maya flagship product offerings, partially offset by a 46% decrease in our Middleware product offerings. M&amp;E revenue is impacted by a general decrease in the M&amp;E industry end-market demand, the planned inclusion of our M&amp;E products in other Autodesk industry suites, and the business model transition as customers are opting for desktop subscription and flexible enterprise offerings. At the beginning of the fourth quarter of fiscal 2016, we exited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139700</wp:posOffset>
            </wp:positionV>
            <wp:extent cx="97790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Creative Finishing hardware business. This was an immaterial portion of our overall business and comes with substantially lower margins, so we expect that exiting this business will improve our margins within M&amp;E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2015 Net Revenue Compared to Fiscal 2014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License and Other Revenue</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Total License and other revenue increased 7% during fiscal 2015 as compared to fiscal 2014. This increase was primarily due to a 7% increase in product license revenue as compared to the same period in the prior fiscal year. The increase in product license revenue was primarily due to an 8% increase in suites revenue and an increase of 4% in revenue from our flagship products.</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fiscal 2015, the 7% increase in product license revenue was due to a 7% increase in the average net revenue per seat while the number of seats sold remained flat compared to the prior fiscal year. Product license revenue, as a percentage of License and other revenue, was 89% for both fiscal 2015 and fiscal 2014.</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fiscal 2015, total other revenue represented 11% of license and other revenue, and 6% of total net revenue. Other revenue increased by 7% during fiscal 2015 as compared to fiscal 2014. This increase is primarily due to a 17% increase in revenue from consulting, partially offset by a 65% decrease in revenue from our education products as a result of our strategic transition to offer free educational licenses of Autodesk software to students, educators, and institutions.</w:t>
      </w:r>
    </w:p>
    <w:p>
      <w:pPr>
        <w:spacing w:after="0" w:line="18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increased by $20.7 million from $19.7 million at January 31, 2014 to $40.4 million at January 31, 2015. Backlog from current software license product orders that we have not yet shipped consists of orders for currently available licensed software products from customers with approved credit status.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Subscription Revenue</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Subscription revenue increased 15% during fiscal 2015 as compared to fiscal 2014 primarily due to a 15% increase in commercial maintenance revenue. The 15% increase in commercial maintenance revenue was due to a 9% increase from net revenue per maintenance seat and a 6% increase from commercial enrollment during the corresponding maintenance contract term. Commercial maintenance revenue represented 96% and 95% of Subscription revenue for fiscal 2015 and fiscal 2014, respectively.</w:t>
      </w:r>
    </w:p>
    <w:p>
      <w:pPr>
        <w:spacing w:after="0" w:line="18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Changes in Subscription revenue lag changes in net billings for subscription contracts because we recognize the revenue from those contracts ratably over their contract terms. Net subscription billings increased 22% during fiscal 2015 as compared to the prior fiscal year primarily due to an increase in maintenance subscription billings.</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deferred subscription revenue balance at January 31, 2015 and January 31, 2014 was $936.8 million and $789.3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Geographic Area</w:t>
      </w:r>
    </w:p>
    <w:p>
      <w:pPr>
        <w:spacing w:after="0" w:line="225"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Net revenue in the Americas geography increased by 10% as reported and on a constant currency basis during fiscal 2015, as compared to the prior fiscal year. This increase was primarily due to a 16% increase in our suites revenue and an 18% increase in our new and adjacent product revenue in this geography during fiscal 2015 as compared to fiscal 2014. The increase in this geography was led by the U.S.</w:t>
      </w:r>
    </w:p>
    <w:p>
      <w:pPr>
        <w:spacing w:after="0" w:line="166"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Net revenue in the EMEA geography increased by 15% on an as reported basis and 13% on a constant currency basis during fiscal 2015 as compared to the prior fiscal year. This increase was primarily due to a 24% increase in our suites products and a 45% increase in our new and adjacent product revenue in this geography during fiscal 2015 as compared to fiscal 2014. The increase in our revenue in this geography was led by Germany and France.</w:t>
      </w:r>
    </w:p>
    <w:p>
      <w:pPr>
        <w:spacing w:after="0" w:line="14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Net revenue in the APAC geography increased 5% on an as reported basis and 11% on a constant currency basis, during fiscal 2015 as compared to the prior fiscal year, primarily due to a 4% increase in our flagship products and a 5% increase in our suites products in this geography. Our revenue in this geography during fiscal 2015 benefited from increases in revenue from South Korea and India, partially offset by a decrease in revenue from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7790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revenue in emerging economies increased 14% on an as reported basis and 13% on a constant currency basis, during fiscal 2015 as compared to the prior fiscal year, primarily due to increases in revenue from India and Mexico. Revenue from emerging economies represented 15% of total net revenue for both fiscal 2015 and 2014.</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International net revenue represented 71% and 70% of our total net revenue for fiscal 2015 and 2014, respectively. We believe that international revenue will continue to comprise a majority of our total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Operating Segment</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Net revenue for AEC increased by 19% during fiscal 2015 as compared to the prior fiscal year primarily due to a 31% increase in revenue from our AEC suites, which was primarily driven by Autodesk Building Design Suite and Autodesk Infrastructure Design Suite.</w:t>
      </w:r>
    </w:p>
    <w:p>
      <w:pPr>
        <w:spacing w:after="0" w:line="17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Net revenue for PSEB increased by 1% during fiscal 2015 as compared to the prior fiscal year primarily due to a 3% increase in revenue from our flagship product AutoCAD LT. Revenue from AutoCAD remained flat in fiscal 2015 as compared to fiscal 2014.</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revenue for MFG increased by 17% during fiscal 2015 as compared to the prior fiscal year primarily due to the acquisition of Delcam plc ("Delcam"). Also contributing to the increase in net revenue for MFG was a 9% increase in revenue from our MFG suites, which was primarily driven by the Autodesk Product Design Suite, as compared to fiscal 2014.</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Net revenue for M&amp;E decreased by 4% during fiscal 2015 as compared to the prior fiscal year, primarily due to an 11% decrease in revenue from Creative Finishing and a 2% decrease in revenue from Animation. The decline in Creative Finishing was marked by a general decrease in the M&amp;E industry end-market demand, partially offset by a 33% increase in sales of our Creative Finishing hardware products. The decrease in Animation revenue was primarily due to a 20% decrease in revenue from our M&amp;E suites, which was driven by our Autodesk Entertainment Creation Suite, partially offset by a 5% increase in our flagship product 3ds Max.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BCAD"/>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Cost of Revenue</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Increase compared to</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prior fiscal year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7"/>
              </w:rPr>
              <w:t>Fiscal Year Ended</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2016</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2015</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200"/>
              <w:spacing w:after="0"/>
              <w:rPr>
                <w:sz w:val="20"/>
                <w:szCs w:val="20"/>
                <w:color w:val="auto"/>
              </w:rPr>
            </w:pPr>
            <w:r>
              <w:rPr>
                <w:rFonts w:ascii="Arial" w:cs="Arial" w:eastAsia="Arial" w:hAnsi="Arial"/>
                <w:sz w:val="16"/>
                <w:szCs w:val="16"/>
                <w:color w:val="auto"/>
              </w:rPr>
              <w:t>29.8</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22.5</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38.0</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84"/>
        </w:trPr>
        <w:tc>
          <w:tcPr>
            <w:tcW w:w="236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370.7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28.6</w:t>
            </w: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342.1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67.8</w:t>
            </w:r>
          </w:p>
        </w:tc>
        <w:tc>
          <w:tcPr>
            <w:tcW w:w="8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allocated IT and facilities costs, professional services fees and royalties. Direct material and overhead charges include the cost of hardware sold (mainly PC-based workstations for Creative Finishing in the M&amp;E segment), and costs associated with electronic and physical fulfillment.</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of license and other revenue increased 3% during fiscal 2016 as compared to fiscal 2015, primarily due to an increase in hardware related costs from our consumer related products, an increase in allocated IT costs, and employee related costs for product support and fulfillment driven by an increase in headcount, partially offset by a decrease in amortization of developed technology. Cost of license and other revenue increased 17% during fiscal 2015, as compared to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primarily from the acquisition of Delcam and consulting support costs associated with an increased headcount and increased professional fees related to the building out of the consulting services offered within customer contracts.</w:t>
      </w:r>
    </w:p>
    <w:p>
      <w:pPr>
        <w:spacing w:after="0" w:line="17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infrastructure, depreciation expense and operating lease payments associated with computer equipment, data center costs, salaries, related expenses of network operations, and allocated IT and facilities costs.</w:t>
      </w:r>
    </w:p>
    <w:p>
      <w:pPr>
        <w:spacing w:after="0" w:line="14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Cost of subscription revenue increased 17% during fiscal 2016 as compared to fiscal 2015 primarily due to an increase in cloud and hosting related costs in support of our business model transition, and an increase in employee related costs driven by increased employee headcount and product support costs. Cost of subscription revenue increased 40% during fiscal 2015 as compared to fiscal 2014 primarily due to higher employee related costs as a result of increased premium support headcount as well as an increase in cloud services related expenses.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cost of revenue to decrease in absolute dollars and increase as a percentage of net revenue during fiscal 2017, as compared to fiscal 2016.</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Marketing and Sales</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95"/>
              </w:rPr>
              <w:t>Increase compared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Increase compared to</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6"/>
              </w:rPr>
              <w:t>Fiscal Year Ended</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prior fiscal year</w:t>
            </w:r>
          </w:p>
        </w:tc>
        <w:tc>
          <w:tcPr>
            <w:tcW w:w="34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prior fiscal year</w:t>
            </w:r>
          </w:p>
        </w:tc>
        <w:tc>
          <w:tcPr>
            <w:tcW w:w="34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January 31, 2016</w:t>
            </w:r>
          </w:p>
        </w:tc>
        <w:tc>
          <w:tcPr>
            <w:tcW w:w="4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2015</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1,015.5</w:t>
            </w:r>
          </w:p>
        </w:tc>
        <w:tc>
          <w:tcPr>
            <w:tcW w:w="4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17.5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998.0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5"/>
              <w:spacing w:after="0"/>
              <w:rPr>
                <w:sz w:val="20"/>
                <w:szCs w:val="20"/>
                <w:color w:val="auto"/>
              </w:rPr>
            </w:pPr>
            <w:r>
              <w:rPr>
                <w:rFonts w:ascii="Arial" w:cs="Arial" w:eastAsia="Arial" w:hAnsi="Arial"/>
                <w:sz w:val="16"/>
                <w:szCs w:val="16"/>
                <w:color w:val="auto"/>
                <w:w w:val="99"/>
              </w:rPr>
              <w:t>155.4</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842.6</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processing, sales and dealer commissions, rent and occupancy, payment processing fees, the cost of supplies and equipment, and allocated IT and facilities costs.</w:t>
      </w:r>
    </w:p>
    <w:p>
      <w:pPr>
        <w:spacing w:after="0" w:line="154"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Marketing and sales expenses increased 2% during fiscal 2016, as compared to fiscal 2015, primarily due to an increase in stock based compensation expense as a result of higher fair market value of awards granted, an increase in salaries predominantly driven by increased headcount, and an increase in IT costs allocated to marketing and sales. Partially offsetting the increase in expense was a decrease in sales commission expense.</w:t>
      </w:r>
    </w:p>
    <w:p>
      <w:pPr>
        <w:spacing w:after="0" w:line="14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Marketing and sales expenses increased 18% during fiscal 2015, as compared to fiscal 2014, primarily due to higher employee-related costs from salaries, commissions, and bonuses as well as advertising and promotional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marketing and sales expense to decrease in absolute dollars and increase as a percentage of net revenue in fiscal 2017 as compared to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97790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Research and Development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Increase compared to prior fiscal year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380" w:type="dxa"/>
            <w:vAlign w:val="bottom"/>
            <w:tcBorders>
              <w:bottom w:val="single" w:sz="8" w:color="auto"/>
            </w:tcBorders>
            <w:gridSpan w:val="3"/>
            <w:vMerge w:val="continue"/>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2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right"/>
              <w:ind w:right="763"/>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2016</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2"/>
              </w:rPr>
              <w:t>January 31, 2015</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790.0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64.8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725.2</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and allocated IT and facilities costs.</w:t>
      </w:r>
    </w:p>
    <w:p>
      <w:pPr>
        <w:spacing w:after="0" w:line="16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Research and development expenses increased 9% during fiscal 2016, as compared to fiscal 2015, primarily due to an increase in employee-related costs from salaries and fringe benefits predominantly driven by increased headcount, an increase in IT costs allocated to research and development, and an increase in stock based compensation expense due to higher fair market value of awards granted.</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Research and development expenses increased 19% during fiscal 2015, as compared to fiscal 2014, primarily due to an increase in employee-related costs from salaries and bonuses and an increase in professional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research and development expense to increase in absolute dollars and as a percentage of net revenue during fiscal 2017, as compared to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General and Administrative</w:t>
      </w:r>
    </w:p>
    <w:p>
      <w:pPr>
        <w:spacing w:after="0" w:line="225" w:lineRule="exact"/>
        <w:rPr>
          <w:sz w:val="20"/>
          <w:szCs w:val="20"/>
          <w:color w:val="auto"/>
        </w:rPr>
      </w:pPr>
    </w:p>
    <w:p>
      <w:pPr>
        <w:ind w:left="60" w:right="180" w:firstLine="405"/>
        <w:spacing w:after="0" w:line="277" w:lineRule="auto"/>
        <w:rPr>
          <w:sz w:val="20"/>
          <w:szCs w:val="20"/>
          <w:color w:val="auto"/>
        </w:rPr>
      </w:pPr>
      <w:r>
        <w:rPr>
          <w:rFonts w:ascii="Arial" w:cs="Arial" w:eastAsia="Arial" w:hAnsi="Arial"/>
          <w:sz w:val="18"/>
          <w:szCs w:val="18"/>
          <w:color w:val="auto"/>
        </w:rPr>
        <w:t>For comparability, the balances at January 31, 2015 and January 31, 2014, including the table, were adjusted to align to current year presentation, and therefore the discussion has been updated accordingly.</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Increase compared to prior fiscal</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Increase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6"/>
              </w:rPr>
              <w:t>Fiscal Year Ended</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45"/>
              <w:spacing w:after="0"/>
              <w:rPr>
                <w:sz w:val="20"/>
                <w:szCs w:val="20"/>
                <w:color w:val="auto"/>
              </w:rPr>
            </w:pPr>
            <w:r>
              <w:rPr>
                <w:rFonts w:ascii="Arial" w:cs="Arial" w:eastAsia="Arial" w:hAnsi="Arial"/>
                <w:sz w:val="14"/>
                <w:szCs w:val="14"/>
                <w:b w:val="1"/>
                <w:bCs w:val="1"/>
                <w:color w:val="auto"/>
                <w:w w:val="97"/>
              </w:rPr>
              <w:t>year</w:t>
            </w: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w w:val="90"/>
              </w:rPr>
              <w:t>year</w:t>
            </w: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January 31, 2016</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2015</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293.4</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283.3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expense of communication and the cost of supplies and equipment.</w:t>
      </w:r>
    </w:p>
    <w:p>
      <w:pPr>
        <w:spacing w:after="0" w:line="14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General and administrative expenses increased 4% from fiscal 2015 to fiscal 2016 primarily due to an increase in employee-related costs from salaries predominantly driven by increased headcount. Partially offsetting the increase in expense was a decrease in certain foreign business taxes.</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General and administrative expenses increased 34% from fiscal 2014 to fiscal 2015, primarily due to an increase in employee-related costs from salaries and bonuses and an increase in professional fees.</w:t>
      </w:r>
    </w:p>
    <w:p>
      <w:pPr>
        <w:spacing w:after="0" w:line="1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general and administrative expense to increase in absolute dollars and as a percentage of net revenue during fiscal 2017, as compared to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Amortization of Purchased Intangibles</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Decrease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Increase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65"/>
              <w:spacing w:after="0"/>
              <w:rPr>
                <w:sz w:val="20"/>
                <w:szCs w:val="20"/>
                <w:color w:val="auto"/>
              </w:rPr>
            </w:pPr>
            <w:r>
              <w:rPr>
                <w:rFonts w:ascii="Arial" w:cs="Arial" w:eastAsia="Arial" w:hAnsi="Arial"/>
                <w:sz w:val="14"/>
                <w:szCs w:val="14"/>
                <w:b w:val="1"/>
                <w:bCs w:val="1"/>
                <w:color w:val="auto"/>
                <w:w w:val="97"/>
              </w:rPr>
              <w:t>year</w:t>
            </w: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w w:val="90"/>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52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2016</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2015</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33.2</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39.8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Amortization of purchased intangibles decreased 17% from fiscal 2015 to fiscal 2016, primarily related to the accumulated effects associated with amortization expense of intangible assets purchased over time, including $59.1 million in assets purchased in fiscal 2016 as compared to $164.1 million purchased in fiscal 2015.</w:t>
      </w:r>
    </w:p>
    <w:p>
      <w:pPr>
        <w:spacing w:after="0" w:line="18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Amortization of purchased intangibles increased 9% from fiscal 2014 to fiscal 2015, primarily related to the accumulated effects associated with amortization expense of intangible assets purchased over time, including $164.1 million in assets purchased in fiscal 2015 as compared to $40.3 million purchased in fiscal 2014.</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expect amortization of purchased intangibles expense to decrease in absolute dollars and remain flat as a percentage of net revenue during fiscal 2017, as compared to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Restructuring Charges, Net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Decrease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year</w:t>
            </w:r>
          </w:p>
        </w:tc>
        <w:tc>
          <w:tcPr>
            <w:tcW w:w="78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4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825"/>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4"/>
              </w:rPr>
              <w:t>January 31, 2016</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January 31, 2015</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2014</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 net</w:t>
            </w:r>
          </w:p>
        </w:tc>
        <w:tc>
          <w:tcPr>
            <w:tcW w:w="52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6"/>
                <w:szCs w:val="16"/>
                <w:color w:val="auto"/>
              </w:rPr>
              <w:t>(3.1)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520" w:type="dxa"/>
            <w:vAlign w:val="bottom"/>
          </w:tcPr>
          <w:p>
            <w:pPr>
              <w:spacing w:after="0"/>
              <w:rPr>
                <w:sz w:val="20"/>
                <w:szCs w:val="20"/>
                <w:color w:val="auto"/>
              </w:rPr>
            </w:pPr>
          </w:p>
        </w:tc>
        <w:tc>
          <w:tcPr>
            <w:tcW w:w="840" w:type="dxa"/>
            <w:vAlign w:val="bottom"/>
          </w:tcPr>
          <w:p>
            <w:pPr>
              <w:ind w:lef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During fiscal 2016, Autodesk recorded no restructuring charges. We have substantially completed the actions authorized under the previous restructuring plans. See Note 15, “Restructuring Reserves” in Notes to Consolidated Financial Statements for further discussion regarding the previous restructuring plans.</w:t>
      </w:r>
    </w:p>
    <w:p>
      <w:pPr>
        <w:spacing w:after="0" w:line="18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 February 2, 2016, our Board of Directors approved a world-wide restructuring plan that includes a reduction in force that will result in the termination of approximately 10% of the Company’s workforce, or approximately 925 employees, and the consolidation of certain leased facilities. See Note 17, "Subsequent Events (Unaudited)," for further discussion regarding the anticipated amount and timing of the expenditures related to this action.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196"/>
        </w:trPr>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(Loss) gain on foreign currency</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7790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Interest and other expense, net, decreased $16.1 million during fiscal 2016, as compared to fiscal 2015, The decrease is primarily related to non-recurring settlement gains on certain of our privately-held strategic investments and mark-to-mark gains recognized on the derivative portion on certain of our other privately-held strategic investments during the current fiscal year. Comparatively, we incurred non-recurring impairment losses on certain of our privately-held strategic investments in the same periods in the prior fiscal year. This decrease was offset by an increase in interest expense resulting from the June 2015 issuance of $450.0 million aggregate principal amount of 3.125% senior notes due June 15, 2020 and $300.0 million aggregate principal amount of 4.375% senior notes due June 15, 2025.</w:t>
      </w:r>
    </w:p>
    <w:p>
      <w:pPr>
        <w:spacing w:after="0" w:line="19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Interest and other expense, net, increased $32.8 million during fiscal 2015, as compared to fiscal 2014, primarily due to an increase in losses on our privately held strategic investments. The increase in the loss on strategic investments during fiscal 2016 as compared to fiscal 2015 is primarily due to other-than-temporary impairments on two of our privately held strategic investments and losses on the derivative portion of our strategic investments that are marked-to-market each period.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Income tax expense was $310.2 million and $1.2 million for fiscal 2016 and 2015, respectively, relative to a pre-tax loss of $20.3 million and pre-tax income of $83.0 million, respectively, for the same periods. Tax expense for fiscal 2016 consists primarily of foreign taxes and changes to valuation allowances, including a $230.8 million valuation allowance against the Company's U.S. federal and remaining state deferred tax assets recorded in the second quarter of fiscal 2016. We regularly assess the need for a valuation allowance against our deferred tax assets. In making that assessment, we consider both positive and negative evidence, whether it is more likely than not that some or all of the deferred tax assets will not be realized. In evaluating the need for a valuation allowance, we considered recent cumulative losses in the United States arising from the Company's business model transition as a significant piece of negative evidence and determined that it was more likely than not that the federal and state deferred tax assets would not be realized.</w:t>
      </w:r>
    </w:p>
    <w:p>
      <w:pPr>
        <w:spacing w:after="0" w:line="16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Income tax expense was $1.2 million and $51.1 million for fiscal 2015 and 2014, respectively, relative to pre-tax income of $83.0 million and $279.9 million, respectively, for the same periods. Our effective tax rate was 1% and 18% during fiscal 2015 and 2014, respectively. Our effective tax rate decreased seventeen percentage points from fiscal 2014 to fiscal 2015 due to an increase in tax benefits from foreign earnings taxed at different rates in fiscal 2015 compared to fiscal 2014, and increased benefit from research credits, offset in part by lower tax benefits from stock-based compensation.</w:t>
      </w:r>
    </w:p>
    <w:p>
      <w:pPr>
        <w:spacing w:after="0" w:line="15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Protecting Americans from Tax Hikes (PATH) Act of 2015 enacted on December 18, 2015 extended and made permanent the federal R&amp;D tax credit. As a result, our income tax provision for Fiscal 2016 includes a tax benefit of $9.4 million which was offset by the valuation allowance against our U.S. deferred tax assets.</w:t>
      </w:r>
    </w:p>
    <w:p>
      <w:pPr>
        <w:spacing w:after="0" w:line="181"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8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At January 31, 2016, we had non-current foreign net deferred tax assets of $9.2 million which management believes are more likely than not to be realized in future years.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2016, 2015, and 2014, our gross profit, gross margin, income from operations, operating margin, net (loss) income, and diluted net (loss) income per share on a GAAP and non-GAAP basis were as follows (in millions except for year-over-year change in total net revenue and billings, year-over-year change in net subscription revenue and billings, gross margin, operating margin,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760"/>
              <w:spacing w:after="0"/>
              <w:rPr>
                <w:sz w:val="20"/>
                <w:szCs w:val="20"/>
                <w:color w:val="auto"/>
              </w:rPr>
            </w:pPr>
            <w:r>
              <w:rPr>
                <w:rFonts w:ascii="Arial" w:cs="Arial" w:eastAsia="Arial" w:hAnsi="Arial"/>
                <w:sz w:val="14"/>
                <w:szCs w:val="14"/>
                <w:b w:val="1"/>
                <w:bCs w:val="1"/>
                <w:color w:val="auto"/>
                <w:w w:val="93"/>
              </w:rPr>
              <w:t>Fiscal Year Ended January 31,</w:t>
            </w:r>
          </w:p>
        </w:tc>
        <w:tc>
          <w:tcPr>
            <w:tcW w:w="1180" w:type="dxa"/>
            <w:vAlign w:val="bottom"/>
            <w:tcBorders>
              <w:bottom w:val="single" w:sz="8" w:color="auto"/>
            </w:tcBorders>
          </w:tcPr>
          <w:p>
            <w:pPr>
              <w:spacing w:after="0"/>
              <w:rPr>
                <w:sz w:val="16"/>
                <w:szCs w:val="16"/>
                <w:color w:val="auto"/>
              </w:rPr>
            </w:pPr>
          </w:p>
        </w:tc>
      </w:tr>
      <w:tr>
        <w:trPr>
          <w:trHeight w:val="264"/>
        </w:trPr>
        <w:tc>
          <w:tcPr>
            <w:tcW w:w="66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2014</w:t>
            </w:r>
          </w:p>
        </w:tc>
      </w:tr>
      <w:tr>
        <w:trPr>
          <w:trHeight w:val="250"/>
        </w:trPr>
        <w:tc>
          <w:tcPr>
            <w:tcW w:w="6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Year-over-year change in total net billings (1)</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1,999.6</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2,194.2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2,232.2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2,049.8</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284.8</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510.5</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228.8</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385.6</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share (2)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diluted income per share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1.68</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224.0</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6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229.6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7790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409575</wp:posOffset>
            </wp:positionV>
            <wp:extent cx="97790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year-over-year changes, gross margin, operating margin, and per share data):</w:t>
      </w:r>
    </w:p>
    <w:p>
      <w:pPr>
        <w:spacing w:after="0" w:line="163"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13335</wp:posOffset>
            </wp:positionV>
            <wp:extent cx="3087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Year-over-year change in total net revenue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Change in deferred revenue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hedge gain applicable to billings (1)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Change in acquisition related deferred revenue and other</w:t>
            </w:r>
          </w:p>
        </w:tc>
        <w:tc>
          <w:tcPr>
            <w:tcW w:w="380" w:type="dxa"/>
            <w:vAlign w:val="bottom"/>
          </w:tcPr>
          <w:p>
            <w:pPr>
              <w:spacing w:after="0"/>
              <w:rPr>
                <w:sz w:val="20"/>
                <w:szCs w:val="20"/>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1400" w:type="dxa"/>
            <w:vAlign w:val="bottom"/>
            <w:gridSpan w:val="2"/>
          </w:tcPr>
          <w:p>
            <w:pPr>
              <w:ind w:left="90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Year-over-year change in total net billings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Year-over-year change in net subscription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deferred subscription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Change in hedge gain applicable to subscription billings (1)</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90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acquisition related deferred subscription revenue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Year-over-year change in net subscription billings (1)</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2,133.4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2,170.1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1,999.6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2,194.2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2,232.2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2,049.8</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margin</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Loss on strategic investments</w:t>
            </w:r>
          </w:p>
        </w:tc>
        <w:tc>
          <w:tcPr>
            <w:tcW w:w="3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7790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58</w:t>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584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(2)</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Loss on strategic investments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Non-GAAP diluted net income per share (2)</w:t>
            </w: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6740" w:type="dxa"/>
            <w:vAlign w:val="bottom"/>
            <w:gridSpan w:val="2"/>
            <w:vMerge w:val="restart"/>
          </w:tcPr>
          <w:p>
            <w:pPr>
              <w:jc w:val="right"/>
              <w:ind w:right="5299"/>
              <w:spacing w:after="0"/>
              <w:rPr>
                <w:sz w:val="20"/>
                <w:szCs w:val="20"/>
                <w:color w:val="auto"/>
              </w:rPr>
            </w:pPr>
            <w:r>
              <w:rPr>
                <w:rFonts w:ascii="Arial" w:cs="Arial" w:eastAsia="Arial" w:hAnsi="Arial"/>
                <w:sz w:val="18"/>
                <w:szCs w:val="18"/>
                <w:color w:val="auto"/>
                <w:w w:val="89"/>
              </w:rPr>
              <w:t>_______________</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acquisition-related developed technologies and purchased intangibles. </w:t>
      </w:r>
      <w:r>
        <w:rPr>
          <w:rFonts w:ascii="Arial" w:cs="Arial" w:eastAsia="Arial" w:hAnsi="Arial"/>
          <w:sz w:val="17"/>
          <w:szCs w:val="17"/>
          <w:color w:val="auto"/>
        </w:rPr>
        <w:t>We incur amortization of acquisition-related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At January 31, 2016, our principal sources of liquidity were cash, cash equivalents, and marketable securities totaling $2.8 billion and net accounts receivable of $653.6 million. Net of long-term debt, we have cash, cash equivalents, and marketable securities totaling $1.3 billion at January 31, 2016.</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2015, we issued $450.0 million aggregate principal amount of 3.125% senior notes due June 15, 2020 and $300.0 million aggregate principal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of 4.375% senior notes due June 15, 2025. In December 2012, we issued $400.0 million aggregate principal amount of 1.95% notes due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2017 and $350.0 million aggregate principal amount of 3.6% notes due December 15, 2022 (all four series of notes collectively, the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March 23, 2016, we have $1.5 billion aggregate principal amount of Notes outstanding. In addition, we have a line of credit facility that permits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unsecured short-term borrowings of up to $400.0 million. As of March 23, 2016, we have no amounts outstanding under the credit facility. In May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Autodesk amended and restated the credit agreement to extend the facility's maturity date from May 2018 to May 2020 and to amend the financial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credit facility and the net proceeds from the offering of the Notes are available for general corporate purposes.</w:t>
      </w:r>
    </w:p>
    <w:p>
      <w:pPr>
        <w:spacing w:after="0" w:line="2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increase in our cash, cash equivalents, and marketable securities to $2.8 billion at January 31, 2016 from $2.3 billion at January 31, 2015 was primarily the result of the proceeds from the issuance of our June 2015 notes and the result of cash generated from operations. These increases to cash, cash equivalents and marketable securities were partially offset by cash used for repurchases of our common stock (net of stock issuance proceeds), acquisitions including business combinations and technology purchases, capital expenditures, and other investing activities. The cash proceeds from issuance of common stock vary based on our stock price, stock option exercise activity and the volume of employee purchases under the Employee Stock Purchase Plan.</w:t>
      </w:r>
    </w:p>
    <w:p>
      <w:pPr>
        <w:spacing w:after="0" w:line="15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primary source of net cash provided by operating activities of $414.0 million in fiscal 2016 was $578.9 million of non-cash expenses, including our deferred tax asset valuation allowance, stock-based compensation expense, and depreciation, amortization and accretion expense, offsetting our net loss of $330.5 million. In addition, net cash flow provided by changes in operating assets and liabilities was $190.6 million. The primary working capital sources of cash was an increase in deferred revenue for fiscal 2016 compared to fiscal 2015. Our days sales outstanding in trade receivables was 92 at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97790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compared to 63 at January 31, 2015. The increase in days sales outstanding primarily relates to a shift in billings linearity. The primary working capital use of cash was an increase in accounts receivable for fiscal 2016 compared to fiscal 2015.</w:t>
      </w:r>
    </w:p>
    <w:p>
      <w:pPr>
        <w:spacing w:after="0" w:line="17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At January 31, 2016, our short-term investment portfolio had an estimated fair value of $897.9 million and a cost basis of $899.0 million. The portfolio fair value consisted of $376.9 million invested in corporate debt securities, $190.3 million invested in certificates of deposit, $141.1 million invested in commercial paper, $74.6 million invested in U.S. treasury bills, $39.9 million invested in U.S. government agency securities, $20.1 million invested in sovereign debt, $9.7 million invested in municipal securities, and $7.3 million invested in asset backed securities, and $38.0 million of trading securities invested in a defined set of mutual funds as directed by the participants in our Deferred Compensation Plan (see Note 6, “Deferred Compensation,” in the Notes to Consolidated Financial Statements for further discussion).</w:t>
      </w:r>
    </w:p>
    <w:p>
      <w:pPr>
        <w:spacing w:after="0" w:line="193"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cash, cash equivalents, and marketable securities balances are concentrated in a few locations around the world, with substantial amounts held outside of the U.S. As of January 31, 2016, approximately 74%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2016 and the effect such obligations are expected to have on our liquidity and cash flows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2017</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2018-</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2020-</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80" w:hanging="412"/>
        <w:spacing w:after="0" w:line="254"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8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Notes consist of the Senior Notes issued in December 2012 and June 2015. The 2012 Senior Notes consist of $400.0 million aggregate principal amount of 1.95% senior notes due December 15, 2017 notes and $350.0 million aggregate principal amount of 3.6% senior notes due December 15, 2022. The 2015 Senior Notes consist of $450.0 million aggregate principal amount of 3.125% senior notes due June 15, 2020 and $300.0 million aggregate principal amount of 4.375% senior notes due June 15, 2025.</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enterprise subscription agreements, IT infrastructure costs, and marketing costs.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97790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and economic conditions, the number of employee stock option exercises and restricted stock unit issuances, the trading price of Autodesk common stock, cash on hand and available in the United States, cash requirements for acquisitions, and Company defined trading windows.During the three and twelve months ended January 31, 2016, we repurchased 1.6 million and 8.5 million shares of our common stock, respectively. At January 31, 2016, 6.3 million shares remained available for repurchase under our current repurchase program approved by the Board of Directors. This program does not have a fixed expiration date. See Note 9, “Stockholders' Equity,” in the Notes to Consolidated Financial Statements for further discussion.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January 31, 2016, we did not have any significant off-balance sheet arrangements other than operating leases,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8"/>
          <w:szCs w:val="18"/>
          <w:b w:val="1"/>
          <w:bCs w:val="1"/>
          <w:color w:val="0696D7"/>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2016 and 2015,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$374.0 million and $381.2 million at January 31, 2016 and 2015, respectively.</w:t>
      </w:r>
    </w:p>
    <w:p>
      <w:pPr>
        <w:spacing w:after="0" w:line="1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2016 indicated that a hypothetical 10% appreciation of the U.S. dollar from its value at January 31, 2016 and 2015 would increase the fair value of our foreign currency contracts by $33.3 million and $35.1 million, respectively. A hypothetical 10% depreciation of the dollar from its value at January 31, 2016 and 2015 would decrease the fair value of our foreign currency contracts by $25.6 million and $16.5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Interest rate movements affect both the interest income we earn on our short term investments and the market value of certain longer term securities. At January 31, 2016, we had $2,305.4 million of cash equivalents and marketable securities, including $897.9 million classified as short-term marketable securities and $532.3 million classified as long-term marketable securities. If interest rates were to move up by 50 or 100 basis points over a twelve month period, the potential decline in fair value on our marketable securities would be $5.5 million or $9.8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2, "Financial Instruments" for further discussion regarding our privately held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97790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7"/>
          <w:szCs w:val="17"/>
          <w:b w:val="1"/>
          <w:bCs w:val="1"/>
          <w:color w:val="0696D7"/>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1,226.9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1,341.4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1,254.9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1,019.0</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2,504.1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370.7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1,999.6</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790.0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2,132.1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2,049.4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1,714.8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income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$0.6, ($0.7), and $1.1)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 in net unrealized loss on available-for-sale securities (net of tax effect of $0.0, ($0.2), and $0.3)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$0.9, $1.8, and $0.6)</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$0.5, $4.9, and$2.1)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0.1</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r>
      <w:tr>
        <w:trPr>
          <w:trHeight w:val="244"/>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(loss)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233.9</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77"/>
        </w:trPr>
        <w:tc>
          <w:tcPr>
            <w:tcW w:w="8320" w:type="dxa"/>
            <w:vAlign w:val="bottom"/>
          </w:tcPr>
          <w:p>
            <w:pPr>
              <w:ind w:left="39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93"/>
        </w:trPr>
        <w:tc>
          <w:tcPr>
            <w:tcW w:w="8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1,353.0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1,410.6</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615.8</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458.9</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100.9</w:t>
            </w: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2,671.3</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273.0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86.5</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1,456.2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100.0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163.5</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5,515.3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4,909.7</w:t>
            </w:r>
          </w:p>
        </w:tc>
      </w:tr>
      <w:tr>
        <w:trPr>
          <w:trHeight w:val="73"/>
        </w:trPr>
        <w:tc>
          <w:tcPr>
            <w:tcW w:w="8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44"/>
        </w:trPr>
        <w:tc>
          <w:tcPr>
            <w:tcW w:w="8320" w:type="dxa"/>
            <w:vAlign w:val="bottom"/>
            <w:shd w:val="clear" w:color="auto" w:fill="CCEEFF"/>
          </w:tcPr>
          <w:p>
            <w:pPr>
              <w:ind w:left="2600"/>
              <w:spacing w:after="0" w:line="144"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07"/>
        </w:trPr>
        <w:tc>
          <w:tcPr>
            <w:tcW w:w="8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notes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50800</wp:posOffset>
            </wp:positionV>
            <wp:extent cx="722947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8" w:lineRule="exact"/>
        <w:rPr>
          <w:sz w:val="20"/>
          <w:szCs w:val="20"/>
          <w:color w:val="auto"/>
        </w:rPr>
      </w:pPr>
    </w:p>
    <w:p>
      <w:pPr>
        <w:ind w:left="400" w:right="30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224.4 outstanding at January 31, 2016 and 227.0 outstanding at January 31, 2015</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119.9</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100.5</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243.3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253.3</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29.4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1,068.9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900.8</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129.5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117.3</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1,591.0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1,400.1</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450.3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256.3</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161.4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158.8</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67.7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1,487.7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743.1</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81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1,821.5</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1,773.1</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(121.1)</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-2156460</wp:posOffset>
            </wp:positionV>
            <wp:extent cx="951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1,619.6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2,219.2</w:t>
            </w:r>
          </w:p>
        </w:tc>
      </w:tr>
      <w:tr>
        <w:trPr>
          <w:trHeight w:val="33"/>
        </w:trPr>
        <w:tc>
          <w:tcPr>
            <w:tcW w:w="8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581025</wp:posOffset>
            </wp:positionV>
            <wp:extent cx="97790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2016 Form 10-K 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228.8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414.0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708.1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(1,214.2)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1,376.6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742.1</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312.8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(423.8)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1,353.0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1,410.6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1,853.0</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cash flow information: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74"/>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2"/>
        </w:trPr>
        <w:tc>
          <w:tcPr>
            <w:tcW w:w="672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Net cash paid during the year for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68</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Common stock and</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88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additional paid-in capital</w:t>
            </w: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w w:val="97"/>
              </w:rPr>
              <w:t>comprehensive (loss)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980" w:type="dxa"/>
            <w:vAlign w:val="bottom"/>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6040" w:type="dxa"/>
            <w:vAlign w:val="bottom"/>
          </w:tcPr>
          <w:p>
            <w:pPr>
              <w:spacing w:after="0"/>
              <w:rPr>
                <w:sz w:val="5"/>
                <w:szCs w:val="5"/>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36"/>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2013</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Balances, January 31, 2014</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1,637.3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2,261.5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Balances, January 31, 2015</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2016</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1,619.6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Business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Principles of Consolidation</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significant intercompany accounts and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Current Period Adjustments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Subsequent to furnishing preliminary financial statements on Form 8-K on February 25, 2016 for the three and twelve months ended January 31, 2016, Autodesk identified a $4.5 million tax adjustment associated with deemed foreign withholding taxes related to non-permanently reinvested earnings in foreign jurisdictions which have not yet repatriated resulting in changes to the Consolidated Financial Statements as reflected in this Annual Report on Form 10-K. This non-cash adjustment resulted in an increase to GAAP diluted loss per share from $(1.44) to $(1.46) for the full fiscal year.</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Prior Period Adjustments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Autodesk previously established a valuation allowance against the Company’s deferred tax assets during the three months ended July 31, 2015. In the course of preparing the Condensed Consolidated Financial Statements for the three and nine months ended October 31, 2015, Autodesk determined that it had understated income tax expense by $33.1 million for the three and six months ended July 31, 2015, primarily related to an error in the establishment of the valuation allowance, which had been understated at July 31, 2015. Autodesk performed the analysis required by Staff Accounting Bulletin 99, </w:t>
      </w:r>
      <w:r>
        <w:rPr>
          <w:rFonts w:ascii="Arial" w:cs="Arial" w:eastAsia="Arial" w:hAnsi="Arial"/>
          <w:sz w:val="17"/>
          <w:szCs w:val="17"/>
          <w:i w:val="1"/>
          <w:iCs w:val="1"/>
          <w:color w:val="auto"/>
        </w:rPr>
        <w:t>Materiality</w:t>
      </w:r>
      <w:r>
        <w:rPr>
          <w:rFonts w:ascii="Arial" w:cs="Arial" w:eastAsia="Arial" w:hAnsi="Arial"/>
          <w:sz w:val="17"/>
          <w:szCs w:val="17"/>
          <w:color w:val="auto"/>
        </w:rPr>
        <w:t>, to evaluate the materiality of the error, quantitatively and qualitatively, and concluded it was not material to the Company’s Condensed Consolidated Financial Statements as of July 31, 2015 and for the three and six month periods ended July 31, 2015. However, in light of the significance of a correction of the error to the results for the three months ended October 31, 2015, Autodesk chose to correct the error by revising the previously reported results for the three and six months ended July 31, 2015, to include the additional $33.1 million of non-cash income tax expense associated with the establishment of the valuation allowance. See Note 16, "Selected Quarterly Financial Information (Unaudited)," in the Notes to the Condensed Consolidated Financial Statements for further discussion.</w:t>
      </w:r>
    </w:p>
    <w:p>
      <w:pPr>
        <w:spacing w:after="0" w:line="17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During the quarter ended April 30, 2015, Autodesk determined that it had not correctly accounted for certain liabilities primarily related to employee benefits and unclaimed property. As a result, we recorded $5.7 million of additional operating expenses related to prior periods. As these adjustments were related to the correction of errors, Autodesk performed the analysis required by Staff Accounting Bulletin 99, Materiality, and Staff Accounting Bulletin 108, </w:t>
      </w:r>
      <w:r>
        <w:rPr>
          <w:rFonts w:ascii="Arial" w:cs="Arial" w:eastAsia="Arial" w:hAnsi="Arial"/>
          <w:sz w:val="17"/>
          <w:szCs w:val="17"/>
          <w:i w:val="1"/>
          <w:iCs w:val="1"/>
          <w:color w:val="auto"/>
        </w:rPr>
        <w:t>Considering the Effects of Prior Year Misstatements When Quantifying Misstatements in Current Year Financial Statements</w:t>
      </w:r>
      <w:r>
        <w:rPr>
          <w:rFonts w:ascii="Arial" w:cs="Arial" w:eastAsia="Arial" w:hAnsi="Arial"/>
          <w:sz w:val="17"/>
          <w:szCs w:val="17"/>
          <w:color w:val="auto"/>
        </w:rPr>
        <w:t>. Based on this analysis, Autodesk</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the effect of the errors was not material to the financial position, results of operations or cash flows of any prior fiscal year from both a quantitative and qualitative perspective and is not material to the full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97790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Reclassifications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second quarter of fiscal 2015, Autodesk elected to present amortization of purchased customer relationships, trade names, patents, and user lists as a separate line item within operating expenses. As a result, amortization previously reflected in “General and Administrative” expense was reclassified to “Amortization of Purchased Intangibles" within Operating Expenses. These expenses have been reclassified in the Consolidated Statements of Operations for fiscal years 2015 and 2014 to conform to the current period presentation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w w:val="93"/>
              </w:rPr>
              <w:t>Fiscal year ended January 31,</w:t>
            </w:r>
          </w:p>
        </w:tc>
      </w:tr>
      <w:tr>
        <w:trPr>
          <w:trHeight w:val="264"/>
        </w:trPr>
        <w:tc>
          <w:tcPr>
            <w:tcW w:w="9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260" w:type="dxa"/>
            <w:vAlign w:val="bottom"/>
          </w:tcPr>
          <w:p>
            <w:pPr>
              <w:ind w:left="180"/>
              <w:spacing w:after="0"/>
              <w:rPr>
                <w:sz w:val="20"/>
                <w:szCs w:val="20"/>
                <w:color w:val="auto"/>
              </w:rPr>
            </w:pPr>
            <w:r>
              <w:rPr>
                <w:rFonts w:ascii="Arial" w:cs="Arial" w:eastAsia="Arial" w:hAnsi="Arial"/>
                <w:sz w:val="16"/>
                <w:szCs w:val="16"/>
                <w:color w:val="auto"/>
              </w:rPr>
              <w:t>(Decrease) to general and administrative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3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to amortization of purchased intangibles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36.5</w:t>
            </w:r>
          </w:p>
        </w:tc>
      </w:tr>
      <w:tr>
        <w:trPr>
          <w:trHeight w:val="33"/>
        </w:trPr>
        <w:tc>
          <w:tcPr>
            <w:tcW w:w="9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Use of Estimates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Examples of significant estimates and assumptions made by management involve the determination of the fair value of acquired assets and liabilities, goodwill, financial instruments, long-lived assets and other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Foreign Currency Translation and Transactions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(loss) income.</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 remeasured using foreign currency exchange rates at the end of the period, and non-monetary assets are remeasured based on historical exchange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285750</wp:posOffset>
            </wp:positionV>
            <wp:extent cx="97790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Marketable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48"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 The cost of securities sold is based on the specific-identification method.</w:t>
      </w:r>
    </w:p>
    <w:p>
      <w:pPr>
        <w:spacing w:after="0" w:line="15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For additional information, see “Concentration of Credit Risk” within this Note 1 and Note 2, “Financial Instruments.”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700.1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7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The reserves associated with the partner incentive program are treated on the balance sheet as either contra account receivable (when due to distributors and direct resellers) or accounts payable (when due to indirect resellers).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97790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Concentration of Credit Risk</w:t>
      </w:r>
    </w:p>
    <w:p>
      <w:pPr>
        <w:spacing w:after="0" w:line="225"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2015</w:t>
            </w:r>
          </w:p>
        </w:tc>
      </w:tr>
      <w:tr>
        <w:trPr>
          <w:trHeight w:val="236"/>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Other Americas</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and Africa (“EMEA”)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Asia Pacific (“APAC”)</w:t>
            </w: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3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25%, 25%, and 24% of Autodesk's net revenue for fiscal years ended January 31, 2016, 2015, and 2014, respectively. The majority of the net revenue from sales to Tech Data relates to Autodesk's Platform Solutions and Emerging Business ("PSEB") segment and is for sales made outside of the United States. In addition, Tech Data accounted for 22% of trade accounts receivable at both January 31, 2016 and 2015,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Computer Equipment, Software, Furniture, and Leasehold Improvements, Net</w:t>
      </w:r>
    </w:p>
    <w:p>
      <w:pPr>
        <w:spacing w:after="0" w:line="22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$60.6 million in fiscal 2016, $52.1 million in fiscal 2015, and $47.2 million in fiscal 2014.</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84.9</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(380.9)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Software Development Costs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 year period, if material. Autodesk had no material capitalized software development costs at January 31, 2016 and January 31, 2015.</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Other Intangible Assets, Net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one to ten years. Amortization expense for developed technologies, customer relationships, trade names, patents, and user lists was $82.6 million in fiscal 2016, $92.9 million in fiscal 2015 and $80.7 million in fiscal 2014.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348.9</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(796.2)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(715.4)</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Included in “Other assets” in the accompanying Condensed Consolidated Balance Sheets.</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Includes the effects of foreign currency translation.</w:t>
      </w:r>
    </w:p>
    <w:p>
      <w:pPr>
        <w:spacing w:after="0" w:line="203"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weighted average amortization period for developed technologies, customer relationships, and trade names during fiscal 2016 was 4.2 years. Expected future amortization expense for developed technologies, customer relationships, trade names, patents, and user lists for each of the fiscal years ended thereafter is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63.1</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33.8</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13.4</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4.5</w:t>
            </w:r>
          </w:p>
        </w:tc>
      </w:tr>
      <w:tr>
        <w:trPr>
          <w:trHeight w:val="33"/>
        </w:trPr>
        <w:tc>
          <w:tcPr>
            <w:tcW w:w="9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146.8</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Goodwill</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Goodwill consists of the excess of the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w:t>
      </w:r>
    </w:p>
    <w:p>
      <w:pPr>
        <w:spacing w:after="0" w:line="14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Autodesk has the option to perform an assessment of qualitative factors of impairment (“optional assessment”) prior to necessitating a two-step quantitative impairment test. Should the optional assessment be utilized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7790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reporting unit is greater than its carrying value, then performing the two-step impairment test is unnecessary.</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utilize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forecast results.</w:t>
      </w:r>
    </w:p>
    <w:p>
      <w:pPr>
        <w:spacing w:after="0" w:line="16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For the annual impairment assessment in fiscal 2016, Autodesk utilized the optional assessment for the following reporting units: Platform Solutions and Emerging Business (“PSEB”), Manufacturing ("MFG"), Architecture, Engineering, and Construction ("AEC"), and Media and Entertainment (“M&amp;E”). Based on a review of the qualitative factors described above, Autodesk determined that it was more likely than not that the fair value of each of the reporting units exceeded the carrying value. As a result, Autodesk concluded that performing the two-step impairment test was not necessary, and therefore the goodwill of the PSEB, MFG, AEC, and M&amp;E reporting units were not impaired during the fiscal year ended January 31, 2016.</w:t>
      </w:r>
    </w:p>
    <w:p>
      <w:pPr>
        <w:spacing w:after="0" w:line="158"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For the Delcam reporting unit, Autodesk deemed the two-step impairment test was necessary and used a discounted cash flow model which included assumptions regarding projected cash flows. Based on this testing, Autodesk estimated fair value was 16% in excess of the carrying value for the Delcam reporting unit and determined there was no impairment of goodwill during the year ended January 31, 2016. In addition, Autodesk did not recognize any goodwill impairment losses in fiscal 2015 or 2014.</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Estimating the fair value of the reporting units requires the use of estimates and significant judgments regarding future cash flows that are based on a number of factors including actual operating results, forecasted billings, revenue, and spend targets, discount rate assumptions, and long-term growth rate assumptions. The estimates and judgments described above could adversely change in future periods and Autodesk cannot provide absolute assurance that all of the targets will be achieved, which could lead to future impairment charges.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fiscal year ended January 31,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Platform</w:t>
            </w: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Architecture,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Media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Engineering, and</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Delcam (1)</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Emerging Business</w:t>
            </w: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Entertainment</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2015</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327.5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327.5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netfabb GmbH</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 acquired from other acquisitions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accounting adjustments, and other</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4"/>
        </w:trPr>
        <w:tc>
          <w:tcPr>
            <w:tcW w:w="3540" w:type="dxa"/>
            <w:vAlign w:val="bottom"/>
          </w:tcPr>
          <w:p>
            <w:pPr>
              <w:ind w:left="40"/>
              <w:spacing w:after="0"/>
              <w:rPr>
                <w:sz w:val="20"/>
                <w:szCs w:val="20"/>
                <w:color w:val="auto"/>
              </w:rPr>
            </w:pPr>
            <w:r>
              <w:rPr>
                <w:rFonts w:ascii="Arial" w:cs="Arial" w:eastAsia="Arial" w:hAnsi="Arial"/>
                <w:sz w:val="16"/>
                <w:szCs w:val="16"/>
                <w:color w:val="auto"/>
              </w:rPr>
              <w:t>Balance as of January 31, 2016</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1,684.2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Delcam is a separate reporting unit within the Manufacturing ("MFG") reporting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294640</wp:posOffset>
            </wp:positionV>
            <wp:extent cx="97790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2016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fiscal year ended January 31,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Platform</w:t>
            </w: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Architecture,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Media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Engineering, and</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Delcam (1)</w:t>
            </w: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Emerging Business</w:t>
            </w: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Entertainment</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2014</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142.3</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415.2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142.3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Delcam plc</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80"/>
        <w:spacing w:after="0"/>
        <w:rPr>
          <w:sz w:val="20"/>
          <w:szCs w:val="20"/>
          <w:color w:val="auto"/>
        </w:rPr>
      </w:pPr>
      <w:r>
        <w:rPr>
          <w:rFonts w:ascii="Arial" w:cs="Arial" w:eastAsia="Arial" w:hAnsi="Arial"/>
          <w:sz w:val="16"/>
          <w:szCs w:val="16"/>
          <w:color w:val="auto"/>
        </w:rPr>
        <w:t>Within Technologies Limited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Shotgun Software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acquired from other acquisitions</w:t>
      </w:r>
    </w:p>
    <w:p>
      <w:pPr>
        <w:spacing w:after="0" w:line="86" w:lineRule="exact"/>
        <w:rPr>
          <w:sz w:val="20"/>
          <w:szCs w:val="20"/>
          <w:color w:val="auto"/>
        </w:rPr>
      </w:pPr>
    </w:p>
    <w:p>
      <w:pPr>
        <w:ind w:left="540" w:right="200" w:hanging="161"/>
        <w:spacing w:after="0" w:line="342" w:lineRule="auto"/>
        <w:rPr>
          <w:sz w:val="20"/>
          <w:szCs w:val="20"/>
          <w:color w:val="auto"/>
        </w:rPr>
      </w:pPr>
      <w:r>
        <w:rPr>
          <w:rFonts w:ascii="Arial" w:cs="Arial" w:eastAsia="Arial" w:hAnsi="Arial"/>
          <w:sz w:val="14"/>
          <w:szCs w:val="14"/>
          <w:color w:val="auto"/>
        </w:rPr>
        <w:t>Effect of foreign currency translation, purchase accounting adjustments, and other</w:t>
      </w:r>
    </w:p>
    <w:p>
      <w:pPr>
        <w:ind w:left="40"/>
        <w:spacing w:after="0"/>
        <w:rPr>
          <w:sz w:val="20"/>
          <w:szCs w:val="20"/>
          <w:color w:val="auto"/>
        </w:rPr>
      </w:pPr>
      <w:r>
        <w:rPr>
          <w:rFonts w:ascii="Arial" w:cs="Arial" w:eastAsia="Arial" w:hAnsi="Arial"/>
          <w:sz w:val="16"/>
          <w:szCs w:val="16"/>
          <w:color w:val="auto"/>
        </w:rPr>
        <w:t>Balance as of January 31, 2015</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impairment losses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80.6</w:t>
            </w: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80.6</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117.8</w:t>
            </w:r>
          </w:p>
        </w:tc>
        <w:tc>
          <w:tcPr>
            <w:tcW w:w="4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181.3</w:t>
            </w:r>
          </w:p>
        </w:tc>
      </w:tr>
      <w:tr>
        <w:trPr>
          <w:trHeight w:val="459"/>
        </w:trPr>
        <w:tc>
          <w:tcPr>
            <w:tcW w:w="620" w:type="dxa"/>
            <w:vAlign w:val="bottom"/>
          </w:tcPr>
          <w:p>
            <w:pPr>
              <w:jc w:val="right"/>
              <w:ind w:right="119"/>
              <w:spacing w:after="0"/>
              <w:rPr>
                <w:sz w:val="20"/>
                <w:szCs w:val="20"/>
                <w:color w:val="auto"/>
              </w:rPr>
            </w:pPr>
            <w:r>
              <w:rPr>
                <w:rFonts w:ascii="Arial" w:cs="Arial" w:eastAsia="Arial" w:hAnsi="Arial"/>
                <w:sz w:val="16"/>
                <w:szCs w:val="16"/>
                <w:color w:val="auto"/>
                <w:w w:val="95"/>
              </w:rPr>
              <w:t>(13.2)</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33"/>
        </w:trPr>
        <w:tc>
          <w:tcPr>
            <w:tcW w:w="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01"/>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327.5</w:t>
            </w:r>
          </w:p>
        </w:tc>
        <w:tc>
          <w:tcPr>
            <w:tcW w:w="44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1,605.4</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327.5</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-1307465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-964565</wp:posOffset>
            </wp:positionV>
            <wp:extent cx="7246620" cy="995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3660" w:space="680"/>
            <w:col w:w="70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-130175</wp:posOffset>
            </wp:positionV>
            <wp:extent cx="49999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Delcam is a separate reporting unit within the Manufacturing ("MFG") reporting segment.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Purchase accounting adjustments reflect revisions made to the Company’s preliminary purchase price allocations during fiscal 2016 and 2015.</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Impairment of Long-Lived Assets</w:t>
      </w:r>
    </w:p>
    <w:p>
      <w:pPr>
        <w:spacing w:after="0" w:line="225" w:lineRule="exact"/>
        <w:rPr>
          <w:sz w:val="20"/>
          <w:szCs w:val="20"/>
          <w:color w:val="auto"/>
        </w:rPr>
      </w:pPr>
    </w:p>
    <w:p>
      <w:pPr>
        <w:ind w:right="260" w:firstLine="405"/>
        <w:spacing w:after="0" w:line="285"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flows the assets are expected to generate. If the long-lived assets are considered to be impaired, the impairment to be recognized is equal to the amount by which the carrying value of the assets exceeds its fair market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value. Autodesk did not recognize any material impairments of long-lived assets during the fiscal years ended January 31, 2016, 2015, and 2014, respectively.</w:t>
      </w:r>
    </w:p>
    <w:p>
      <w:pPr>
        <w:spacing w:after="0" w:line="23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Deferred Tax Assets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unremitted earnings from certain foreign subsidiaries, acquired intangibles, and valuation allowances against U.S. and foreign deferred tax assets. Autodesk performed a quarterly assessment of the recoverability of these net deferred tax assets and believe that we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97790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76</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Revenue Recognition</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17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multiple element arrangements containing only software and software-related elements,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element,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service period in the arrangement. Revenue recognition for significant lines of business is discussed further below.</w:t>
      </w:r>
    </w:p>
    <w:p>
      <w:pPr>
        <w:spacing w:after="0" w:line="16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For multiple element arrangements involving non-software elements, including cloud subscription services, our revenue recognition policy is based upon the accounting guidance contained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these arrangements, Autodesk first allocates the total arrangement consideration based on the relative selling prices of the software group of elements as a whole and the non-software elements. Autodesk then further allocates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5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Autodesk allocates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Autodesk performs a quantitative analysis of pricing data points for historical standalone transactions involving such elements for a twelve-month period. As part of this analysis, Autodesk monitors and evaluates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Autodesk offers products and services, and the type of customer (i.e. distributor, value-added reseller, and direct end user, among others). Autodesk analyzes BESP at least annually or on a more frequent basis if a significant change in our business necessitates a more timely analysis, or if significant selling price variances are experienced.</w:t>
      </w:r>
    </w:p>
    <w:p>
      <w:pPr>
        <w:spacing w:after="0" w:line="167"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In situations when Autodesk has multiple contracts with a single counterparty, Autodesk uses the guidance in ASC 985-605 to evaluate both the form and the substance of the arrangements to determine if they should be combined and accounted for as one arrangement or as separate arrangements.</w:t>
      </w:r>
    </w:p>
    <w:p>
      <w:pPr>
        <w:spacing w:after="0" w:line="124"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cash is received.</w:t>
      </w:r>
    </w:p>
    <w:p>
      <w:pPr>
        <w:spacing w:after="0" w:line="17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License and other revenue consists of two components: product license revenue and other revenue. Product license revenue includes software license revenue from the sale of perpetual licenses,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Autodesk's Subscription revenue consists of two components: maintenance revenue for our software products and revenue for our cloud service offerings, including Autodesk 360. Autodesk's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Autodesk's maintenance program, customers are eligible to receive unspecified upgrades when and if available, downloadable training courses, and online support. Autodesk recognizes maintenance revenue ratably over the term of the maintenance agreement, which is generally between one and three years but can occasionally be as long as five years. Revenue for Autodesk's cloud service offerings is recognized ratably over the contract term commencing with the date Autodesk's service is made available to customers and all other revenue recognition criteria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Taxes Collected from Customers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for fiscal 2016, 2015, and 2014, respectively,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subscription</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43.7</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197.2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195.6</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95.8</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Merton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2640" w:type="dxa"/>
            <w:vAlign w:val="bottom"/>
            <w:tcBorders>
              <w:bottom w:val="single" w:sz="8" w:color="auto"/>
            </w:tcBorders>
            <w:gridSpan w:val="3"/>
          </w:tcPr>
          <w:p>
            <w:pPr>
              <w:jc w:val="center"/>
              <w:ind w:left="63"/>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Pr>
          <w:p>
            <w:pPr>
              <w:spacing w:after="0"/>
              <w:rPr>
                <w:sz w:val="24"/>
                <w:szCs w:val="24"/>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2015</w:t>
            </w:r>
          </w:p>
        </w:tc>
        <w:tc>
          <w:tcPr>
            <w:tcW w:w="12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2014</w:t>
            </w:r>
          </w:p>
        </w:tc>
        <w:tc>
          <w:tcPr>
            <w:tcW w:w="0" w:type="dxa"/>
            <w:vAlign w:val="bottom"/>
          </w:tcPr>
          <w:p>
            <w:pPr>
              <w:spacing w:after="0"/>
              <w:rPr>
                <w:sz w:val="1"/>
                <w:szCs w:val="1"/>
                <w:color w:val="auto"/>
              </w:rPr>
            </w:pPr>
          </w:p>
        </w:tc>
      </w:tr>
      <w:tr>
        <w:trPr>
          <w:trHeight w:val="152"/>
        </w:trPr>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Unit</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Unit</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tcPr>
          <w:p>
            <w:pPr>
              <w:jc w:val="center"/>
              <w:ind w:left="43"/>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28 -29%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29 - 33%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27 - 36%</w:t>
            </w: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7"/>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70"/>
        </w:trPr>
        <w:tc>
          <w:tcPr>
            <w:tcW w:w="1380" w:type="dxa"/>
            <w:vAlign w:val="bottom"/>
          </w:tcPr>
          <w:p>
            <w:pPr>
              <w:jc w:val="center"/>
              <w:ind w:left="43"/>
              <w:spacing w:after="0"/>
              <w:rPr>
                <w:sz w:val="20"/>
                <w:szCs w:val="20"/>
                <w:color w:val="auto"/>
              </w:rPr>
            </w:pPr>
            <w:r>
              <w:rPr>
                <w:rFonts w:ascii="Arial" w:cs="Arial" w:eastAsia="Arial" w:hAnsi="Arial"/>
                <w:sz w:val="16"/>
                <w:szCs w:val="16"/>
                <w:color w:val="auto"/>
                <w:w w:val="93"/>
              </w:rPr>
              <w:t>0.2%</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0.1 - 0.7%</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0.0 - 0.6%</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-673100</wp:posOffset>
            </wp:positionV>
            <wp:extent cx="722947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-321310</wp:posOffset>
            </wp:positionV>
            <wp:extent cx="72294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300"/>
          </w:cols>
          <w:pgMar w:left="240" w:top="125" w:right="259" w:bottom="1440" w:gutter="0" w:footer="0" w:header="0"/>
          <w:type w:val="continuous"/>
        </w:sectPr>
      </w:pPr>
    </w:p>
    <w:p>
      <w:pPr>
        <w:spacing w:after="0" w:line="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2016, 2015, or 2014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78</w:t>
      </w:r>
    </w:p>
    <w:p>
      <w:pPr>
        <w:sectPr>
          <w:pgSz w:w="11900" w:h="16838" w:orient="portrait"/>
          <w:cols w:equalWidth="0" w:num="1">
            <w:col w:w="11400"/>
          </w:cols>
          <w:pgMar w:left="240" w:top="125" w:right="25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Advertising Expenses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$29.8 million in fiscal 2016, $23.9 million in fiscal 2015, and $15.6 million in fiscal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Net (Loss) Income Per Share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Basic net (loss) income per share is computed based on the weighted average number of shares of common stock outstanding for the period, excluding stock options and restricted stock units. Diluted net (loss)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8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Certain events, such as changes in the employee base, plan amendments, and changes in actuarial assumptions may result in a change in the defined benefit obligation and the corresponding change to other comprehensive income.</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(loss) income in the Consolidated Statements of Comprehensive (Loss)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Accounting Standards in Fiscal 2016</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the FASB or adopted by the Company during the fiscal year ended January 31, 2016, that are of significance, or potential significance, to the Company.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Accounting Standards Adopted</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Effective in the fourth quarter of fiscal 2016, Autodesk elected to early adopt FASB's Accounting Standards Update No. 2015-17 ("ASU 2015-17") regarding ASC Topic 470 "Income Taxes: Balance Sheet Classification of Deferred Taxes." The amendments in ASU 2015-17 require deferred tax assets and liabilities, along with any related valuation allowances, to be classified as noncurrent on the consolidated balance sheet. The amendments for ASU-2015-17 were prospectively applied. Prior periods were not retrospectively adjusted and remain presented as current or non-current in accordance with the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124460</wp:posOffset>
            </wp:positionV>
            <wp:extent cx="97790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accounting guidance. Adoption of ASU 2015-17 did not have a material impact on Autodesk's consolidated financial statements.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Effective in the third quarter of fiscal 2016, Autodesk elected to early adopt FABS's Accounting Standards Update No. 2015-16 ("ASU 2015-16") regarding ASC Topic 805 "Business Combinations: Simplifying the Accounting for Measurement-Period Adjustments." The amendments in ASU 2015-16 eliminate the requirement to restate prior period financial statements for measurement period adjustments. The amendments also require that the cumulative impact of a measurement period adjustment (including the impact on prior periods) be recognized in the reporting period in which the adjustment is identified. The amendments for ASU-2015-16 were prospectively applied and did not have a material impact on Autodesk's consolidated financial statements.</w:t>
      </w:r>
    </w:p>
    <w:p>
      <w:pPr>
        <w:spacing w:after="0" w:line="15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Effective in the second quarter of fiscal 2016, Autodesk elected to early adopt FASB's Accounting Standards Update 2015-03 (“ASU 2015-03”) regarding Subtopic 835-30 “Interest - Imputation of Interest: Simplifying the Presentation of Debt Issuance Costs.” The amendments in ASU 2015-03 require that debt issuance costs related to a recognized debt liability be presented in the balance sheet as a direct deduction from the carrying amount of that debt liability, consistent with debt discounts. The standard requires retrospective application and represents a change in accounting principle. The adoption of ASU 2015-03 resulted in a $4.1 million retrospective reduction of both our other assets and long term notes payable, net, as of January 31, 2015.</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Recently Issued Accounting Standards</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February 2016, the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ASU 2016-02 will be effective for Autodesk’s fiscal year beginning February 1, 2019 unless Autodesk elects early adoption.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January 2016, the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are effective for annual and interim periods beginning after December 15, 2017.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is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May 2015, the FASB issued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in ASU 2015-07 are effective for annual and interim periods beginning after December 15, 2015. Early adoption is permitted. The amendments should be applied retrospectively by removing from the fair value hierarchy any investments for which fair value is measured using the net asset value per share practical expedient. Autodesk does not expect ASU 2015-07 to have a material impact on its consolidated financial statements.</w:t>
      </w:r>
    </w:p>
    <w:p>
      <w:pPr>
        <w:spacing w:after="0" w:line="19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April 2015, the FASB issued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in ASU 2015-05 are effective for annual and interim periods beginning after December 15, 2015. Early adoption is permitted. The amendments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97790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ASU 2015-05 may be applied either prospectively to all arrangements entered into or materially modified after the effective date or retrospectively. Autodesk does not expect ASU 2015-05 to have a material impact on its consolidated financial statements.</w:t>
      </w:r>
    </w:p>
    <w:p>
      <w:pPr>
        <w:spacing w:after="0" w:line="170"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the FASB issued ASU 2015-14 to defer the effective date by one year with early adoption permitted as of the original effective date. ASU 2014-09 will be effective for Autodesk’s fiscal year beginning February 1, 2018 unless we elect the earlier date of February 1, 2017. In addition, the FASB issued ASU 2016-08 in March 2016, to help provide interpretive clarifications on the new guidance in ASC Topic 606. Autodesk is currently evaluating the accounting, transition, and disclosure requirements of the standard and cannot currently estimate the financial statement impact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276225</wp:posOffset>
            </wp:positionV>
            <wp:extent cx="97790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January 31, 2016</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Short-term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treasury bills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Agency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392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2,310.6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1,594.4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97790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Corporate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Custody cash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available for 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 for 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2016.</w:t>
      </w:r>
    </w:p>
    <w:p>
      <w:pPr>
        <w:spacing w:after="0" w:line="17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2016 Form 10-K 83</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2016 and 2015 was as follows:</w:t>
      </w:r>
    </w:p>
    <w:p>
      <w:pPr>
        <w:spacing w:after="0" w:line="16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29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9"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23495</wp:posOffset>
            </wp:positionV>
            <wp:extent cx="2229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Convertible Debt</w:t>
            </w:r>
          </w:p>
        </w:tc>
        <w:tc>
          <w:tcPr>
            <w:tcW w:w="180" w:type="dxa"/>
            <w:vAlign w:val="bottom"/>
          </w:tcPr>
          <w:p>
            <w:pPr>
              <w:spacing w:after="0"/>
              <w:rPr>
                <w:sz w:val="14"/>
                <w:szCs w:val="14"/>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2014</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796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7960" w:type="dxa"/>
            <w:vAlign w:val="bottom"/>
          </w:tcPr>
          <w:p>
            <w:pPr>
              <w:ind w:left="380"/>
              <w:spacing w:after="0"/>
              <w:rPr>
                <w:sz w:val="20"/>
                <w:szCs w:val="20"/>
                <w:color w:val="auto"/>
              </w:rPr>
            </w:pPr>
            <w:r>
              <w:rPr>
                <w:rFonts w:ascii="Arial" w:cs="Arial" w:eastAsia="Arial" w:hAnsi="Arial"/>
                <w:sz w:val="16"/>
                <w:szCs w:val="16"/>
                <w:color w:val="auto"/>
              </w:rPr>
              <w:t>Losses included in interest and other expense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Balances, January 31, 2015</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796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interest and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960" w:type="dxa"/>
            <w:vAlign w:val="bottom"/>
          </w:tcPr>
          <w:p>
            <w:pPr>
              <w:ind w:left="380"/>
              <w:spacing w:after="0"/>
              <w:rPr>
                <w:sz w:val="20"/>
                <w:szCs w:val="20"/>
                <w:color w:val="auto"/>
              </w:rPr>
            </w:pPr>
            <w:r>
              <w:rPr>
                <w:rFonts w:ascii="Arial" w:cs="Arial" w:eastAsia="Arial" w:hAnsi="Arial"/>
                <w:sz w:val="16"/>
                <w:szCs w:val="16"/>
                <w:color w:val="auto"/>
              </w:rPr>
              <w:t>Gains included in OCI</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4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January 31, 2016</w:t>
            </w: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849.0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542.5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543.2</w:t>
            </w:r>
          </w:p>
        </w:tc>
      </w:tr>
      <w:tr>
        <w:trPr>
          <w:trHeight w:val="33"/>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5 years through 10 years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6"/>
              </w:rPr>
              <w:t>1,395.1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1,395.6</w:t>
            </w:r>
          </w:p>
        </w:tc>
      </w:tr>
      <w:tr>
        <w:trPr>
          <w:trHeight w:val="33"/>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31, 2016 and 2015, Autodesk did not have any material securities in a continuous unrealized loss position for greater than twelve months.</w:t>
      </w:r>
    </w:p>
    <w:p>
      <w:pPr>
        <w:spacing w:after="0" w:line="248"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As of January 31, 2016 and 2015 Autodesk had $104.3 million and $52.6 million, respectively, in direct investments of privately held companies accounted for under the cost method. The increase from fiscal 2015 was primarily due to an approximately $27.4 million investment in FIT AG that was entered into simultaneously with the netfabb GmbH acquisition. Refer to Note 5. "Acquisitions" for further discussion regarding the acquisition and investment. The privately held investments are periodically assessed for other-than-temporary impairment. If Autodesk determines that an other-than-temporary impairment has occurred, Autodesk writes down the investment to its estimated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fiscal 2016, Autodesk recorded $0.2 million in other-than-temporary impairment on its privately held equity and debt investments. During fiscal 2015, Autodesk recorded $19.2 million other-than-temporary impairment on its privately held equity and debt investments. The impairment expense was recorded in “Interest and other expense, net” on the Company's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84</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right="180" w:firstLine="405"/>
        <w:spacing w:after="0" w:line="264" w:lineRule="auto"/>
        <w:rPr>
          <w:sz w:val="20"/>
          <w:szCs w:val="20"/>
          <w:color w:val="auto"/>
        </w:rPr>
      </w:pPr>
      <w:r>
        <w:rPr>
          <w:rFonts w:ascii="Arial" w:cs="Arial" w:eastAsia="Arial" w:hAnsi="Arial"/>
          <w:sz w:val="18"/>
          <w:szCs w:val="18"/>
          <w:color w:val="auto"/>
        </w:rPr>
        <w:t>The sales or settlement of “available-for-sale securities” in fiscal 2016, 2015, and 2014 resulted in a gain of $0.1 million, a gain of $0.7 million, and a loss of $0.2 million, respectively. The losses and gains were recorded in "Interest and other expense, net" on the Company's Consolidated Statement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the sale and maturity of marketable securities for fiscal 2016 and fiscal 2015 were $1.7 billion and $1.2 billion, respectively.</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Foreign currency contracts designated as cash flow hedges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Consolidated Financial Statements at that time.</w:t>
      </w:r>
    </w:p>
    <w:p>
      <w:pPr>
        <w:spacing w:after="0" w:line="1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net notional amount of these contracts are presented net settled and were $142.4 million at January 31, 2016 and $336.6 million at January 31, 2015. Outstanding contracts are recognized as either assets or liabilities on the Consolidated Balance Sheet at fair value. The majority of the net gain of $15.7 million remaining in “Accumulated other comprehensive loss” as of January 31, 2016 is expected to be recognized into earnings within the next twelve months.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Derivatives not designated as hedging instruments</w:t>
      </w:r>
    </w:p>
    <w:p>
      <w:pPr>
        <w:spacing w:after="0" w:line="22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$231.6 million at January 31, 2016 and $44.6 million at January 31, 2015.</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policy,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net,” in each period.</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Fair Value of Derivative Instruments: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2016 and January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January 31,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700" w:type="dxa"/>
            <w:vAlign w:val="bottom"/>
            <w:shd w:val="clear" w:color="auto" w:fill="CCEEFF"/>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0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assets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6"/>
                <w:szCs w:val="16"/>
                <w:color w:val="auto"/>
              </w:rPr>
              <w:t>Total derivative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700" w:type="dxa"/>
            <w:vAlign w:val="bottom"/>
            <w:tcBorders>
              <w:bottom w:val="single" w:sz="8" w:color="CCEEFF"/>
            </w:tcBorders>
          </w:tcPr>
          <w:p>
            <w:pPr>
              <w:spacing w:after="0"/>
              <w:rPr>
                <w:sz w:val="6"/>
                <w:szCs w:val="6"/>
                <w:color w:val="auto"/>
              </w:rPr>
            </w:pPr>
          </w:p>
        </w:tc>
        <w:tc>
          <w:tcPr>
            <w:tcW w:w="25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Derivative Liabilities</w:t>
            </w: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7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6"/>
                <w:szCs w:val="16"/>
                <w:color w:val="auto"/>
              </w:rPr>
              <w:t>Total derivative liabilities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720" w:type="dxa"/>
            <w:vAlign w:val="bottom"/>
            <w:gridSpan w:val="2"/>
            <w:vMerge w:val="restart"/>
          </w:tcPr>
          <w:p>
            <w:pPr>
              <w:jc w:val="right"/>
              <w:ind w:right="4279"/>
              <w:spacing w:after="0"/>
              <w:rPr>
                <w:sz w:val="20"/>
                <w:szCs w:val="20"/>
                <w:color w:val="auto"/>
              </w:rPr>
            </w:pPr>
            <w:r>
              <w:rPr>
                <w:rFonts w:ascii="Arial" w:cs="Arial" w:eastAsia="Arial" w:hAnsi="Arial"/>
                <w:sz w:val="18"/>
                <w:szCs w:val="18"/>
                <w:color w:val="auto"/>
                <w:w w:val="89"/>
              </w:rPr>
              <w:t>_______________</w:t>
            </w: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20" w:hanging="412"/>
        <w:spacing w:after="0" w:line="249"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$5.1 million and $23.8 million at January 31, 2016 and January 31, 2015, respectively.</w:t>
      </w:r>
    </w:p>
    <w:p>
      <w:pPr>
        <w:ind w:left="420" w:right="20" w:hanging="412"/>
        <w:spacing w:after="0" w:line="257"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$5.1 million and $8.7 million at January 31, 2016 and January 31, 2015, respectively.</w:t>
      </w:r>
    </w:p>
    <w:p>
      <w:pPr>
        <w:spacing w:after="0" w:line="18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2016, 2015, and 2014, respectively (amounts presented include any income tax effects):</w:t>
      </w:r>
    </w:p>
    <w:p>
      <w:pPr>
        <w:spacing w:after="0" w:line="10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of gain recognized in accumulated other comprehensive income on derivatives (effective portion)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8"/>
              </w:rPr>
              <w:t>Amount and location of gain reclassified from accumulated other comprehensive income into income (effective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portion)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gain recognized in income on derivatives (ineffective portion and amount excluded from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7790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2016, 2015, and 2014, respectively (amounts presented include any income tax effects):</w:t>
      </w:r>
    </w:p>
    <w:p>
      <w:pPr>
        <w:spacing w:after="0" w:line="10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2014</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w w:val="98"/>
              </w:rPr>
              <w:t>Amount and location of (loss) gain recognized in income on derivatives not designated as hedging instruments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12.8</w:t>
            </w:r>
          </w:p>
        </w:tc>
      </w:tr>
    </w:tbl>
    <w:p>
      <w:pPr>
        <w:spacing w:after="0" w:line="231"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 Plans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January 31, 2016, Autodesk maintained two active stock plans for the purpose of granting equity awards to employees and to non-employee members of Autodesk’s Board of Directors: the 2012 Employee Stock Plan (as amended, the “2012 Employee Plan”), which is available only to employees, and the Autodesk 2012 Outside Directors’ Stock Plan (“2012 Directors' Plan”), which is available only to non-employee directors. Additionally, there are two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June 10, 2015, Autodesk's stockholders approved amendments to the 2012 Employee Plan, which increased the number of shares reserved for issuance under the plan by 12.5 million shares. The 2012 Employee Plan replaced the 2008 Employee Stock Plan, as amended ("2008 Plan"), and no further equity awards may be granted under the 2008 Plan. The 2012 Employee Plan reserves up to 45.1 million shares which includes 39.1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2016, 29.2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2016, 18.6 million shares were available for future issuance under the 2012 Employee Plan.</w:t>
      </w:r>
    </w:p>
    <w:p>
      <w:pPr>
        <w:spacing w:after="0" w:line="16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2016, 0.7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2016, 1.0 million shares were available for future issuance under the 2012 Director's Plan.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87</w:t>
      </w:r>
    </w:p>
    <w:p>
      <w:pPr>
        <w:sectPr>
          <w:pgSz w:w="11900" w:h="16838" w:orient="portrait"/>
          <w:cols w:equalWidth="0" w:num="1">
            <w:col w:w="11420"/>
          </w:cols>
          <w:pgMar w:left="240" w:top="1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i w:val="1"/>
                <w:iCs w:val="1"/>
                <w:color w:val="32BCAD"/>
              </w:rPr>
              <w:t>Stock Options: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00" w:type="dxa"/>
            <w:vAlign w:val="bottom"/>
            <w:gridSpan w:val="5"/>
          </w:tcPr>
          <w:p>
            <w:pPr>
              <w:ind w:left="420"/>
              <w:spacing w:after="0"/>
              <w:rPr>
                <w:sz w:val="20"/>
                <w:szCs w:val="20"/>
                <w:color w:val="auto"/>
              </w:rPr>
            </w:pPr>
            <w:r>
              <w:rPr>
                <w:rFonts w:ascii="Arial" w:cs="Arial" w:eastAsia="Arial" w:hAnsi="Arial"/>
                <w:sz w:val="18"/>
                <w:szCs w:val="18"/>
                <w:color w:val="auto"/>
                <w:w w:val="92"/>
              </w:rPr>
              <w:t>A summary of stock option activity for the fiscal year ended January 31, 2016 is as follows:</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24"/>
                <w:szCs w:val="24"/>
                <w:color w:val="auto"/>
              </w:rPr>
            </w:pPr>
          </w:p>
        </w:tc>
        <w:tc>
          <w:tcPr>
            <w:tcW w:w="104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5"/>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Intrinsic Value (2)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22"/>
                <w:szCs w:val="22"/>
                <w:color w:val="auto"/>
              </w:rPr>
            </w:pPr>
          </w:p>
        </w:tc>
        <w:tc>
          <w:tcPr>
            <w:tcW w:w="1040" w:type="dxa"/>
            <w:vAlign w:val="bottom"/>
          </w:tcPr>
          <w:p>
            <w:pPr>
              <w:jc w:val="center"/>
              <w:ind w:right="10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2015</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34.46</w:t>
            </w:r>
          </w:p>
        </w:tc>
        <w:tc>
          <w:tcPr>
            <w:tcW w:w="1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2"/>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30.88</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2"/>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Options vested, exercisable and outstanding at January 31, 2016</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37.06</w:t>
            </w:r>
          </w:p>
        </w:tc>
        <w:tc>
          <w:tcPr>
            <w:tcW w:w="1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6"/>
                <w:szCs w:val="16"/>
                <w:color w:val="auto"/>
              </w:rPr>
              <w:t>Options available for grant at January 31, 2016</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gridSpan w:val="2"/>
            <w:vMerge w:val="continue"/>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Autodesk did not grant stock options in the twelve months ended January 31, 2016.</w:t>
      </w:r>
    </w:p>
    <w:p>
      <w:pPr>
        <w:spacing w:after="0" w:line="9"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$46.82 per share as of January 31, 2016, which would have been received by the option holders had all option holders exercised their options as of that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31, 2016, compensation cost related to stock options has been fully recognized.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fiscal years ended January 31, 2016, 2015, and 2014:</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1"/>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intrinsic value of options exercised (1)</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149.0</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right"/>
              <w:ind w:right="2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 average exercise</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price per share</w:t>
            </w:r>
          </w:p>
        </w:tc>
      </w:tr>
      <w:tr>
        <w:trPr>
          <w:trHeight w:val="210"/>
        </w:trPr>
        <w:tc>
          <w:tcPr>
            <w:tcW w:w="7900" w:type="dxa"/>
            <w:vAlign w:val="bottom"/>
            <w:shd w:val="clear" w:color="auto" w:fill="CCEEFF"/>
          </w:tcPr>
          <w:p>
            <w:pPr>
              <w:jc w:val="right"/>
              <w:ind w:right="5519"/>
              <w:spacing w:after="0"/>
              <w:rPr>
                <w:sz w:val="20"/>
                <w:szCs w:val="20"/>
                <w:color w:val="auto"/>
              </w:rPr>
            </w:pPr>
            <w:r>
              <w:rPr>
                <w:rFonts w:ascii="Arial" w:cs="Arial" w:eastAsia="Arial" w:hAnsi="Arial"/>
                <w:sz w:val="16"/>
                <w:szCs w:val="16"/>
                <w:color w:val="auto"/>
                <w:w w:val="89"/>
              </w:rPr>
              <w:t>Range of per-share exercise prices: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$12.31 - $34.70</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27.34</w:t>
            </w:r>
          </w:p>
        </w:tc>
      </w:tr>
      <w:tr>
        <w:trPr>
          <w:trHeight w:val="33"/>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jc w:val="right"/>
              <w:ind w:right="6399"/>
              <w:spacing w:after="0"/>
              <w:rPr>
                <w:sz w:val="20"/>
                <w:szCs w:val="20"/>
                <w:color w:val="auto"/>
              </w:rPr>
            </w:pPr>
            <w:r>
              <w:rPr>
                <w:rFonts w:ascii="Arial" w:cs="Arial" w:eastAsia="Arial" w:hAnsi="Arial"/>
                <w:sz w:val="16"/>
                <w:szCs w:val="16"/>
                <w:color w:val="auto"/>
              </w:rPr>
              <w:t>$36.06 - $41.62</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40.62</w:t>
            </w: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$42.39 - $43.81</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43.80</w:t>
            </w:r>
          </w:p>
        </w:tc>
      </w:tr>
      <w:tr>
        <w:trPr>
          <w:trHeight w:val="33"/>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37.06</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88</w:t>
      </w:r>
    </w:p>
    <w:p>
      <w:pPr>
        <w:sectPr>
          <w:pgSz w:w="11900" w:h="16838" w:orient="portrait"/>
          <w:cols w:equalWidth="0" w:num="1">
            <w:col w:w="11420"/>
          </w:cols>
          <w:pgMar w:left="240" w:top="108"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for the fiscal year ended January 31,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Unreleased 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units at January 31, 2015</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7,801.3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4,035.1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(473.9)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Unvested restricted stock units at January 31, 2016</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7,739.6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6899"/>
              <w:spacing w:after="0"/>
              <w:rPr>
                <w:sz w:val="20"/>
                <w:szCs w:val="20"/>
                <w:color w:val="auto"/>
              </w:rPr>
            </w:pPr>
            <w:r>
              <w:rPr>
                <w:rFonts w:ascii="Arial" w:cs="Arial" w:eastAsia="Arial" w:hAnsi="Arial"/>
                <w:sz w:val="18"/>
                <w:szCs w:val="18"/>
                <w:color w:val="auto"/>
                <w:w w:val="89"/>
              </w:rPr>
              <w:t>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67"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Autodesk's financial results for the performance period, the fiscal 2015, 2014 and 2013 performance stock units were earned at 113.8%, 65.8%</w:t>
      </w:r>
      <w:r>
        <w:rPr>
          <w:rFonts w:ascii="Arial" w:cs="Arial" w:eastAsia="Arial" w:hAnsi="Arial"/>
          <w:sz w:val="18"/>
          <w:szCs w:val="18"/>
          <w:color w:val="auto"/>
        </w:rPr>
        <w:t>, and</w:t>
      </w:r>
      <w:r>
        <w:rPr>
          <w:rFonts w:ascii="Arial" w:cs="Arial" w:eastAsia="Arial" w:hAnsi="Arial"/>
          <w:sz w:val="16"/>
          <w:szCs w:val="16"/>
          <w:color w:val="auto"/>
        </w:rPr>
        <w:t xml:space="preserve"> 92.3% of the target award, respectively. The vesting of the 2013 performance stock units was subject to the holders satisfying the remaining service condition of the awards, which ended in March 2015.</w:t>
      </w:r>
    </w:p>
    <w:p>
      <w:pPr>
        <w:spacing w:after="0" w:line="18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the restricted stock units granted during fiscal years ended January 31, 2016, 2015, and 2014, the weighted average grant date fair value was $52.53, $54.17, and $42.37, respectively. The fair value of the shares vested during fiscal years ended January 31, 2016, 2015, and 2014 was $193.3 million, $147.8 million, and $87.0 million, respectively.</w:t>
      </w:r>
    </w:p>
    <w:p>
      <w:pPr>
        <w:spacing w:after="0" w:line="15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During the fiscal year ended January 31, 2016, Autodesk granted 3.6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$146.4 million, $118.9 million, and $74.9 million during fiscal years ended January 31, 2016, 2015, and 2014, respectively. As of January 31, 2016, total compensation cost not yet recognized of $248.2 million related to non-vested awards, is expected to be recognized over a weighted average period of 1.8 years. At January 31, 2016, the number of restricted stock units granted but unvested was 6.9 million.</w:t>
      </w:r>
    </w:p>
    <w:p>
      <w:pPr>
        <w:spacing w:after="0" w:line="16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During the fiscal year ended January 31, 2016, Autodesk granted 0.4 million performance stock units ("PSUs") for which the ultimate number of shares earned is determined based on the achievement of performance criteria at the end of the stated performance period. The performance criteria are based upon billings and subscriptions goals adopted by the Compensation and Human Resource Committee (the “Annual Financial Results”), as well as total stockholder return compared against the S&amp;P Computer Software Select Index (“Relative TSR”). Each PSU covers a three year period:</w:t>
      </w:r>
    </w:p>
    <w:p>
      <w:pPr>
        <w:spacing w:after="0" w:line="171" w:lineRule="exact"/>
        <w:rPr>
          <w:sz w:val="20"/>
          <w:szCs w:val="20"/>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performance restricted stock units is expensed using the accelerated attribution method over the vesting period. Autodesk recorded stock-based compensation expense related to PSUs of $23.2 million, $17.5 million, and $8.7 million during fiscal years ended January 31, 2016, 2015, and 2014 respectively. As of January 31, 2016, total compensation cost not yet recognized of $3.6 million related to non-vested PSUs, is expected to be recognized over a weighted average period of 0.8 years. At January 31, 2016, the number of PSUs granted but unvested was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283845</wp:posOffset>
            </wp:positionV>
            <wp:extent cx="97790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1998 Employee Qualified Stock Purchase Plan (“ESP Plan”)</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2016, a total of 43.3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issued 2.1 million shares under the ESP Plan at an average price of $36.29 per share in fiscal 2016, 2.1 million shares at an average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$33.91 per share in fiscal 2015, and 2.9 million shares at an average price of $22.61 per share in fiscal 2014. The weighted average grant date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awards granted under the ESP Plan during fiscal 2016, 2015, and 2014, calculated as of the award grant date using the BSM option pricing model,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$11.85, $15.14, and $11.80 per share, respectively. Autodesk recorded $27.1 million, $23.9 million, and $22.9 million of compensation expense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ESP Plan in fiscal 2016, 2015, and 2014,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Equity Compensation Plan Information</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 exercise</w:t>
            </w:r>
          </w:p>
        </w:tc>
        <w:tc>
          <w:tcPr>
            <w:tcW w:w="3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price of outstanding options</w:t>
            </w: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37.06</w:t>
            </w:r>
          </w:p>
        </w:tc>
        <w:tc>
          <w:tcPr>
            <w:tcW w:w="1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ind w:left="2200"/>
              <w:spacing w:after="0"/>
              <w:rPr>
                <w:sz w:val="20"/>
                <w:szCs w:val="20"/>
                <w:color w:val="auto"/>
              </w:rPr>
            </w:pPr>
            <w:r>
              <w:rPr>
                <w:rFonts w:ascii="Arial" w:cs="Arial" w:eastAsia="Arial" w:hAnsi="Arial"/>
                <w:sz w:val="16"/>
                <w:szCs w:val="16"/>
                <w:color w:val="auto"/>
              </w:rPr>
              <w:t>62.9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4"/>
              <w:spacing w:after="0"/>
              <w:rPr>
                <w:sz w:val="20"/>
                <w:szCs w:val="20"/>
                <w:color w:val="auto"/>
              </w:rPr>
            </w:pPr>
            <w:r>
              <w:rPr>
                <w:rFonts w:ascii="Arial" w:cs="Arial" w:eastAsia="Arial" w:hAnsi="Arial"/>
                <w:sz w:val="16"/>
                <w:szCs w:val="16"/>
                <w:color w:val="auto"/>
              </w:rPr>
              <w:t>37.06</w:t>
            </w:r>
          </w:p>
        </w:tc>
        <w:tc>
          <w:tcPr>
            <w:tcW w:w="120" w:type="dxa"/>
            <w:vAlign w:val="bottom"/>
          </w:tcPr>
          <w:p>
            <w:pPr>
              <w:spacing w:after="0"/>
              <w:rPr>
                <w:sz w:val="21"/>
                <w:szCs w:val="21"/>
                <w:color w:val="auto"/>
              </w:rPr>
            </w:pPr>
          </w:p>
        </w:tc>
        <w:tc>
          <w:tcPr>
            <w:tcW w:w="2600" w:type="dxa"/>
            <w:vAlign w:val="bottom"/>
            <w:tcBorders>
              <w:top w:val="single" w:sz="8" w:color="auto"/>
              <w:bottom w:val="single" w:sz="8" w:color="auto"/>
            </w:tcBorders>
          </w:tcPr>
          <w:p>
            <w:pPr>
              <w:ind w:left="2200"/>
              <w:spacing w:after="0"/>
              <w:rPr>
                <w:sz w:val="20"/>
                <w:szCs w:val="20"/>
                <w:color w:val="auto"/>
              </w:rPr>
            </w:pPr>
            <w:r>
              <w:rPr>
                <w:rFonts w:ascii="Arial" w:cs="Arial" w:eastAsia="Arial" w:hAnsi="Arial"/>
                <w:sz w:val="16"/>
                <w:szCs w:val="16"/>
                <w:color w:val="auto"/>
              </w:rPr>
              <w:t>62.9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362"/>
              <w:spacing w:after="0"/>
              <w:rPr>
                <w:sz w:val="20"/>
                <w:szCs w:val="20"/>
                <w:color w:val="auto"/>
              </w:rPr>
            </w:pPr>
            <w:r>
              <w:rPr>
                <w:rFonts w:ascii="Arial" w:cs="Arial" w:eastAsia="Arial" w:hAnsi="Arial"/>
                <w:sz w:val="18"/>
                <w:szCs w:val="18"/>
                <w:color w:val="auto"/>
                <w:w w:val="88"/>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Included in this amount are 43.3 million securities available for future issuance under Autodesk’s ESP Plan.</w:t>
      </w:r>
    </w:p>
    <w:p>
      <w:pPr>
        <w:spacing w:after="0" w:line="176"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29.1</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63.9</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67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310.2</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51.1</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Pursuant to accounting standards related to stock-based compensation, the Company has unrecorded excess stock option tax benefits of $233.8 million as of January 31, 2016. These amounts will be credited to additional paid-in-capital when such amounts reduce cash taxes payable. Foreign pretax income was $218.2 million in fiscal 2016, $302.5 million in fiscal 2015, and $380.5 million in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90</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at U.S. Federal statutory rate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345.0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Autodesk's tax expense was increased by $345.0 million during fiscal 2016 for valuation allowances reducing the Company's U.S. federal and state deferred tax assets to the amount more likely than not to be realized. The effective tax rate impact includes valuation allowances against the deferred tax assets that existed at the beginning of fiscal 2016, and valuation allowances to offset tax attributes generated during fiscal 2016.</w:t>
      </w:r>
    </w:p>
    <w:p>
      <w:pPr>
        <w:spacing w:after="0" w:line="16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Protecting Americans from Tax Hikes (PATH) Act of 2015 enacted on December 18, 2015 extended and made permanent the federal R&amp;D tax credit. As a result, our income tax provision for Fiscal 2016 includes a tax benefit that reduced our effective annual tax rate. We recorded federal R&amp;D tax benefits of $9.4 million, $7.2 million and $8.8 million during fiscal 2016, 2015, and 2014, respectively. As of January 31, 2016, the deferred tax asset balances for U.S federal and state R&amp;D tax credits were offset by a valuation allowance.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(398.0)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Indefinite lived intangibles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valuation allowance increased by $327.2 million, $3.6 million, and $15.9 million in fiscal 2016, 2015, and 2014, respectively. The fiscal 2016, 2015, and 2014 changes in valuation allowance were primarily related to U.S. and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2016 Form 10-K 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deferred taxes. Autodesk recorded a $230.8 million valuation allowance against the Company's U.S. federal and remaining state deferred tax assets recorded in the second quarter of fiscal 2016. Autodesk regularly assesses the need for a valuation allowance against its deferred tax assets. In making that assessment, Autodesk considers both positive and negative evidence, whether it is more likely than not that some or all of the deferred tax assets will not be realized. In evaluating the need for a valuation allowance, Autodesk considered recent cumulative losses in the United States arising from the Company's business model transition as a significant piece of negative evidence and determined that it was not more likely than not that the federal and remaining state deferred tax assets would be realized. As Autodesk continually strives to optimize our overall business model, tax planning strategies may become feasible and prudent allowing us to realize many of the deferred tax assets which are offset by a valuation allowance; therefore, Autodesk will continue to evaluate the realizability of our net deferred tax assets each quarter, both in the US and in foreign jurisdictions, based on all available evidence, both positive and negative.</w:t>
      </w:r>
    </w:p>
    <w:p>
      <w:pPr>
        <w:spacing w:after="0" w:line="16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Autodesk provides U.S. income taxes on the earnings of foreign subsidiaries, except to the extent subsidiaries' earnings are considered permanently reinvested outside the U.S. As of January 31, 2016, the cumulative amount of earnings upon which U.S. income taxes have not been provided was $1,942.2 million. The unrecognized deferred tax liability for these earnings was approximately $544.3 million.</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Realization of foreign non-current net deferred tax assets of $9.2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determines that it is not more likely than not to realize such deferred tax assets.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of January 31, 2016, Autodesk had $222.7 million of cumulative federal tax loss carryforwards and $258.9 million of cumulative state tax loss carryforwards, which may be available to reduce future income tax liabilities in certain jurisdictions. These federal and state tax loss carryforwards will expire beginning fiscal 2019 through fiscal 2037 and fiscal 2019 through fiscal 2037, respectively. Autodesk also had $6.0 million of cumulative UK tax loss carryforwards, which may be available to reduce future income tax liabilities indefinitely. Autodesk had $6.8 million of cumulative federal and state capital loss carryforwards as of January 31, 2016 which are available to offset future capital gains through fiscal 2019.</w:t>
      </w:r>
    </w:p>
    <w:p>
      <w:pPr>
        <w:spacing w:after="0" w:line="17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of January 31, 2016, Autodesk had $116.2 million of cumulative federal research tax credit carryforwards, $60.9 million of cumulative California state research tax credit carryforwards, and $50.4 million of cumulative Canadian federal tax credit carryforwards, which may be available to reduce future income tax liabilities in the respective jurisdictions. The federal tax credit carryforwards will expire beginning fiscal 2021 through fiscal 2037, the state credit carryforwards may reduce future California income tax liabilities indefinitely, and the Canadian tax credit carryforwards will expire beginning fiscal 2027 through fiscal 2037. Autodesk also has $185.4 million of cumulative foreign tax credit carryforwards, which may be available to reduce future U. S. tax liabilities. The foreign tax credit will expire beginning fiscal 2019 through fiscal 2027.</w:t>
      </w:r>
    </w:p>
    <w:p>
      <w:pPr>
        <w:spacing w:after="0" w:line="17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12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As a result of certain business and employment actions and capital investments undertaken by Autodesk, income earned in certain Europe and Asia Pacific countries is subject to reduced tax rates through fiscal 2016 and 2020, respectively with extensions available with incremental business and employment actions. We have no net income tax benefits attributable to the tax status of these business arrangements in fiscal 2016, compared to $1.2 million ($0.01 basic net income per share) in fiscal 2015, and $9.7 million ($0.04 basic net income per share) in fiscal 2014. The income tax benefits were offset by accruals of U.S. income taxes on undistributed earnings, among other factors.</w:t>
      </w:r>
    </w:p>
    <w:p>
      <w:pPr>
        <w:spacing w:after="0" w:line="1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January 31, 2016, the company had $254.3 million of gross unrecognized tax benefits, of which $236.8 million would impact the effective tax rate, if recognized. However, this rate impact would be offset to the extent that recognition of unrecognized tax benefits currently presented as a reduction of deferred tax assets would increase the valuation allowance.</w:t>
      </w:r>
    </w:p>
    <w:p>
      <w:pPr>
        <w:spacing w:after="0" w:line="18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It is possible that the amount of unrecognized tax benefits will change in the next twelve months; however an estimate of the range of the possible change cannot be made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245.8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Autodesk had $3.3 million, $2.0 million, and $2.8 million, net of tax benefit, accrued for interest and penalties related to unrecognized tax benefits as of January 31, 2016, 2015, and 2014, respectively.</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Autodesk's U.S. and state income tax returns for fiscal year 2003 through fiscal year 2016 remain open to examination. In addition, Autodesk files tax returns in multiple foreign taxing jurisdictions with open tax years ranging from fiscal year 2004 to 2016.</w:t>
      </w:r>
    </w:p>
    <w:p>
      <w:pPr>
        <w:spacing w:after="0" w:line="177"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fiscal years ended January 31, 2016 and January 31, 2015, Autodesk completed the business combinations and technology purchases described below. The results of operations for the following acquisitions are included in the accompanying Consolidated Statement of Operations since their respective acquisition dates. Pro forma results of operations have not been presented because the effects of the following acquisitions, individually and in the aggregate, were not material to Autodesk's Consolidated Financial Statements.</w:t>
      </w:r>
    </w:p>
    <w:p>
      <w:pPr>
        <w:spacing w:after="0" w:line="18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Fiscal 2016 Acquisitions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November 12, 2015, Autodesk closed a share purchase agreement with FIT AG (“FIT”) to acquire all of the outstanding shares of netfabb GmbH ("netfabb") for approximately $42.5 million cash consideration. Autodesk simultaneously entered into an investment agreement with FIT to invest approximately $27.4 million cash to acquire an equity interest in FIT. netfabb is a German-based provider of industrial grade additive manufacturing software solutions supporting most major 3D printers. FIT is a German-based provider of rapid prototyping and additive design and manufacturing services. The acquisition of netfabb is expected to provide Autodesk with software solutions that will reduce production costs and increase efficiency in 3D printing and additive manufacturing. netfabb will be integrated into Autodesk's PSEB segment. The amount of goodwill that is expected to be deductible for U.S. income tax purposes is $29.8 million.</w:t>
      </w:r>
    </w:p>
    <w:p>
      <w:pPr>
        <w:spacing w:after="0" w:line="1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fiscal year ended January 31, 2016, Autodesk also completed several other business combinations and technology acquisitions for total cash consideration of $106.8 million. These business combinations and technology acquisitions were not material individually or in aggregate to Autodesk's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netfabb</w:t>
            </w:r>
          </w:p>
        </w:tc>
        <w:tc>
          <w:tcPr>
            <w:tcW w:w="160" w:type="dxa"/>
            <w:vAlign w:val="bottom"/>
          </w:tcPr>
          <w:p>
            <w:pPr>
              <w:spacing w:after="0"/>
              <w:rPr>
                <w:sz w:val="16"/>
                <w:szCs w:val="16"/>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236"/>
        </w:trPr>
        <w:tc>
          <w:tcPr>
            <w:tcW w:w="9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12.9</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64.5</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17"/>
        </w:trPr>
        <w:tc>
          <w:tcPr>
            <w:tcW w:w="9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106.8</w:t>
            </w:r>
          </w:p>
        </w:tc>
      </w:tr>
      <w:tr>
        <w:trPr>
          <w:trHeight w:val="33"/>
        </w:trPr>
        <w:tc>
          <w:tcPr>
            <w:tcW w:w="9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netfabb and certain other business combinations, the allocation of purchase price consideration to certain assets and liabilities is not yet finalized. Autodesk's estimates and assumptions are subject to change within the measurement period (up to one year from the acquisition date). For netfabb, the primary areas of the preliminary purchase price allocation that are not yet finalized are amounts for tax assets and liabilities, pending finalization of estimates and assumptions in respect of certain tax aspects of the transaction and residual goodwill, as well as pending finalization of the valuation of certain intangible assets accounted for as part of the business combination. For certain other business combinations,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Fiscal 2015 Acquisitions</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June 27, 2014, Autodesk acquired Shotgun Software, Inc. (“Shotgun”) for total consideration of $54.5 million, of which $51.2 million was cash consideration. Prior to acquiring Shotgun, Autodesk had a convertible debt investment in the company with an acquisition-date fair value of $3.3 million using a market approach to value the investment. Shotgun was a privately-owned company that provided a cloud-based production management solution that enabled digital studios to track, schedule, review, and collaborate on projects and images. Shotgun has been integrated into, and the related goodwill was assigned to, Autodesk's M&amp;E segment. Goodwill is not expected to be deductible for U.S. income tax purposes.</w:t>
      </w:r>
    </w:p>
    <w:p>
      <w:pPr>
        <w:spacing w:after="0" w:line="1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May 29, 2014, Autodesk acquired all the outstanding shares of Within Technologies Limited ("Within Technologies”) for total cash consideration of $88.0 million. Autodesk used its non-U.S.-based cash for the transaction. Within Technologies is a United Kingdom based developer of design and simulation software for next generation manufacturing processes. The Within Technologies acquisition is expected to accelerate Autodesk’s development of tools and technologies for advanced manufacturing. Within Technologies has been integrated into Autodesk’s PSEB reportable segment. The amount of goodwill that is expected to be deductible for U.S. income tax purposes is $78.9 million.</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6, 2014, Autodesk acquired the entire issued and to be issued share capital of Delcam plc (“Delcam”), for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has been integrated into Autodesk's MFG reportable segment. The amount of goodwill that is expected to be deductible for U.S. income tax purposes is $166.0 million.</w:t>
      </w:r>
    </w:p>
    <w:p>
      <w:pPr>
        <w:spacing w:after="0" w:line="19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fiscal year ended January 31, 2015, Autodesk also completed 21 other business combination and technology acquisitions for total cash consideration of approximately $234.5 million. These business combinations and technology acquisitions were not material individually or in aggregate to Autodesk's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Shotgun</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Within</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Delcam</w:t>
            </w:r>
          </w:p>
        </w:tc>
        <w:tc>
          <w:tcPr>
            <w:tcW w:w="160" w:type="dxa"/>
            <w:vAlign w:val="bottom"/>
          </w:tcPr>
          <w:p>
            <w:pPr>
              <w:spacing w:after="0"/>
              <w:rPr>
                <w:sz w:val="16"/>
                <w:szCs w:val="16"/>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180.6</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234.5</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At January 31, 2016, Autodesk had marketable securities totaling $1,430.2 million, of which $38.0 million related to investments in debt and equity securities that are held in a rabbi trust under non-qualified deferred compensation plans. The total related deferred compensation liability was $38.0 million at January 31, 2016, of which $1.9 million was classified as current and $36.1 million was classified as non-current liabilities. The total related deferred compensation liability at January 31, 2015 was $40.3 million, of which $5.3 million was classified as current and $35.0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“Other liabilities,” respectively.</w:t>
      </w:r>
    </w:p>
    <w:p>
      <w:pPr>
        <w:spacing w:after="0" w:line="161"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June 2015, Autodesk issued $450.0 million aggregate principal amount of 3.125% senior notes due June 15, 2020 and $300.0 million aggregate principal amount of 4.375% senior notes due June 15, 2025 (collectively, the “2015 Senior Notes”). Autodesk received net proceeds of $742.0 million from issuance of the 2015 Senior Notes, net of a discount of $1.7 million and issuance costs of $6.3 million. Both the discount and issuance costs are being amortized to interest expense over the respective terms of the 2015 Senior Notes using the effective interest method. The proceeds of the 2015 Senior Notes are available for general corporate purposes. Autodesk may redeem the 2015 Senior Notes at any time, subject to a make whole premium. In addition, upon the occurrence of certain change of control triggering events, Autodesk may be required to repurchase the 2015 Senior Notes, at a price equal to 101% of their principal amount, plus accrued and unpaid interest to the date of repurchase. The 2015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2015 Senior Notes was approximately $756.9 million as of January 31, 2016.</w:t>
      </w:r>
    </w:p>
    <w:p>
      <w:pPr>
        <w:spacing w:after="0" w:line="17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"2012 Senior Notes"). Autodesk received net proceeds of $739.3 million from issuance of the 2012 Senior Notes, net of a discount of $4.5 million and issuance costs of $6.1 million. Both the discount and issuance costs are being amortized to interest expense over the respective terms of the 2012 Senior Notes using the effective interest method. The proceeds of the 2012 Senior Notes are available for general corporate purposes. Autodesk may redeem the 2012 Senior Notes at any time, subject to a make whole premium. In addition, upon the occurrence of certain change of control triggering events, Autodesk may be required to repurchase the 2012 Senior Notes, at a price equal to 101% of their principal amount, plus accrued and unpaid interest to the date of repurchase. The 2012 Senior Notes contain restrictive covenants that limit our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2012 Senior Notes was approximately $738.0 million as of January 31, 2016.</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Autodesk’s assets, and restrict the Company’s ability to incur additional indebtedness or make dispositions of assets if Autodesk fails to maintain the financial covenants. The financial covenants consist of a debt to capitalization ratio, and an interest coverage ratio. The line of credit is syndicated with various financial institutions, including Citibank, N.A., an affiliate of Citigroup, which is one of the lead lenders and an agent. In May 2015, Autodesk amended and restated the credit agreement to extend the facility's maturity date from May 2018 to May 2020 and to update the calculation for our financial covenants. As of January 31, 2016, we were in compliance with the credit facility’s covenants. At January 31, 2016 and January 31, 2015, Autodesk had no outstanding borrowings on this line of credit.</w:t>
      </w:r>
    </w:p>
    <w:p>
      <w:pPr>
        <w:spacing w:after="0" w:line="189"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Lease commitments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2090. The leases generally provide that Autodesk pay taxes, insurance, and maintenance expenses related to the leased assets. Certain of these lease arrangements contain escalation clauses whereby monthly rent increases over time. At January 31, 2016, the aggregate future minimum lease payments required were as follows: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2020</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254.3</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50.2</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Purchase commitments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2016 were approximately $100.2 million for periods through fiscal 2020. These purchase commitments primarily result from contracts for the acquisition of IT infrastructure, marketing, and software development services.</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and cost of subscription revenue on Autodesk’s Consolidated Statements of Operations, was $17.4 million in fiscal 2016, $17.9 million in fiscal 2015, and $18.0 million in fiscal 2014.</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Guarantees and Indemnifications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97790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96</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Legal Proceedings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63"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2016,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Common Stock Repurchase Programs</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8.5 million shares in fiscal 2016 at an average repurchase price of $53.58 per share, 6.9 million shares in fiscal 2015 at an average repurchase price of $53.83 per share, and 10.5 million shares in fiscal 2014 at an average repurchase price of $40.43.</w:t>
      </w:r>
    </w:p>
    <w:p>
      <w:pPr>
        <w:spacing w:after="0" w:line="154"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At January 31, 2016, 6.3 million shares remained available for repurchase under the repurchase program approved by the Board of Directors. The number of shares acquired and the timing of the purchases are based on several factors, including general market and economic conditions, the number of employee stock option exercises and restricted stock unit issuances, the trading price of Autodesk common stock, cash on hand and available in the United States, cash requirements for acquisitions, and Company defined trading windows.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281940</wp:posOffset>
            </wp:positionV>
            <wp:extent cx="97790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Interest and Other Expense,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foreign currency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9584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2947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2947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2947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ind w:left="440" w:hanging="432"/>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was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Reclassifications related to gains and losses on available for sale securities are included in Interest and other expense, net. Refer to Note 2, "Financial Instruments" for the amount and location of reclassifications related to derivative instruments. Reclassifications of the defined benefit pension components are included in the computation of net periodic benefit cost. Refer to Note 14, "Retirement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98</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(loss) income per share is computed using the weighted average number of shares of common stock outstanding for the period, excluding stock options and restricted stock units. Diluted net (loss)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income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7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(330.5)</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7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(loss) income per share—weighted average shares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226.0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(loss) income per share</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(loss) income per share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6740" w:type="dxa"/>
            <w:vAlign w:val="bottom"/>
            <w:gridSpan w:val="2"/>
            <w:vMerge w:val="restart"/>
          </w:tcPr>
          <w:p>
            <w:pPr>
              <w:jc w:val="right"/>
              <w:ind w:right="4859"/>
              <w:spacing w:after="0"/>
              <w:rPr>
                <w:sz w:val="20"/>
                <w:szCs w:val="20"/>
                <w:color w:val="auto"/>
              </w:rPr>
            </w:pPr>
            <w:r>
              <w:rPr>
                <w:rFonts w:ascii="Arial" w:cs="Arial" w:eastAsia="Arial" w:hAnsi="Arial"/>
                <w:sz w:val="18"/>
                <w:szCs w:val="18"/>
                <w:color w:val="auto"/>
                <w:w w:val="88"/>
              </w:rPr>
              <w:t>____________________</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Dilutive securities of 4.7 million shares for the fiscal year ended January 31, 2016 have been excluded from the calculation of diluted net (loss) income per share as those shares would have been anti-dilutive due to the net loss incurred during this period.</w:t>
      </w:r>
    </w:p>
    <w:p>
      <w:pPr>
        <w:spacing w:after="0" w:line="17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computation of diluted net (loss) income per share does not include shares that are anti-dilutive under the treasury stock method because their exercise prices are higher than the average market value of Autodesk’s stock during the fiscal year. For the fiscal years ended January 31, 2016, 2015, and 2014, 0.1 million, 0.1 million, and 5.4 million potentially anti-dilutive shares, respectively, were excluded from the computation of net (loss) income per share.</w:t>
      </w:r>
    </w:p>
    <w:p>
      <w:pPr>
        <w:spacing w:after="0" w:line="18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AEC, MFG, PSEB, and M&amp;E. Autodesk has no material inter-segment revenue.</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AEC, MFG, and PSEB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Autodesk Building Design Suites, Autodesk Infrastructure Design Suites, AEC flexible enterprise offerings, AEC consulting services, and AutoCAD Civil 3D.</w:t>
      </w:r>
    </w:p>
    <w:p>
      <w:pPr>
        <w:spacing w:after="0" w:line="19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Delcam, and Autodesk Moldflow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8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M&amp;E consists of two product groups: Animation and Creative Finishing. Animation products, such as Autodesk Maya, Autodesk 3ds Max, and the Autodesk Entertainment Creation Suites, are sold as software only and provide tools for digital sculpting, modeling, animation, effects, rendering and compositing, for design visualization, visual effects, and games production. M&amp;E products are also included in a number of PSEB, AEC, and MFG focused suites. Creative Finishing products, such as Autodesk Flame and Autodesk Lustre, provide editing, finishing, and visual effects design and color grading.</w:t>
      </w:r>
    </w:p>
    <w:p>
      <w:pPr>
        <w:spacing w:after="0" w:line="15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Platform Solutions and Emerging Business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Media and Entertainment</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Platform Solutions and Emerging Business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Unallocated (1)</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amortization and accretion:</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Platform Solutions and Emerging Business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Unallocated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584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50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949.1</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872.6</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730.6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579.4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789.2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174.7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2,504.1</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2,512.2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2,273.9</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8"/>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857.0</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785.8</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531.5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716.8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137.8</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2,133.4</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2,170.1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1,999.6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8"/>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-3469005</wp:posOffset>
            </wp:positionV>
            <wp:extent cx="722947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-3117215</wp:posOffset>
            </wp:positionV>
            <wp:extent cx="722947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-2774315</wp:posOffset>
            </wp:positionV>
            <wp:extent cx="722947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-2422525</wp:posOffset>
            </wp:positionV>
            <wp:extent cx="722947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-2062480</wp:posOffset>
            </wp:positionV>
            <wp:extent cx="722947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-1719580</wp:posOffset>
            </wp:positionV>
            <wp:extent cx="722947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-1376045</wp:posOffset>
            </wp:positionV>
            <wp:extent cx="7229475"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-1007745</wp:posOffset>
            </wp:positionV>
            <wp:extent cx="722947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-664210</wp:posOffset>
            </wp:positionV>
            <wp:extent cx="722947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-321310</wp:posOffset>
            </wp:positionV>
            <wp:extent cx="722947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20955</wp:posOffset>
            </wp:positionV>
            <wp:extent cx="29584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020" w:space="720"/>
            <w:col w:w="466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-130175</wp:posOffset>
            </wp:positionV>
            <wp:extent cx="29584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 w:lineRule="exact"/>
        <w:rPr>
          <w:sz w:val="20"/>
          <w:szCs w:val="20"/>
          <w:color w:val="auto"/>
        </w:rPr>
      </w:pPr>
    </w:p>
    <w:p>
      <w:pPr>
        <w:ind w:left="420" w:right="480" w:hanging="412"/>
        <w:spacing w:after="0" w:line="281"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97790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100</w:t>
      </w:r>
    </w:p>
    <w:p>
      <w:pPr>
        <w:sectPr>
          <w:pgSz w:w="11900" w:h="16838" w:orient="portrait"/>
          <w:cols w:equalWidth="0" w:num="1">
            <w:col w:w="11400"/>
          </w:cols>
          <w:pgMar w:left="240" w:top="125" w:right="2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672.3</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146.6</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818.9</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934.6</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851.8</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Japan</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274.5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328.7</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596.7</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603.2</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122.0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169.3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33"/>
        </w:trPr>
        <w:tc>
          <w:tcPr>
            <w:tcW w:w="8340" w:type="dxa"/>
            <w:vAlign w:val="bottom"/>
            <w:gridSpan w:val="2"/>
            <w:vMerge w:val="restart"/>
          </w:tcPr>
          <w:p>
            <w:pPr>
              <w:jc w:val="right"/>
              <w:ind w:right="6459"/>
              <w:spacing w:after="0"/>
              <w:rPr>
                <w:sz w:val="20"/>
                <w:szCs w:val="20"/>
                <w:color w:val="auto"/>
              </w:rPr>
            </w:pPr>
            <w:r>
              <w:rPr>
                <w:rFonts w:ascii="Arial" w:cs="Arial" w:eastAsia="Arial" w:hAnsi="Arial"/>
                <w:sz w:val="18"/>
                <w:szCs w:val="18"/>
                <w:color w:val="auto"/>
                <w:w w:val="88"/>
              </w:rPr>
              <w:t>____________________</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17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$17.3 million in fiscal 2016, $11.2 million in fiscal 2015, and $8.1 million in fiscal 2014. Autodesk does not allow participants to invest in Autodesk common stock through the 401(k) plan.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Autodesk maintains certain defined benefit pension plans to employees primarily located in countries outside of the U.S, particularly the United Kingdom, Switzerland, and Japan. The Company deposits funds for specific plans, consistent with the requirements of local law, with insurance companies, third-party trustees, or into government-managed accounts, and accrues for the unfunded portion of the obligation, where material. Depending on the design of the plan, local customs, and market circumstances, the liabilities of a plan may exceed qualified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101</w:t>
      </w:r>
    </w:p>
    <w:p>
      <w:pPr>
        <w:sectPr>
          <w:pgSz w:w="11900" w:h="16838" w:orient="portrait"/>
          <w:cols w:equalWidth="0" w:num="1">
            <w:col w:w="11420"/>
          </w:cols>
          <w:pgMar w:left="240" w:top="125" w:right="239" w:bottom="1440" w:gutter="0" w:footer="0" w:header="0"/>
        </w:sectPr>
      </w:pPr>
    </w:p>
    <w:bookmarkStart w:id="101" w:name="page102"/>
    <w:bookmarkEnd w:id="101"/>
    <w:p>
      <w:pPr>
        <w:ind w:left="260"/>
        <w:spacing w:after="0"/>
        <w:rPr>
          <w:sz w:val="20"/>
          <w:szCs w:val="20"/>
          <w:color w:val="auto"/>
        </w:rPr>
      </w:pPr>
      <w:r>
        <w:rPr>
          <w:rFonts w:ascii="Arial" w:cs="Arial" w:eastAsia="Arial" w:hAnsi="Arial"/>
          <w:sz w:val="18"/>
          <w:szCs w:val="18"/>
          <w:i w:val="1"/>
          <w:iCs w:val="1"/>
          <w:color w:val="32BCAD"/>
        </w:rPr>
        <w:t>Benefit Obligation and Plan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projected benefit obligations and plan assets for the plans described above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combinations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Ending projected benefit obligation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144.7</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fair value of plan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paid by employer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paid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Business combinations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60.2</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fair value of plan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Funded status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Amounts included within the business combinations line above represent plan assets and liabilities assumed under the acquisition of Delcam.</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recognized on the consolidated balance sheets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76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83"/>
              </w:rPr>
              <w:t>32.2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26.6</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recognized</w:t>
            </w: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67.1</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a worldwide basis, our defined benefit pension plans were 70% funded as of January 31, 2016. Funded status is not indicative of our ability to pay ongoing pension benefits or of Autodesk's obligation to fund retirement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102</w:t>
      </w:r>
    </w:p>
    <w:p>
      <w:pPr>
        <w:sectPr>
          <w:pgSz w:w="11900" w:h="16838" w:orient="portrait"/>
          <w:cols w:equalWidth="0" w:num="1">
            <w:col w:w="11420"/>
          </w:cols>
          <w:pgMar w:left="240" w:top="368" w:right="239" w:bottom="1440" w:gutter="0" w:footer="0" w:header="0"/>
        </w:sectPr>
      </w:pPr>
    </w:p>
    <w:bookmarkStart w:id="102" w:name="page103"/>
    <w:bookmarkEnd w:id="102"/>
    <w:p>
      <w:pPr>
        <w:ind w:right="160" w:firstLine="405"/>
        <w:spacing w:after="0" w:line="259" w:lineRule="auto"/>
        <w:rPr>
          <w:sz w:val="20"/>
          <w:szCs w:val="20"/>
          <w:color w:val="auto"/>
        </w:rPr>
      </w:pPr>
      <w:r>
        <w:rPr>
          <w:rFonts w:ascii="Arial" w:cs="Arial" w:eastAsia="Arial" w:hAnsi="Arial"/>
          <w:sz w:val="18"/>
          <w:szCs w:val="18"/>
          <w:color w:val="auto"/>
        </w:rPr>
        <w:t>As of January 31, 2016, the aggregate accumulated benefit obligation was $127.1 million for the defined benefit pension plans compared to $124.3 million as of January 31, 2015. Included in the aggregate data in the following tables are the amounts applicable to our defined benefit pension plans, with accumulated benefit obligations in excess of plan assets, as well as plans with projected benefit obligations in excess of plan assets. Amounts related to such plans at the end of each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Fiscal Year Ended January</w:t>
            </w:r>
          </w:p>
        </w:tc>
      </w:tr>
      <w:tr>
        <w:trPr>
          <w:trHeight w:val="192"/>
        </w:trPr>
        <w:tc>
          <w:tcPr>
            <w:tcW w:w="9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with accumulated benefit obligations in excess of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127.1</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124.0</w:t>
            </w: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103.9</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Plans with projected benefit obligations in excess of plan assets: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144.7</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104.2</w:t>
            </w:r>
          </w:p>
        </w:tc>
      </w:tr>
    </w:tbl>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 Assets</w:t>
      </w:r>
    </w:p>
    <w:p>
      <w:pPr>
        <w:spacing w:after="0" w:line="225"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investments of the plans are managed by insurance companies or third-party investment managers selected by Autodesk's Trustees, consistent with regulations or market practice of the country where the assets are invested. Investments managed by qualified insurance companies or third-party investment managers under standard contracts follow local regulations, and Autodesk is not actively involved in their investment strategies.</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Defined benefit pension plan assets measured at fair value on a recurring basis consisted of the following investment categories at the end of each period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2015</w:t>
            </w:r>
          </w:p>
        </w:tc>
      </w:tr>
      <w:tr>
        <w:trPr>
          <w:trHeight w:val="264"/>
        </w:trPr>
        <w:tc>
          <w:tcPr>
            <w:tcW w:w="5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Total</w:t>
            </w: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60.6</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Insurance contracts</w:t>
            </w:r>
          </w:p>
        </w:tc>
        <w:tc>
          <w:tcPr>
            <w:tcW w:w="3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43.5</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104.1</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0.1</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pension plan assets at fair value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assets held in the investment fund in the preceding table are invested in a diversified growth fund actively managed by Russell Investments in association with Aon Hewitt. The objective of the fund is to generate capital appreciation on a long-term basis through a diversified portfolio of investments. The fund aims to deliver equity-like returns in the medium to long term with around two-thirds the volatility of equity markets. The fair value of the assets held in the investment fund classified as Level 2 are either priced using quoted prices for identical assets in inactive markets or priced monthly at net asset value without restrictions on redemption.</w:t>
      </w:r>
    </w:p>
    <w:p>
      <w:pPr>
        <w:spacing w:after="0" w:line="188"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insurance contracts in the preceding table represent the immediate cash surrender value of assets managed by qualified insurance companies. Autodesk does not have control over the target allocation or visibility of the investment strategies of those investments. Insurance contracts and investments held by insurance companies made up 42% of total plan assets as of both January 31, 2016 and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268605</wp:posOffset>
            </wp:positionV>
            <wp:extent cx="97790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103</w:t>
      </w:r>
    </w:p>
    <w:p>
      <w:pPr>
        <w:sectPr>
          <w:pgSz w:w="11900" w:h="16838" w:orient="portrait"/>
          <w:cols w:equalWidth="0" w:num="1">
            <w:col w:w="11420"/>
          </w:cols>
          <w:pgMar w:left="240" w:top="368" w:right="2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i w:val="1"/>
          <w:iCs w:val="1"/>
          <w:color w:val="32BCAD"/>
        </w:rPr>
        <w:t>Estimated Future Benefit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44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9"/>
        </w:trPr>
        <w:tc>
          <w:tcPr>
            <w:tcW w:w="8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3.9</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2018</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3.9</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2022-2026</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19.1</w:t>
            </w:r>
          </w:p>
        </w:tc>
      </w:tr>
      <w:tr>
        <w:trPr>
          <w:trHeight w:val="459"/>
        </w:trPr>
        <w:tc>
          <w:tcPr>
            <w:tcW w:w="8120" w:type="dxa"/>
            <w:vAlign w:val="bottom"/>
          </w:tcPr>
          <w:p>
            <w:pPr>
              <w:ind w:left="260"/>
              <w:spacing w:after="0"/>
              <w:rPr>
                <w:sz w:val="20"/>
                <w:szCs w:val="20"/>
                <w:color w:val="auto"/>
              </w:rPr>
            </w:pPr>
            <w:r>
              <w:rPr>
                <w:rFonts w:ascii="Arial" w:cs="Arial" w:eastAsia="Arial" w:hAnsi="Arial"/>
                <w:sz w:val="18"/>
                <w:szCs w:val="18"/>
                <w:i w:val="1"/>
                <w:iCs w:val="1"/>
                <w:color w:val="32BCAD"/>
              </w:rPr>
              <w:t>Funding Expectations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Our expected required funding for the plans during fiscal 2017 is approximately $4.3 million.</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260"/>
              <w:spacing w:after="0"/>
              <w:rPr>
                <w:sz w:val="20"/>
                <w:szCs w:val="20"/>
                <w:color w:val="auto"/>
              </w:rPr>
            </w:pPr>
            <w:r>
              <w:rPr>
                <w:rFonts w:ascii="Arial" w:cs="Arial" w:eastAsia="Arial" w:hAnsi="Arial"/>
                <w:sz w:val="18"/>
                <w:szCs w:val="18"/>
                <w:i w:val="1"/>
                <w:iCs w:val="1"/>
                <w:color w:val="32BCAD"/>
              </w:rPr>
              <w:t>Net Periodic Benefit Cost</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9940" w:type="dxa"/>
            <w:vAlign w:val="bottom"/>
            <w:gridSpan w:val="5"/>
          </w:tcPr>
          <w:p>
            <w:pPr>
              <w:ind w:left="420"/>
              <w:spacing w:after="0"/>
              <w:rPr>
                <w:sz w:val="20"/>
                <w:szCs w:val="20"/>
                <w:color w:val="auto"/>
              </w:rPr>
            </w:pPr>
            <w:r>
              <w:rPr>
                <w:rFonts w:ascii="Arial" w:cs="Arial" w:eastAsia="Arial" w:hAnsi="Arial"/>
                <w:sz w:val="18"/>
                <w:szCs w:val="18"/>
                <w:color w:val="auto"/>
                <w:w w:val="92"/>
              </w:rPr>
              <w:t>The components of net periodic pension cost for the defined benefit pension plans for fiscal 2016, 2015, and 2014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9"/>
        </w:trPr>
        <w:tc>
          <w:tcPr>
            <w:tcW w:w="8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5"/>
              </w:rPr>
              <w:t>Fiscal Year Ended January 31,</w:t>
            </w:r>
          </w:p>
        </w:tc>
        <w:tc>
          <w:tcPr>
            <w:tcW w:w="680" w:type="dxa"/>
            <w:vAlign w:val="bottom"/>
            <w:tcBorders>
              <w:bottom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for benefits earned during the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4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5.4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 on projected benefit obligation</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6"/>
                <w:szCs w:val="16"/>
                <w:color w:val="auto"/>
              </w:rPr>
              <w:t>1.1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(3.9)</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(4.6)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(0.1)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loss</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1.0</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Net periodic benefit cost</w:t>
            </w: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4.4</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color w:val="auto"/>
              </w:rPr>
              <w:t>6.6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Amounts Recorded in 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other comprehensive income for the defined benefit pension plans before taxes for fiscal 2016, 2015, and 2014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w w:val="94"/>
              </w:rPr>
              <w:t>Fiscal Year Ended January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 for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loss (gain) for period</w:t>
            </w:r>
          </w:p>
        </w:tc>
        <w:tc>
          <w:tcPr>
            <w:tcW w:w="240" w:type="dxa"/>
            <w:vAlign w:val="bottom"/>
          </w:tcPr>
          <w:p>
            <w:pPr>
              <w:spacing w:after="0"/>
              <w:rPr>
                <w:sz w:val="20"/>
                <w:szCs w:val="20"/>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i w:val="1"/>
                <w:iCs w:val="1"/>
                <w:color w:val="32BCAD"/>
              </w:rPr>
              <w:t>Amounts Recorded in AOCI</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4"/>
          </w:tcPr>
          <w:p>
            <w:pPr>
              <w:ind w:left="420"/>
              <w:spacing w:after="0"/>
              <w:rPr>
                <w:sz w:val="20"/>
                <w:szCs w:val="20"/>
                <w:color w:val="auto"/>
              </w:rPr>
            </w:pPr>
            <w:r>
              <w:rPr>
                <w:rFonts w:ascii="Arial" w:cs="Arial" w:eastAsia="Arial" w:hAnsi="Arial"/>
                <w:sz w:val="18"/>
                <w:szCs w:val="18"/>
                <w:color w:val="auto"/>
                <w:w w:val="90"/>
              </w:rPr>
              <w:t>The amounts recorded in accumulated other comprehensive loss before taxes at the end of each period were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3"/>
              </w:rPr>
              <w:t>Fiscal Year Ended January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7790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104</w:t>
      </w:r>
    </w:p>
    <w:p>
      <w:pPr>
        <w:sectPr>
          <w:pgSz w:w="11900" w:h="16838" w:orient="portrait"/>
          <w:cols w:equalWidth="0" w:num="1">
            <w:col w:w="11420"/>
          </w:cols>
          <w:pgMar w:left="240" w:top="368" w:right="239" w:bottom="1440" w:gutter="0" w:footer="0" w:header="0"/>
          <w:type w:val="continuous"/>
        </w:sectPr>
      </w:pPr>
    </w:p>
    <w:bookmarkStart w:id="104" w:name="page105"/>
    <w:bookmarkEnd w:id="104"/>
    <w:p>
      <w:pPr>
        <w:ind w:right="20" w:firstLine="405"/>
        <w:spacing w:after="0" w:line="277" w:lineRule="auto"/>
        <w:rPr>
          <w:sz w:val="20"/>
          <w:szCs w:val="20"/>
          <w:color w:val="auto"/>
        </w:rPr>
      </w:pPr>
      <w:r>
        <w:rPr>
          <w:rFonts w:ascii="Arial" w:cs="Arial" w:eastAsia="Arial" w:hAnsi="Arial"/>
          <w:sz w:val="18"/>
          <w:szCs w:val="18"/>
          <w:color w:val="auto"/>
        </w:rPr>
        <w:t>The estimated amounts that will be amortized from AOCI into net periodic benefit cost over the next fiscal year for the qualified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the net loss</w:t>
            </w:r>
          </w:p>
        </w:tc>
        <w:tc>
          <w:tcPr>
            <w:tcW w:w="1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33"/>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0"/>
        </w:trPr>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costs for the plans for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3.8%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3.9%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weighted-average expected long-term rate of return for the plan assets is 3.8%. The weighted-average expected long-term rate of return on plan assets is based on the interest rates guaranteed under the insurance contracts, and the expected rate of return appropriate for each category of assets weighted for the distribution within the diversified investment fund. The assumptions used for the plans are based upon customary rates and practices for the location of the plans. Factors such as asset class allocations, long-term rates of return (actual and expected), and results of periodic asset liability modeling studies are considered when constructing the long-term rate of return assumption for our defined benefit pension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benefit obligations for the plans at the end of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2.6%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3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selecting the appropriate discount rate for the plans, the Company uses country-specific information, adjusted to reflect the duration of the particular plan. The discount rate was based on highly rated long-term bond indexes and yield curves that match the duration of the plan’s benefit obligations.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Contribution Plans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$23.0 million in fiscal 2016, $23.5 million in fiscal 2015, and $22.3 million in fiscal 2014.</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Other Plans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105</w:t>
      </w:r>
    </w:p>
    <w:p>
      <w:pPr>
        <w:sectPr>
          <w:pgSz w:w="11900" w:h="16838" w:orient="portrait"/>
          <w:cols w:equalWidth="0" w:num="1">
            <w:col w:w="11420"/>
          </w:cols>
          <w:pgMar w:left="240" w:top="368"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Reserves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fiscal 2014, the Board of Directors of the Company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("Fiscal 2014 Plan"). By July 31, 2014, the personnel and facilities related actions included in this restructuring plan were substantially complete.</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fiscal 2013, the Board of Directors of the Company approved a world-wide restructuring plan in line with the Company's strategy, including its continuing shift to cloud and mobile computing ("Fiscal 2013 Plan"). The restructuring plan resulted in a reduction of approximately 500 positions and the consolidation of eight leased facilities, with an aggregate charge of $46.2 million to date. By January 31, 2015, the personnel and facilities related actions included in this restructuring plan were substantially complete.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3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35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352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20955</wp:posOffset>
            </wp:positionV>
            <wp:extent cx="9264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20955</wp:posOffset>
            </wp:positionV>
            <wp:extent cx="9518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-130175</wp:posOffset>
            </wp:positionV>
            <wp:extent cx="9264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-130175</wp:posOffset>
            </wp:positionV>
            <wp:extent cx="951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97790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2016 and 2015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2nd quarter (1)</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4th quarter (2)</w:t>
            </w:r>
          </w:p>
        </w:tc>
        <w:tc>
          <w:tcPr>
            <w:tcW w:w="260" w:type="dxa"/>
            <w:vAlign w:val="bottom"/>
          </w:tcPr>
          <w:p>
            <w:pPr>
              <w:spacing w:after="0"/>
              <w:rPr>
                <w:sz w:val="14"/>
                <w:szCs w:val="1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554.7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income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income (loss)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operations includes the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following 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2015</w:t>
            </w: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2nd quarter</w:t>
            </w: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4th quarter</w:t>
            </w:r>
          </w:p>
        </w:tc>
        <w:tc>
          <w:tcPr>
            <w:tcW w:w="260" w:type="dxa"/>
            <w:vAlign w:val="bottom"/>
          </w:tcPr>
          <w:p>
            <w:pPr>
              <w:spacing w:after="0"/>
              <w:rPr>
                <w:sz w:val="19"/>
                <w:szCs w:val="19"/>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gridSpan w:val="2"/>
            <w:vMerge w:val="restart"/>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520" w:type="dxa"/>
            <w:vAlign w:val="bottom"/>
            <w:gridSpan w:val="2"/>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Basic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Diluted net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Restructuring charges,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9"/>
        </w:trPr>
        <w:tc>
          <w:tcPr>
            <w:tcW w:w="3560" w:type="dxa"/>
            <w:vAlign w:val="bottom"/>
            <w:gridSpan w:val="3"/>
          </w:tcPr>
          <w:p>
            <w:pPr>
              <w:jc w:val="right"/>
              <w:ind w:right="1760"/>
              <w:spacing w:after="0"/>
              <w:rPr>
                <w:sz w:val="20"/>
                <w:szCs w:val="20"/>
                <w:color w:val="auto"/>
              </w:rPr>
            </w:pPr>
            <w:r>
              <w:rPr>
                <w:rFonts w:ascii="Arial" w:cs="Arial" w:eastAsia="Arial" w:hAnsi="Arial"/>
                <w:sz w:val="18"/>
                <w:szCs w:val="18"/>
                <w:color w:val="auto"/>
                <w:w w:val="88"/>
              </w:rPr>
              <w:t>____________________</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620" w:hanging="412"/>
        <w:spacing w:after="0" w:line="248" w:lineRule="auto"/>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Certain second quarter fiscal 2016 balances have been revised to include the correction of an error identified in the third quarter of fiscal 2016, resulting in an additional $33.1 million of income tax expense from the previously reported results, primarily related to the establishment of a valuation allowance. See Note 1, "Business and Summary of Significant Accounting Policies" for further discussion.</w:t>
      </w:r>
    </w:p>
    <w:p>
      <w:pPr>
        <w:spacing w:after="0" w:line="1" w:lineRule="exact"/>
        <w:rPr>
          <w:rFonts w:ascii="Arial" w:cs="Arial" w:eastAsia="Arial" w:hAnsi="Arial"/>
          <w:sz w:val="16"/>
          <w:szCs w:val="16"/>
          <w:color w:val="auto"/>
        </w:rPr>
      </w:pPr>
    </w:p>
    <w:p>
      <w:pPr>
        <w:ind w:left="420" w:right="120" w:hanging="412"/>
        <w:spacing w:after="0" w:line="272" w:lineRule="auto"/>
        <w:tabs>
          <w:tab w:leader="none" w:pos="4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Subsequent to furnishing preliminary financial statements on Form 8-K on February 25, 2016 for the three and twelve months ended January 31, 2016, Autodesk identified a $4.5 million tax adjustment associated with deemed foreign withholding taxes related to non-permanently reinvested earnings in foreign jurisdictions which have not yet repatriated resulting in changes to the Consolidated Financial Statements as reflected in this Annual Report on Form 10-K. This non-cash adjustment resulted in an increase to GAAP diluted loss per share from $(0.15) to $(0.17) for the three months ended January 31, 2016.</w:t>
      </w:r>
    </w:p>
    <w:p>
      <w:pPr>
        <w:spacing w:after="0" w:line="14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Following a review of its business, on February 2, 2016, the Board of Directors of the Company approved a world-wide restructuring plan that includes a reduction in force that will result in the termination of approximately 10% of the Company’s workforce, or approximately 925 employees, and the consolidation of certain leased facilities. The Company is taking these actions to accelerate its move to the cloud and its transition to a subscription-based business model. The restructuring is expected to reduce expenses, streamline the organization, and reallocate resources to align more closely with the company’s needs going forward. Although the Company is reducing its overall staffing levels in the near term, the Company plans to invest in key development areas and strategic opportunities.</w:t>
      </w:r>
    </w:p>
    <w:p>
      <w:pPr>
        <w:spacing w:after="0" w:line="19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expects to substantially complete the reduction in force and the facilities consolidation by the end of its fourth quarter of fiscal 2017 (ending January 31, 2017). The Company anticipates incurring pre-tax restructuring charges of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to $95 million, substantially all of which would result in cash expenditures, $77 million to $85 million of which would be for one-time employee termination benefits, and $8 million to $10 million of which would be for facilities-related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108</w:t>
      </w:r>
    </w:p>
    <w:p>
      <w:pPr>
        <w:sectPr>
          <w:pgSz w:w="11900" w:h="16838" w:orient="portrait"/>
          <w:cols w:equalWidth="0" w:num="1">
            <w:col w:w="11020"/>
          </w:cols>
          <w:pgMar w:left="240" w:top="125" w:right="6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2016 and 2015, and the related consolidated statements of operations, comprehensive (loss) income, stockholders’ equity, and cash flows for each of the three years in the period ended January 31,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2016 and 2015, and the consolidated results of its operations and its cash flows for each of the three years in the period ended January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Autodesk, Inc.’s internal control over financial reporting as of January 31, 2016, based on criteria established in Internal Control-Integrated Framework issued by the Committee of Sponsoring Organizations of the Treadway Commission (2013 framework) and our report dated March 23, 2016 expressed an adverse opinion thereon.</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400050</wp:posOffset>
            </wp:positionV>
            <wp:extent cx="97790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audited Autodesk, Inc.’s internal control over financial reporting as of January 31, 2016, based on criteria established in Internal Control-Integrated Framework issued by the Committee of Sponsoring Organizations of the Treadway Commission (2013 framework) (the COSO criteria). Autodesk,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concluded that a material weakness exists in its internal control over financial reporting related to its controls over the technical review of the reconciliation of the deferred tax accounts and the effective tax rate. We also have audited, in accordance with the standards of the Public Company Accounting Oversight Board (United States), the accompanying consolidated balance sheets of Autodesk, Inc. as of January 31, 2016 and 2015, and the related consolidated statements of operations, comprehensive (loss) income, stockholders’ equity, and cash flows for each of the three years in the period ended January 31, 2016. This material weakness was considered in determining the nature, timing and extent of audit tests applied in our audit of the fiscal 2016 financial statements, and this report does not affect our report dated March 23, 2016, which expressed an unqualified opinion on those financial statements.</w:t>
      </w:r>
    </w:p>
    <w:p>
      <w:pPr>
        <w:spacing w:after="0" w:line="182"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In our opinion, because of the effect of the material weakness described above on the achievement of the objectives of the control criteria, Autodesk, Inc. has not maintained effective internal control over financial reporting as of January 31, 2016, based on the COSO criteria.</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97790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8"/>
          <w:szCs w:val="18"/>
          <w:b w:val="1"/>
          <w:bCs w:val="1"/>
          <w:color w:val="0696D7"/>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7"/>
          <w:szCs w:val="17"/>
          <w:b w:val="1"/>
          <w:bCs w:val="1"/>
          <w:color w:val="0696D7"/>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40" w:firstLine="8"/>
        <w:spacing w:after="0" w:line="252" w:lineRule="auto"/>
        <w:tabs>
          <w:tab w:leader="none" w:pos="2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were not effective as of January 31, 2016 for reasons described below.</w:t>
      </w:r>
    </w:p>
    <w:p>
      <w:pPr>
        <w:spacing w:after="0" w:line="1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However, corrective actions have been initiated to address the internal control weakness as described below under the section "Remediation Efforts with Respect to Material Weakness".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2016.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2"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During the year ended January 31, 2016, our management has concluded our internal control over financial reporting was not effective to provide reasonable assurance regarding the reliability of financial reporting and the preparation of financial statements for external purposes in accordance with generally accepted accounting principles due to the material weakness discussed in further detail below. Our independent registered public accounting firm, Ernst &amp; Young, LLP, has issued an audit report on our internal control over financial reporting, which is included in Item 8 herein.</w:t>
      </w:r>
    </w:p>
    <w:p>
      <w:pPr>
        <w:spacing w:after="0" w:line="15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concluded that a material weakness exists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We have performed additional analyses and other procedures to enable management to conclude that, notwithstanding the existence of the material weakness described above, the consolidated financial statements included in this Form 10-K present fairly, in all material respects, our financial position, results of operations and cash flows for the periods presented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with Respect to Material Weakness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assessed and reorganized the structure of our tax function to enhance the level of documentation, technical oversight, and review.</w:t>
      </w:r>
    </w:p>
    <w:p>
      <w:pPr>
        <w:spacing w:after="0" w:line="225"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Management will continue to enhance its controls to include refinements and improvements to certain controls over the accounting for income taxes. The Company’s enhanced controls will continue to evolve and have not had a sufficient period of time to operate for management to conclude that they were operating effectively. Management believes the foregoing efforts will effectively remediate the material weakness.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controls over financial reporting (as such term is defined in Rules 13a-15(f) and 15d-15(f) under the Securities Exchange Act of 1934) during the quarter ended January 31, 2016 that have materially affected, or are reasonably likely to materially affect, our internal controls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112</w:t>
      </w:r>
    </w:p>
    <w:p>
      <w:pPr>
        <w:sectPr>
          <w:pgSz w:w="11900" w:h="16838" w:orient="portrait"/>
          <w:cols w:equalWidth="0" w:num="1">
            <w:col w:w="11300"/>
          </w:cols>
          <w:pgMar w:left="24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8"/>
          <w:szCs w:val="18"/>
          <w:b w:val="1"/>
          <w:bCs w:val="1"/>
          <w:color w:val="0696D7"/>
        </w:rPr>
        <w:t>DIRECTORS, EXECUTIVE OFFICERS AND CORPORATE GOVERNANCE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23, 2016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58"/>
        </w:trPr>
        <w:tc>
          <w:tcPr>
            <w:tcW w:w="2520" w:type="dxa"/>
            <w:vAlign w:val="bottom"/>
            <w:gridSpan w:val="2"/>
          </w:tcPr>
          <w:p>
            <w:pPr>
              <w:spacing w:after="0"/>
              <w:rPr>
                <w:sz w:val="20"/>
                <w:szCs w:val="20"/>
                <w:color w:val="auto"/>
              </w:rPr>
            </w:pPr>
            <w:r>
              <w:rPr>
                <w:rFonts w:ascii="Arial" w:cs="Arial" w:eastAsia="Arial" w:hAnsi="Arial"/>
                <w:sz w:val="16"/>
                <w:szCs w:val="16"/>
                <w:color w:val="auto"/>
              </w:rPr>
              <w:t>Carl Bass</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58</w:t>
            </w:r>
          </w:p>
        </w:tc>
        <w:tc>
          <w:tcPr>
            <w:tcW w:w="76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54</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and Chief Financial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51</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Industry Strategy and Marketing</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Jan Becker</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63</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w w:val="89"/>
              </w:rPr>
              <w:t>Senior Vice President, Human Resources and Corporate Real Estate</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51</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Worldwide Sales and Services</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51</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General Counsel and Secretary</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Amar Hanspal</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52</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Autodesk Product Group</w:t>
            </w:r>
          </w:p>
        </w:tc>
      </w:tr>
    </w:tbl>
    <w:p>
      <w:pPr>
        <w:spacing w:after="0" w:line="23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b w:val="1"/>
          <w:bCs w:val="1"/>
          <w:color w:val="auto"/>
        </w:rPr>
        <w:t xml:space="preserve">Carl Bass </w:t>
      </w:r>
      <w:r>
        <w:rPr>
          <w:rFonts w:ascii="Arial" w:cs="Arial" w:eastAsia="Arial" w:hAnsi="Arial"/>
          <w:sz w:val="17"/>
          <w:szCs w:val="17"/>
          <w:color w:val="auto"/>
        </w:rPr>
        <w:t>joined Autodesk in September 1993 and has served as President and Chief Executive Officer since May 2006. Mr. Bass served as Interim</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from August 2014 to November 2014 and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Mr. Bass has also held other executive positions within Autodesk. Mr. Bass served on the boards of directors of McAfee, Inc. from January 2008 until it was acquired by Intel Corporation in February 2011 and E2open, Inc. from July 2011 until it was acquired by Insight Venture Partners in April 2014. Mr. Bass has served on the boards of directors of Autodesk, Inc. since January 2006, HP, Inc. since November 2015 and Zendesk, Inc. since February 2016.</w:t>
      </w:r>
    </w:p>
    <w:p>
      <w:pPr>
        <w:spacing w:after="0" w:line="172"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8" w:lineRule="exact"/>
        <w:rPr>
          <w:sz w:val="20"/>
          <w:szCs w:val="20"/>
          <w:color w:val="auto"/>
        </w:rPr>
      </w:pPr>
    </w:p>
    <w:p>
      <w:pPr>
        <w:ind w:firstLine="405"/>
        <w:spacing w:after="0" w:line="298" w:lineRule="auto"/>
        <w:rPr>
          <w:sz w:val="20"/>
          <w:szCs w:val="20"/>
          <w:color w:val="auto"/>
        </w:rPr>
      </w:pPr>
      <w:r>
        <w:rPr>
          <w:rFonts w:ascii="Arial" w:cs="Arial" w:eastAsia="Arial" w:hAnsi="Arial"/>
          <w:sz w:val="16"/>
          <w:szCs w:val="16"/>
          <w:b w:val="1"/>
          <w:bCs w:val="1"/>
          <w:color w:val="auto"/>
        </w:rPr>
        <w:t xml:space="preserve">Andrew Anagnost </w:t>
      </w:r>
      <w:r>
        <w:rPr>
          <w:rFonts w:ascii="Arial" w:cs="Arial" w:eastAsia="Arial" w:hAnsi="Arial"/>
          <w:sz w:val="16"/>
          <w:szCs w:val="16"/>
          <w:color w:val="auto"/>
        </w:rPr>
        <w:t>joined Autodesk in September 1997 and has served as our Senior Vice President, Industry Strategy &amp; Marketing since March 2012.</w:t>
      </w:r>
      <w:r>
        <w:rPr>
          <w:rFonts w:ascii="Arial" w:cs="Arial" w:eastAsia="Arial" w:hAnsi="Arial"/>
          <w:sz w:val="16"/>
          <w:szCs w:val="16"/>
          <w:b w:val="1"/>
          <w:bCs w:val="1"/>
          <w:color w:val="auto"/>
        </w:rPr>
        <w:t xml:space="preserve"> </w:t>
      </w:r>
      <w:r>
        <w:rPr>
          <w:rFonts w:ascii="Arial" w:cs="Arial" w:eastAsia="Arial" w:hAnsi="Arial"/>
          <w:sz w:val="16"/>
          <w:szCs w:val="16"/>
          <w:color w:val="auto"/>
        </w:rPr>
        <w:t>From December 2009 to March 2012, Dr. Anagnost was Vice President, Product Suites and Web Services. Prior to this position, Dr. Anagnost served as Vice President of CAD/CAE products for the manufacturing division from March 2007 to December 2009. Previously, Dr. Anagnost held other senior management positions at Autodesk. Prior to joining Autodesk, Dr. Anagnost held various engineering, sales, marketing and product management positions at Lockheed Aeronautical Systems Company and EXA Corporation. He also served as an NRC post-doctoral fellow at NASA Ames Research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264160</wp:posOffset>
            </wp:positionV>
            <wp:extent cx="97790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05"/>
        <w:spacing w:after="0" w:line="281" w:lineRule="auto"/>
        <w:rPr>
          <w:sz w:val="20"/>
          <w:szCs w:val="20"/>
          <w:color w:val="auto"/>
        </w:rPr>
      </w:pPr>
      <w:r>
        <w:rPr>
          <w:rFonts w:ascii="Arial" w:cs="Arial" w:eastAsia="Arial" w:hAnsi="Arial"/>
          <w:sz w:val="17"/>
          <w:szCs w:val="17"/>
          <w:b w:val="1"/>
          <w:bCs w:val="1"/>
          <w:color w:val="auto"/>
        </w:rPr>
        <w:t xml:space="preserve">Jan Becker </w:t>
      </w:r>
      <w:r>
        <w:rPr>
          <w:rFonts w:ascii="Arial" w:cs="Arial" w:eastAsia="Arial" w:hAnsi="Arial"/>
          <w:sz w:val="17"/>
          <w:szCs w:val="17"/>
          <w:color w:val="auto"/>
        </w:rPr>
        <w:t>joined Autodesk in September 1992 and has served as Senior Vice President, Human Resources and Corporate Real Estate since June 2000.</w:t>
      </w:r>
      <w:r>
        <w:rPr>
          <w:rFonts w:ascii="Arial" w:cs="Arial" w:eastAsia="Arial" w:hAnsi="Arial"/>
          <w:sz w:val="17"/>
          <w:szCs w:val="17"/>
          <w:b w:val="1"/>
          <w:bCs w:val="1"/>
          <w:color w:val="auto"/>
        </w:rPr>
        <w:t xml:space="preserve"> </w:t>
      </w:r>
      <w:r>
        <w:rPr>
          <w:rFonts w:ascii="Arial" w:cs="Arial" w:eastAsia="Arial" w:hAnsi="Arial"/>
          <w:sz w:val="17"/>
          <w:szCs w:val="17"/>
          <w:color w:val="auto"/>
        </w:rPr>
        <w:t>Ms. Becker previously served in other capacities in the Human Resources Department at Autodesk. Prior to joining Autodesk, Ms. Becker held a variety of senior management positions at Sun Microsystems. Prior to Sun Microsystems, Ms. Becker worked both domestically and internationally at a number of high-tech organizations, including Activision, Digital Equipment Corporation, and Hewlett-Packard Company.</w:t>
      </w:r>
    </w:p>
    <w:p>
      <w:pPr>
        <w:spacing w:after="0" w:line="165" w:lineRule="exact"/>
        <w:rPr>
          <w:sz w:val="20"/>
          <w:szCs w:val="20"/>
          <w:color w:val="auto"/>
        </w:rPr>
      </w:pPr>
    </w:p>
    <w:p>
      <w:pPr>
        <w:ind w:right="40" w:firstLine="405"/>
        <w:spacing w:after="0" w:line="281"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Sales and Services since February 2011.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184" w:lineRule="exact"/>
        <w:rPr>
          <w:sz w:val="20"/>
          <w:szCs w:val="20"/>
          <w:color w:val="auto"/>
        </w:rPr>
      </w:pPr>
    </w:p>
    <w:p>
      <w:pPr>
        <w:ind w:right="60" w:firstLine="405"/>
        <w:spacing w:after="0" w:line="303" w:lineRule="auto"/>
        <w:rPr>
          <w:sz w:val="20"/>
          <w:szCs w:val="20"/>
          <w:color w:val="auto"/>
        </w:rPr>
      </w:pPr>
      <w:r>
        <w:rPr>
          <w:rFonts w:ascii="Arial" w:cs="Arial" w:eastAsia="Arial" w:hAnsi="Arial"/>
          <w:sz w:val="16"/>
          <w:szCs w:val="16"/>
          <w:b w:val="1"/>
          <w:bCs w:val="1"/>
          <w:color w:val="auto"/>
        </w:rPr>
        <w:t xml:space="preserve">Amar Hanspal </w:t>
      </w:r>
      <w:r>
        <w:rPr>
          <w:rFonts w:ascii="Arial" w:cs="Arial" w:eastAsia="Arial" w:hAnsi="Arial"/>
          <w:sz w:val="16"/>
          <w:szCs w:val="16"/>
          <w:color w:val="auto"/>
        </w:rPr>
        <w:t>joined Autodesk in June 1987 and has served as our Senior Vice President, Autodesk Product Group since November 2015. From</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2012 to November 2015, Mr. Hanspal served as Senior Vice President, Information Modeling &amp; Platform Product Group. Prior to this position, Mr. Hanspal served as Senior Vice President, Platform Solutions and Emerging Business from January 2007 to February 2012 and as Vice President of Autodesk Collaboration Solutions from January 2003 to January 2007. Previously, Mr. Hanspal held other executive and non-executive positions at Autodesk.</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8"/>
          <w:szCs w:val="18"/>
          <w:b w:val="1"/>
          <w:bCs w:val="1"/>
          <w:color w:val="0696D7"/>
        </w:rPr>
        <w:t>EXECUTIVE COMPENSATION</w:t>
      </w:r>
    </w:p>
    <w:p>
      <w:pPr>
        <w:spacing w:after="0" w:line="229" w:lineRule="exact"/>
        <w:rPr>
          <w:sz w:val="20"/>
          <w:szCs w:val="20"/>
          <w:color w:val="auto"/>
        </w:rPr>
      </w:pPr>
    </w:p>
    <w:p>
      <w:pPr>
        <w:ind w:right="11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16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8"/>
          <w:szCs w:val="18"/>
          <w:b w:val="1"/>
          <w:bCs w:val="1"/>
          <w:color w:val="0696D7"/>
        </w:rPr>
        <w:t>CERTAIN RELATIONSHIPS AND RELATED TRANSACTIONS, AND DIRECTOR INDEPENDENCE</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7"/>
          <w:szCs w:val="17"/>
          <w:b w:val="1"/>
          <w:bCs w:val="1"/>
          <w:color w:val="0696D7"/>
        </w:rPr>
        <w:t>PRINCIPAL ACCOUNTING FEES AND SERVICES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114</w:t>
      </w:r>
    </w:p>
    <w:p>
      <w:pPr>
        <w:sectPr>
          <w:pgSz w:w="11900" w:h="16838" w:orient="portrait"/>
          <w:cols w:equalWidth="0" w:num="1">
            <w:col w:w="11380"/>
          </w:cols>
          <w:pgMar w:left="240" w:top="125"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8"/>
          <w:szCs w:val="18"/>
          <w:b w:val="1"/>
          <w:bCs w:val="1"/>
          <w:color w:val="0696D7"/>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200" w:hanging="325"/>
        <w:spacing w:after="0" w:line="264" w:lineRule="auto"/>
        <w:tabs>
          <w:tab w:leader="none" w:pos="900" w:val="left"/>
        </w:tabs>
        <w:numPr>
          <w:ilvl w:val="1"/>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i w:val="1"/>
          <w:iCs w:val="1"/>
          <w:color w:val="auto"/>
        </w:rPr>
      </w:pPr>
    </w:p>
    <w:p>
      <w:pPr>
        <w:ind w:left="900" w:right="60" w:hanging="325"/>
        <w:spacing w:after="0" w:line="342" w:lineRule="auto"/>
        <w:tabs>
          <w:tab w:leader="none" w:pos="900" w:val="left"/>
        </w:tabs>
        <w:numPr>
          <w:ilvl w:val="1"/>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2016, 2015,</w:t>
      </w:r>
      <w:r>
        <w:rPr>
          <w:rFonts w:ascii="Arial" w:cs="Arial" w:eastAsia="Arial" w:hAnsi="Arial"/>
          <w:sz w:val="16"/>
          <w:szCs w:val="16"/>
          <w:i w:val="1"/>
          <w:iCs w:val="1"/>
          <w:color w:val="auto"/>
        </w:rPr>
        <w:t xml:space="preserve"> </w:t>
      </w:r>
      <w:r>
        <w:rPr>
          <w:rFonts w:ascii="Arial" w:cs="Arial" w:eastAsia="Arial" w:hAnsi="Arial"/>
          <w:sz w:val="16"/>
          <w:szCs w:val="16"/>
          <w:color w:val="auto"/>
        </w:rPr>
        <w:t>and 2014,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52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280" w:hanging="325"/>
        <w:spacing w:after="0" w:line="277" w:lineRule="auto"/>
        <w:tabs>
          <w:tab w:leader="none" w:pos="900" w:val="left"/>
        </w:tabs>
        <w:numPr>
          <w:ilvl w:val="1"/>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70" w:lineRule="exact"/>
        <w:rPr>
          <w:sz w:val="20"/>
          <w:szCs w:val="20"/>
          <w:color w:val="auto"/>
        </w:rPr>
      </w:pPr>
    </w:p>
    <w:p>
      <w:pPr>
        <w:ind w:left="840" w:hanging="427"/>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12"/>
                <w:szCs w:val="12"/>
                <w:color w:val="auto"/>
              </w:rPr>
            </w:pPr>
          </w:p>
        </w:tc>
        <w:tc>
          <w:tcPr>
            <w:tcW w:w="124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1"/>
              </w:rPr>
              <w:t>Deductions</w:t>
            </w: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60" w:type="dxa"/>
            <w:vAlign w:val="bottom"/>
          </w:tcPr>
          <w:p>
            <w:pPr>
              <w:spacing w:after="0"/>
              <w:rPr>
                <w:sz w:val="12"/>
                <w:szCs w:val="12"/>
                <w:color w:val="auto"/>
              </w:rPr>
            </w:pPr>
          </w:p>
        </w:tc>
        <w:tc>
          <w:tcPr>
            <w:tcW w:w="124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380" w:type="dxa"/>
            <w:vAlign w:val="bottom"/>
          </w:tcPr>
          <w:p>
            <w:pPr>
              <w:spacing w:after="0"/>
              <w:rPr>
                <w:sz w:val="13"/>
                <w:szCs w:val="13"/>
                <w:color w:val="auto"/>
              </w:rPr>
            </w:pPr>
          </w:p>
        </w:tc>
        <w:tc>
          <w:tcPr>
            <w:tcW w:w="1340" w:type="dxa"/>
            <w:vAlign w:val="bottom"/>
          </w:tcPr>
          <w:p>
            <w:pPr>
              <w:jc w:val="center"/>
              <w:ind w:right="202"/>
              <w:spacing w:after="0" w:line="158" w:lineRule="exact"/>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3"/>
                <w:szCs w:val="13"/>
                <w:color w:val="auto"/>
              </w:rPr>
            </w:pPr>
          </w:p>
        </w:tc>
        <w:tc>
          <w:tcPr>
            <w:tcW w:w="124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7"/>
              </w:rPr>
              <w:t>Write-Offs</w:t>
            </w:r>
          </w:p>
        </w:tc>
        <w:tc>
          <w:tcPr>
            <w:tcW w:w="260" w:type="dxa"/>
            <w:vAlign w:val="bottom"/>
          </w:tcPr>
          <w:p>
            <w:pPr>
              <w:spacing w:after="0"/>
              <w:rPr>
                <w:sz w:val="13"/>
                <w:szCs w:val="13"/>
                <w:color w:val="auto"/>
              </w:rPr>
            </w:pPr>
          </w:p>
        </w:tc>
        <w:tc>
          <w:tcPr>
            <w:tcW w:w="1400" w:type="dxa"/>
            <w:vAlign w:val="bottom"/>
          </w:tcPr>
          <w:p>
            <w:pPr>
              <w:jc w:val="right"/>
              <w:ind w:right="140"/>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2016</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267.4</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258.7</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January 31, 2015</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17.4</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38.4</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237.3</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239.2</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23.1</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48.3</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278.6</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288.5</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97790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116</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7360"/>
        <w:spacing w:after="0"/>
        <w:tabs>
          <w:tab w:leader="none" w:pos="8940" w:val="left"/>
          <w:tab w:leader="none" w:pos="9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CARL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43815</wp:posOffset>
            </wp:positionV>
            <wp:extent cx="21697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76"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Carl Bass</w:t>
      </w:r>
    </w:p>
    <w:p>
      <w:pPr>
        <w:spacing w:after="0" w:line="86"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335280</wp:posOffset>
            </wp:positionV>
            <wp:extent cx="97790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432"/>
        <w:spacing w:after="0" w:line="303"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Carl Bass and R. Scott</w:t>
      </w:r>
      <w:r>
        <w:rPr>
          <w:rFonts w:ascii="Arial" w:cs="Arial" w:eastAsia="Arial" w:hAnsi="Arial"/>
          <w:sz w:val="16"/>
          <w:szCs w:val="16"/>
          <w:b w:val="1"/>
          <w:bCs w:val="1"/>
          <w:color w:val="auto"/>
        </w:rPr>
        <w:t xml:space="preserve"> </w:t>
      </w:r>
      <w:r>
        <w:rPr>
          <w:rFonts w:ascii="Arial" w:cs="Arial" w:eastAsia="Arial" w:hAnsi="Arial"/>
          <w:sz w:val="16"/>
          <w:szCs w:val="16"/>
          <w:color w:val="auto"/>
        </w:rPr>
        <w:t>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7"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97790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118</w:t>
      </w:r>
    </w:p>
    <w:p>
      <w:pPr>
        <w:sectPr>
          <w:pgSz w:w="11900" w:h="16838" w:orient="portrait"/>
          <w:cols w:equalWidth="0" w:num="1">
            <w:col w:w="11320"/>
          </w:cols>
          <w:pgMar w:left="24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20" w:type="dxa"/>
            <w:vAlign w:val="bottom"/>
            <w:gridSpan w:val="3"/>
          </w:tcPr>
          <w:p>
            <w:pPr>
              <w:jc w:val="center"/>
              <w:ind w:left="699"/>
              <w:spacing w:after="0"/>
              <w:rPr>
                <w:sz w:val="20"/>
                <w:szCs w:val="20"/>
                <w:color w:val="auto"/>
              </w:rPr>
            </w:pPr>
            <w:r>
              <w:rPr>
                <w:rFonts w:ascii="Arial" w:cs="Arial" w:eastAsia="Arial" w:hAnsi="Arial"/>
                <w:sz w:val="16"/>
                <w:szCs w:val="16"/>
                <w:color w:val="auto"/>
                <w:w w:val="93"/>
              </w:rPr>
              <w:t>President and Chief Executive Officer</w:t>
            </w:r>
          </w:p>
        </w:tc>
      </w:tr>
      <w:tr>
        <w:trPr>
          <w:trHeight w:val="20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2"/>
              </w:rPr>
              <w:t>/s/</w:t>
            </w: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7"/>
              </w:rPr>
              <w:t>CARL BASS</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2"/>
              </w:rPr>
              <w:t>Carl Bass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16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center"/>
              <w:ind w:right="1480"/>
              <w:spacing w:after="0"/>
              <w:rPr>
                <w:sz w:val="20"/>
                <w:szCs w:val="20"/>
                <w:color w:val="auto"/>
              </w:rPr>
            </w:pPr>
            <w:r>
              <w:rPr>
                <w:rFonts w:ascii="Arial" w:cs="Arial" w:eastAsia="Arial" w:hAnsi="Arial"/>
                <w:sz w:val="16"/>
                <w:szCs w:val="16"/>
                <w:color w:val="auto"/>
                <w:w w:val="94"/>
              </w:rPr>
              <w:t>R. SCOTT HERREN</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5"/>
              </w:rPr>
              <w:t>(Principal Financial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0"/>
              </w:rPr>
              <w:t>R. Scott Herren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699"/>
              <w:spacing w:after="0"/>
              <w:rPr>
                <w:sz w:val="20"/>
                <w:szCs w:val="20"/>
                <w:color w:val="auto"/>
              </w:rPr>
            </w:pPr>
            <w:r>
              <w:rPr>
                <w:rFonts w:ascii="Arial" w:cs="Arial" w:eastAsia="Arial" w:hAnsi="Arial"/>
                <w:sz w:val="16"/>
                <w:szCs w:val="16"/>
                <w:color w:val="auto"/>
                <w:w w:val="92"/>
              </w:rPr>
              <w:t>Vice President and Controller</w:t>
            </w:r>
          </w:p>
        </w:tc>
      </w:tr>
      <w:tr>
        <w:trPr>
          <w:trHeight w:val="206"/>
        </w:trPr>
        <w:tc>
          <w:tcPr>
            <w:tcW w:w="116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ind w:left="100"/>
              <w:spacing w:after="0"/>
              <w:rPr>
                <w:sz w:val="20"/>
                <w:szCs w:val="20"/>
                <w:color w:val="auto"/>
              </w:rPr>
            </w:pPr>
            <w:r>
              <w:rPr>
                <w:rFonts w:ascii="Arial" w:cs="Arial" w:eastAsia="Arial" w:hAnsi="Arial"/>
                <w:sz w:val="16"/>
                <w:szCs w:val="16"/>
                <w:color w:val="auto"/>
              </w:rPr>
              <w:t>PAUL UNDERWOOD</w:t>
            </w:r>
          </w:p>
        </w:tc>
        <w:tc>
          <w:tcPr>
            <w:tcW w:w="4020" w:type="dxa"/>
            <w:vAlign w:val="bottom"/>
            <w:gridSpan w:val="3"/>
          </w:tcPr>
          <w:p>
            <w:pPr>
              <w:jc w:val="center"/>
              <w:ind w:left="899"/>
              <w:spacing w:after="0"/>
              <w:rPr>
                <w:sz w:val="20"/>
                <w:szCs w:val="20"/>
                <w:color w:val="auto"/>
              </w:rPr>
            </w:pPr>
            <w:r>
              <w:rPr>
                <w:rFonts w:ascii="Arial" w:cs="Arial" w:eastAsia="Arial" w:hAnsi="Arial"/>
                <w:sz w:val="16"/>
                <w:szCs w:val="16"/>
                <w:color w:val="auto"/>
                <w:w w:val="96"/>
              </w:rPr>
              <w:t>(Principal Accounting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1"/>
              </w:rPr>
              <w:t>Paul Underwood</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206"/>
        </w:trPr>
        <w:tc>
          <w:tcPr>
            <w:tcW w:w="1160" w:type="dxa"/>
            <w:vAlign w:val="bottom"/>
          </w:tcPr>
          <w:p>
            <w:pPr>
              <w:ind w:left="920"/>
              <w:spacing w:after="0"/>
              <w:rPr>
                <w:sz w:val="20"/>
                <w:szCs w:val="20"/>
                <w:color w:val="auto"/>
              </w:rPr>
            </w:pPr>
            <w:r>
              <w:rPr>
                <w:rFonts w:ascii="Arial" w:cs="Arial" w:eastAsia="Arial" w:hAnsi="Arial"/>
                <w:sz w:val="16"/>
                <w:szCs w:val="16"/>
                <w:color w:val="auto"/>
              </w:rPr>
              <w:t>/s/</w:t>
            </w:r>
          </w:p>
        </w:tc>
        <w:tc>
          <w:tcPr>
            <w:tcW w:w="3400" w:type="dxa"/>
            <w:vAlign w:val="bottom"/>
            <w:gridSpan w:val="5"/>
          </w:tcPr>
          <w:p>
            <w:pPr>
              <w:jc w:val="center"/>
              <w:ind w:right="1160"/>
              <w:spacing w:after="0"/>
              <w:rPr>
                <w:sz w:val="20"/>
                <w:szCs w:val="20"/>
                <w:color w:val="auto"/>
              </w:rPr>
            </w:pPr>
            <w:r>
              <w:rPr>
                <w:rFonts w:ascii="Arial" w:cs="Arial" w:eastAsia="Arial" w:hAnsi="Arial"/>
                <w:sz w:val="16"/>
                <w:szCs w:val="16"/>
                <w:color w:val="auto"/>
                <w:w w:val="96"/>
              </w:rPr>
              <w:t>CRAWFORD W. BEVERIDGE</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3"/>
              </w:rPr>
              <w:t>(Non-executive Chairman of the Board)</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4"/>
          </w:tcPr>
          <w:p>
            <w:pPr>
              <w:jc w:val="center"/>
              <w:ind w:right="1460"/>
              <w:spacing w:after="0"/>
              <w:rPr>
                <w:sz w:val="20"/>
                <w:szCs w:val="20"/>
                <w:color w:val="auto"/>
              </w:rPr>
            </w:pPr>
            <w:r>
              <w:rPr>
                <w:rFonts w:ascii="Arial" w:cs="Arial" w:eastAsia="Arial" w:hAnsi="Arial"/>
                <w:sz w:val="16"/>
                <w:szCs w:val="16"/>
                <w:color w:val="auto"/>
                <w:w w:val="94"/>
              </w:rPr>
              <w:t>Crawford W. Beveridge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47"/>
        </w:trPr>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4"/>
              </w:rPr>
              <w:t>Jeff Clarke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center"/>
              <w:ind w:right="1480"/>
              <w:spacing w:after="0"/>
              <w:rPr>
                <w:sz w:val="20"/>
                <w:szCs w:val="20"/>
                <w:color w:val="auto"/>
              </w:rPr>
            </w:pPr>
            <w:r>
              <w:rPr>
                <w:rFonts w:ascii="Arial" w:cs="Arial" w:eastAsia="Arial" w:hAnsi="Arial"/>
                <w:sz w:val="16"/>
                <w:szCs w:val="16"/>
                <w:color w:val="auto"/>
              </w:rPr>
              <w:t>J. HALLAM DAWSON</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3"/>
              </w:rPr>
              <w:t>J. Hallam Dawson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47"/>
        </w:trPr>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88"/>
              </w:rPr>
              <w:t>Scott Ferguson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center"/>
              <w:ind w:right="1480"/>
              <w:spacing w:after="0"/>
              <w:rPr>
                <w:sz w:val="20"/>
                <w:szCs w:val="20"/>
                <w:color w:val="auto"/>
              </w:rPr>
            </w:pPr>
            <w:r>
              <w:rPr>
                <w:rFonts w:ascii="Arial" w:cs="Arial" w:eastAsia="Arial" w:hAnsi="Arial"/>
                <w:sz w:val="16"/>
                <w:szCs w:val="16"/>
                <w:color w:val="auto"/>
                <w:w w:val="95"/>
              </w:rPr>
              <w:t>THOMAS GEORGENS</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700"/>
              <w:spacing w:after="0"/>
              <w:rPr>
                <w:sz w:val="20"/>
                <w:szCs w:val="20"/>
                <w:color w:val="auto"/>
              </w:rPr>
            </w:pPr>
            <w:r>
              <w:rPr>
                <w:rFonts w:ascii="Arial" w:cs="Arial" w:eastAsia="Arial" w:hAnsi="Arial"/>
                <w:sz w:val="16"/>
                <w:szCs w:val="16"/>
                <w:color w:val="auto"/>
                <w:w w:val="89"/>
              </w:rPr>
              <w:t>Thomas Georgens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900"/>
              <w:spacing w:after="0"/>
              <w:rPr>
                <w:sz w:val="20"/>
                <w:szCs w:val="20"/>
                <w:color w:val="auto"/>
              </w:rPr>
            </w:pPr>
            <w:r>
              <w:rPr>
                <w:rFonts w:ascii="Arial" w:cs="Arial" w:eastAsia="Arial" w:hAnsi="Arial"/>
                <w:sz w:val="16"/>
                <w:szCs w:val="16"/>
                <w:color w:val="auto"/>
              </w:rPr>
              <w:t>/s/</w:t>
            </w:r>
          </w:p>
        </w:tc>
        <w:tc>
          <w:tcPr>
            <w:tcW w:w="3400" w:type="dxa"/>
            <w:vAlign w:val="bottom"/>
            <w:gridSpan w:val="5"/>
          </w:tcPr>
          <w:p>
            <w:pPr>
              <w:jc w:val="center"/>
              <w:ind w:right="1160"/>
              <w:spacing w:after="0"/>
              <w:rPr>
                <w:sz w:val="20"/>
                <w:szCs w:val="20"/>
                <w:color w:val="auto"/>
              </w:rPr>
            </w:pPr>
            <w:r>
              <w:rPr>
                <w:rFonts w:ascii="Arial" w:cs="Arial" w:eastAsia="Arial" w:hAnsi="Arial"/>
                <w:sz w:val="16"/>
                <w:szCs w:val="16"/>
                <w:color w:val="auto"/>
                <w:w w:val="98"/>
              </w:rPr>
              <w:t>PER-KRISTIAN HALVORSEN</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4"/>
          </w:tcPr>
          <w:p>
            <w:pPr>
              <w:jc w:val="center"/>
              <w:ind w:right="1460"/>
              <w:spacing w:after="0"/>
              <w:rPr>
                <w:sz w:val="20"/>
                <w:szCs w:val="20"/>
                <w:color w:val="auto"/>
              </w:rPr>
            </w:pPr>
            <w:r>
              <w:rPr>
                <w:rFonts w:ascii="Arial" w:cs="Arial" w:eastAsia="Arial" w:hAnsi="Arial"/>
                <w:sz w:val="16"/>
                <w:szCs w:val="16"/>
                <w:color w:val="auto"/>
                <w:w w:val="92"/>
              </w:rPr>
              <w:t>Per-Kristian Halvorsen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47"/>
        </w:trPr>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rPr>
              <w:t>Rick Hill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center"/>
              <w:ind w:right="1480"/>
              <w:spacing w:after="0"/>
              <w:rPr>
                <w:sz w:val="20"/>
                <w:szCs w:val="20"/>
                <w:color w:val="auto"/>
              </w:rPr>
            </w:pPr>
            <w:r>
              <w:rPr>
                <w:rFonts w:ascii="Arial" w:cs="Arial" w:eastAsia="Arial" w:hAnsi="Arial"/>
                <w:sz w:val="16"/>
                <w:szCs w:val="16"/>
                <w:color w:val="auto"/>
              </w:rPr>
              <w:t>MARY T. MCDOWELL</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4"/>
          </w:tcPr>
          <w:p>
            <w:pPr>
              <w:jc w:val="center"/>
              <w:ind w:right="1460"/>
              <w:spacing w:after="0"/>
              <w:rPr>
                <w:sz w:val="20"/>
                <w:szCs w:val="20"/>
                <w:color w:val="auto"/>
              </w:rPr>
            </w:pPr>
            <w:r>
              <w:rPr>
                <w:rFonts w:ascii="Arial" w:cs="Arial" w:eastAsia="Arial" w:hAnsi="Arial"/>
                <w:sz w:val="16"/>
                <w:szCs w:val="16"/>
                <w:color w:val="auto"/>
                <w:w w:val="96"/>
              </w:rPr>
              <w:t>Mary T. McDowell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1000"/>
              <w:spacing w:after="0"/>
              <w:rPr>
                <w:sz w:val="20"/>
                <w:szCs w:val="20"/>
                <w:color w:val="auto"/>
              </w:rPr>
            </w:pPr>
            <w:r>
              <w:rPr>
                <w:rFonts w:ascii="Arial" w:cs="Arial" w:eastAsia="Arial" w:hAnsi="Arial"/>
                <w:sz w:val="16"/>
                <w:szCs w:val="16"/>
                <w:color w:val="auto"/>
                <w:w w:val="82"/>
              </w:rPr>
              <w:t>/s/</w:t>
            </w:r>
          </w:p>
        </w:tc>
        <w:tc>
          <w:tcPr>
            <w:tcW w:w="3400" w:type="dxa"/>
            <w:vAlign w:val="bottom"/>
            <w:gridSpan w:val="5"/>
          </w:tcPr>
          <w:p>
            <w:pPr>
              <w:jc w:val="center"/>
              <w:ind w:right="1160"/>
              <w:spacing w:after="0"/>
              <w:rPr>
                <w:sz w:val="20"/>
                <w:szCs w:val="20"/>
                <w:color w:val="auto"/>
              </w:rPr>
            </w:pPr>
            <w:r>
              <w:rPr>
                <w:rFonts w:ascii="Arial" w:cs="Arial" w:eastAsia="Arial" w:hAnsi="Arial"/>
                <w:sz w:val="16"/>
                <w:szCs w:val="16"/>
                <w:color w:val="auto"/>
                <w:w w:val="98"/>
              </w:rPr>
              <w:t>LORRIE M. NORRINGTON</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4"/>
          </w:tcPr>
          <w:p>
            <w:pPr>
              <w:jc w:val="center"/>
              <w:ind w:right="1460"/>
              <w:spacing w:after="0"/>
              <w:rPr>
                <w:sz w:val="20"/>
                <w:szCs w:val="20"/>
                <w:color w:val="auto"/>
              </w:rPr>
            </w:pPr>
            <w:r>
              <w:rPr>
                <w:rFonts w:ascii="Arial" w:cs="Arial" w:eastAsia="Arial" w:hAnsi="Arial"/>
                <w:sz w:val="16"/>
                <w:szCs w:val="16"/>
                <w:color w:val="auto"/>
                <w:w w:val="98"/>
              </w:rPr>
              <w:t>Lorrie M. Norrington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ind w:left="120"/>
              <w:spacing w:after="0"/>
              <w:rPr>
                <w:sz w:val="20"/>
                <w:szCs w:val="20"/>
                <w:color w:val="auto"/>
              </w:rPr>
            </w:pPr>
            <w:r>
              <w:rPr>
                <w:rFonts w:ascii="Arial" w:cs="Arial" w:eastAsia="Arial" w:hAnsi="Arial"/>
                <w:sz w:val="16"/>
                <w:szCs w:val="16"/>
                <w:color w:val="auto"/>
              </w:rPr>
              <w:t>ELIZABETH RAFAEL</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2"/>
              </w:rPr>
              <w:t>Elizabeth Rafael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/s/</w:t>
            </w:r>
          </w:p>
        </w:tc>
        <w:tc>
          <w:tcPr>
            <w:tcW w:w="2880" w:type="dxa"/>
            <w:vAlign w:val="bottom"/>
            <w:gridSpan w:val="3"/>
          </w:tcPr>
          <w:p>
            <w:pPr>
              <w:jc w:val="center"/>
              <w:ind w:right="1660"/>
              <w:spacing w:after="0"/>
              <w:rPr>
                <w:sz w:val="20"/>
                <w:szCs w:val="20"/>
                <w:color w:val="auto"/>
              </w:rPr>
            </w:pPr>
            <w:r>
              <w:rPr>
                <w:rFonts w:ascii="Arial" w:cs="Arial" w:eastAsia="Arial" w:hAnsi="Arial"/>
                <w:sz w:val="16"/>
                <w:szCs w:val="16"/>
                <w:color w:val="auto"/>
                <w:w w:val="97"/>
              </w:rPr>
              <w:t>STACY J. SMITH</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89"/>
              </w:rPr>
              <w:t>Stacy J. Smith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2"/>
              </w:rPr>
              <w:t>/s/</w:t>
            </w:r>
          </w:p>
        </w:tc>
        <w:tc>
          <w:tcPr>
            <w:tcW w:w="3100" w:type="dxa"/>
            <w:vAlign w:val="bottom"/>
            <w:gridSpan w:val="4"/>
          </w:tcPr>
          <w:p>
            <w:pPr>
              <w:jc w:val="center"/>
              <w:ind w:right="1460"/>
              <w:spacing w:after="0"/>
              <w:rPr>
                <w:sz w:val="20"/>
                <w:szCs w:val="20"/>
                <w:color w:val="auto"/>
              </w:rPr>
            </w:pPr>
            <w:r>
              <w:rPr>
                <w:rFonts w:ascii="Arial" w:cs="Arial" w:eastAsia="Arial" w:hAnsi="Arial"/>
                <w:sz w:val="16"/>
                <w:szCs w:val="16"/>
                <w:color w:val="auto"/>
                <w:w w:val="96"/>
              </w:rPr>
              <w:t>STEVEN M. WEST</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center"/>
              <w:ind w:right="1680"/>
              <w:spacing w:after="0"/>
              <w:rPr>
                <w:sz w:val="20"/>
                <w:szCs w:val="20"/>
                <w:color w:val="auto"/>
              </w:rPr>
            </w:pPr>
            <w:r>
              <w:rPr>
                <w:rFonts w:ascii="Arial" w:cs="Arial" w:eastAsia="Arial" w:hAnsi="Arial"/>
                <w:sz w:val="16"/>
                <w:szCs w:val="16"/>
                <w:color w:val="auto"/>
                <w:w w:val="92"/>
              </w:rPr>
              <w:t>Steven M. West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415290</wp:posOffset>
            </wp:positionV>
            <wp:extent cx="97790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gridSpan w:val="3"/>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Amended and Restated Certificate of Incorporation of Registrant </w:t>
            </w:r>
            <w:r>
              <w:rPr>
                <w:rFonts w:ascii="Arial" w:cs="Arial" w:eastAsia="Arial" w:hAnsi="Arial"/>
                <w:sz w:val="16"/>
                <w:szCs w:val="16"/>
                <w:i w:val="1"/>
                <w:iCs w:val="1"/>
                <w:color w:val="auto"/>
                <w:w w:val="92"/>
              </w:rPr>
              <w:t>(incorporated by reference to Exhibit 3.1 filed with the Registrant’s Annual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10-K for the fiscal year ended January 31, 2006, file no. 000-14338)</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Amended and Restated Bylaws of Registrant (</w:t>
            </w:r>
            <w:r>
              <w:rPr>
                <w:rFonts w:ascii="Arial" w:cs="Arial" w:eastAsia="Arial" w:hAnsi="Arial"/>
                <w:sz w:val="16"/>
                <w:szCs w:val="16"/>
                <w:i w:val="1"/>
                <w:iCs w:val="1"/>
                <w:color w:val="auto"/>
                <w:w w:val="93"/>
              </w:rPr>
              <w:t>incorporated by reference to Exhibit 3.1 filed with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March 11,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Indenture dated December 13, 2012, by and between Autodesk, Inc. and U.S. Bank National Association (</w:t>
            </w:r>
            <w:r>
              <w:rPr>
                <w:rFonts w:ascii="Arial" w:cs="Arial" w:eastAsia="Arial" w:hAnsi="Arial"/>
                <w:sz w:val="16"/>
                <w:szCs w:val="16"/>
                <w:i w:val="1"/>
                <w:iCs w:val="1"/>
                <w:color w:val="auto"/>
                <w:w w:val="92"/>
              </w:rPr>
              <w:t>incorporated by reference to Exhibit 4.1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First Supplemental Indenture (including Form of Notes) dated December 13, 2012, by and between Autodesk, Inc. and U.S. Bank National</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Association. (</w:t>
            </w:r>
            <w:r>
              <w:rPr>
                <w:rFonts w:ascii="Arial" w:cs="Arial" w:eastAsia="Arial" w:hAnsi="Arial"/>
                <w:sz w:val="16"/>
                <w:szCs w:val="16"/>
                <w:i w:val="1"/>
                <w:iCs w:val="1"/>
                <w:color w:val="auto"/>
              </w:rPr>
              <w:t>incorporated by reference to Exhibit 4.2 filed 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Second Supplemental Indenture (including Form of Notes), dated June 5, 2015, by and between Autodesk, Inc. and U.S. Bank National</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Association. </w:t>
            </w:r>
            <w:r>
              <w:rPr>
                <w:rFonts w:ascii="Arial" w:cs="Arial" w:eastAsia="Arial" w:hAnsi="Arial"/>
                <w:sz w:val="16"/>
                <w:szCs w:val="16"/>
                <w:i w:val="1"/>
                <w:iCs w:val="1"/>
                <w:color w:val="auto"/>
              </w:rPr>
              <w:t>(incorporated by reference from Exhibit 4.1 of the Registrant's Current Report on Form 8-K filed on June 8, 2015)</w:t>
            </w:r>
          </w:p>
        </w:tc>
      </w:tr>
      <w:tr>
        <w:trPr>
          <w:trHeight w:val="64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Description of Registrant's Performance Stock Unit Program (</w:t>
            </w:r>
            <w:r>
              <w:rPr>
                <w:rFonts w:ascii="Arial" w:cs="Arial" w:eastAsia="Arial" w:hAnsi="Arial"/>
                <w:sz w:val="16"/>
                <w:szCs w:val="16"/>
                <w:i w:val="1"/>
                <w:iCs w:val="1"/>
                <w:color w:val="auto"/>
                <w:w w:val="93"/>
              </w:rPr>
              <w:t>incorporated by reference to Item 5.02 of the Registrant's Current Report on Form 8-K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on March 17, 2015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Registrant's Sales Commission Plan (</w:t>
            </w:r>
            <w:r>
              <w:rPr>
                <w:rFonts w:ascii="Arial" w:cs="Arial" w:eastAsia="Arial" w:hAnsi="Arial"/>
                <w:sz w:val="16"/>
                <w:szCs w:val="16"/>
                <w:i w:val="1"/>
                <w:iCs w:val="1"/>
                <w:color w:val="auto"/>
                <w:w w:val="94"/>
              </w:rPr>
              <w:t>incorporated by reference to Item 5.02 of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March 17, 2015</w:t>
            </w:r>
            <w:r>
              <w:rPr>
                <w:rFonts w:ascii="Arial" w:cs="Arial" w:eastAsia="Arial" w:hAnsi="Arial"/>
                <w:sz w:val="16"/>
                <w:szCs w:val="16"/>
                <w:color w:val="auto"/>
              </w:rPr>
              <w:t>)</w:t>
            </w:r>
          </w:p>
        </w:tc>
      </w:tr>
      <w:tr>
        <w:trPr>
          <w:trHeight w:val="779"/>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 xml:space="preserve">Registrant’s 1998 Employee Qualified Stock Purchase Plan, as amended on June 10, 2010 </w:t>
            </w:r>
            <w:r>
              <w:rPr>
                <w:rFonts w:ascii="Arial" w:cs="Arial" w:eastAsia="Arial" w:hAnsi="Arial"/>
                <w:sz w:val="16"/>
                <w:szCs w:val="16"/>
                <w:i w:val="1"/>
                <w:iCs w:val="1"/>
                <w:color w:val="auto"/>
                <w:w w:val="94"/>
              </w:rPr>
              <w:t>(incorporated by reference to Exhibit 10.3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2013)</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Registrant’s 1998 Employee Qualified Stock Purchase Plan Forms of Agreement (</w:t>
            </w:r>
            <w:r>
              <w:rPr>
                <w:rFonts w:ascii="Arial" w:cs="Arial" w:eastAsia="Arial" w:hAnsi="Arial"/>
                <w:sz w:val="16"/>
                <w:szCs w:val="16"/>
                <w:i w:val="1"/>
                <w:iCs w:val="1"/>
                <w:color w:val="auto"/>
                <w:w w:val="93"/>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1998 Employee Qualified Stock Purchase Plan Form of Agreement (non-U.S. Employees) (</w:t>
            </w:r>
            <w:r>
              <w:rPr>
                <w:rFonts w:ascii="Arial" w:cs="Arial" w:eastAsia="Arial" w:hAnsi="Arial"/>
                <w:sz w:val="16"/>
                <w:szCs w:val="16"/>
                <w:i w:val="1"/>
                <w:iCs w:val="1"/>
                <w:color w:val="auto"/>
                <w:w w:val="92"/>
              </w:rPr>
              <w:t>incorporated by reference to Exhibit 10.1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Quarterly Report on Form 10-Q for the fiscal quarter ended July 31,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2000 Directors’ Option Plan, as amended (</w:t>
            </w:r>
            <w:r>
              <w:rPr>
                <w:rFonts w:ascii="Arial" w:cs="Arial" w:eastAsia="Arial" w:hAnsi="Arial"/>
                <w:sz w:val="16"/>
                <w:szCs w:val="16"/>
                <w:i w:val="1"/>
                <w:iCs w:val="1"/>
                <w:color w:val="auto"/>
                <w:w w:val="92"/>
              </w:rPr>
              <w:t>incorporated by reference to Exhibit 10.3 filed with the Registrant’s Current Report on Form 8-</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K filed on June 18,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2000 Directors’ Option Plan Forms of Agreements (</w:t>
            </w:r>
            <w:r>
              <w:rPr>
                <w:rFonts w:ascii="Arial" w:cs="Arial" w:eastAsia="Arial" w:hAnsi="Arial"/>
                <w:sz w:val="16"/>
                <w:szCs w:val="16"/>
                <w:i w:val="1"/>
                <w:iCs w:val="1"/>
                <w:color w:val="auto"/>
                <w:w w:val="93"/>
              </w:rPr>
              <w:t>incorporated by reference to Exhibit 10.2 filed with the Registrant’s Quarterly Report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Registrant’s 2008 Employee Stock Plan, as amended and restated (</w:t>
            </w:r>
            <w:r>
              <w:rPr>
                <w:rFonts w:ascii="Arial" w:cs="Arial" w:eastAsia="Arial" w:hAnsi="Arial"/>
                <w:sz w:val="16"/>
                <w:szCs w:val="16"/>
                <w:i w:val="1"/>
                <w:iCs w:val="1"/>
                <w:color w:val="auto"/>
                <w:w w:val="95"/>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10-Q for the fiscal quarter ended July 31, 2010)</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2008 Employee Stock Plan Forms of Agreement (</w:t>
            </w:r>
            <w:r>
              <w:rPr>
                <w:rFonts w:ascii="Arial" w:cs="Arial" w:eastAsia="Arial" w:hAnsi="Arial"/>
                <w:sz w:val="16"/>
                <w:szCs w:val="16"/>
                <w:i w:val="1"/>
                <w:iCs w:val="1"/>
                <w:color w:val="auto"/>
                <w:w w:val="92"/>
              </w:rPr>
              <w:t>incorporated by reference to Exhibit 10.1 filed with the Registrant’s Quarterly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2008 Employee Stock Plan Form of Agreement (</w:t>
            </w:r>
            <w:r>
              <w:rPr>
                <w:rFonts w:ascii="Arial" w:cs="Arial" w:eastAsia="Arial" w:hAnsi="Arial"/>
                <w:sz w:val="16"/>
                <w:szCs w:val="16"/>
                <w:i w:val="1"/>
                <w:iCs w:val="1"/>
                <w:color w:val="auto"/>
                <w:w w:val="94"/>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February 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9"/>
              </w:rPr>
              <w:t>Registrant’s 2008 Employee Stock Plan Forms of Restricted Stock Unit Agreements (</w:t>
            </w:r>
            <w:r>
              <w:rPr>
                <w:rFonts w:ascii="Arial" w:cs="Arial" w:eastAsia="Arial" w:hAnsi="Arial"/>
                <w:sz w:val="16"/>
                <w:szCs w:val="16"/>
                <w:i w:val="1"/>
                <w:iCs w:val="1"/>
                <w:color w:val="auto"/>
                <w:w w:val="99"/>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June 18, 2008</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8"/>
              </w:rPr>
              <w:t>Registrant’s 2008 Employee Stock Plan Forms of Agreement (non-U.S. Employees) (</w:t>
            </w:r>
            <w:r>
              <w:rPr>
                <w:rFonts w:ascii="Arial" w:cs="Arial" w:eastAsia="Arial" w:hAnsi="Arial"/>
                <w:sz w:val="16"/>
                <w:szCs w:val="16"/>
                <w:i w:val="1"/>
                <w:iCs w:val="1"/>
                <w:color w:val="auto"/>
                <w:w w:val="98"/>
              </w:rPr>
              <w:t>incorporated by reference to Exhibit 10.14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2009</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1136015</wp:posOffset>
            </wp:positionV>
            <wp:extent cx="97790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Form 10-K 120</w:t>
      </w:r>
    </w:p>
    <w:p>
      <w:pPr>
        <w:sectPr>
          <w:pgSz w:w="11900" w:h="16838" w:orient="portrait"/>
          <w:cols w:equalWidth="0" w:num="1">
            <w:col w:w="11360"/>
          </w:cols>
          <w:pgMar w:left="240" w:top="125" w:right="2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Exhibit No.</w:t>
            </w:r>
          </w:p>
        </w:tc>
        <w:tc>
          <w:tcPr>
            <w:tcW w:w="1008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0"/>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260" w:type="dxa"/>
            <w:vAlign w:val="bottom"/>
          </w:tcPr>
          <w:p>
            <w:pPr>
              <w:spacing w:after="0"/>
              <w:rPr>
                <w:sz w:val="20"/>
                <w:szCs w:val="20"/>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Form 8-K filed on June 11, 2015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Restricted Stock Unit Agreement (</w:t>
            </w:r>
            <w:r>
              <w:rPr>
                <w:rFonts w:ascii="Arial" w:cs="Arial" w:eastAsia="Arial" w:hAnsi="Arial"/>
                <w:sz w:val="16"/>
                <w:szCs w:val="16"/>
                <w:i w:val="1"/>
                <w:iCs w:val="1"/>
                <w:color w:val="auto"/>
                <w:w w:val="92"/>
              </w:rPr>
              <w:t>incorporated by reference to Exhibit 10.3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Stock Option Agreement (</w:t>
            </w:r>
            <w:r>
              <w:rPr>
                <w:rFonts w:ascii="Arial" w:cs="Arial" w:eastAsia="Arial" w:hAnsi="Arial"/>
                <w:sz w:val="16"/>
                <w:szCs w:val="16"/>
                <w:i w:val="1"/>
                <w:iCs w:val="1"/>
                <w:color w:val="auto"/>
                <w:w w:val="92"/>
              </w:rPr>
              <w:t>incorporated by reference to Exhibit 10.2 filed with the Registrant's Current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Registrant's 2012 Employee Stock Plan Form of Stock Option Agreement (non-U.S. Employees) </w:t>
            </w:r>
            <w:r>
              <w:rPr>
                <w:rFonts w:ascii="Arial" w:cs="Arial" w:eastAsia="Arial" w:hAnsi="Arial"/>
                <w:sz w:val="16"/>
                <w:szCs w:val="16"/>
                <w:i w:val="1"/>
                <w:iCs w:val="1"/>
                <w:color w:val="auto"/>
                <w:w w:val="93"/>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Amendments to certain stock option agreements (</w:t>
            </w:r>
            <w:r>
              <w:rPr>
                <w:rFonts w:ascii="Arial" w:cs="Arial" w:eastAsia="Arial" w:hAnsi="Arial"/>
                <w:sz w:val="16"/>
                <w:szCs w:val="16"/>
                <w:i w:val="1"/>
                <w:iCs w:val="1"/>
                <w:color w:val="auto"/>
                <w:w w:val="94"/>
              </w:rPr>
              <w:t>incorporated by reference to Exhibit 10.16 filed with the Registrant’s Annual Report on Form 10-K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w:t>
            </w:r>
            <w:r>
              <w:rPr>
                <w:rFonts w:ascii="Arial" w:cs="Arial" w:eastAsia="Arial" w:hAnsi="Arial"/>
                <w:sz w:val="16"/>
                <w:szCs w:val="16"/>
                <w:i w:val="1"/>
                <w:iCs w:val="1"/>
                <w:color w:val="auto"/>
                <w:w w:val="93"/>
              </w:rPr>
              <w:t>incorporated by reference to Exhibit 10.1 filed with the Registrant’s Current Report on Form 8-K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June 16,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Form of Stock Option Agreement (</w:t>
            </w:r>
            <w:r>
              <w:rPr>
                <w:rFonts w:ascii="Arial" w:cs="Arial" w:eastAsia="Arial" w:hAnsi="Arial"/>
                <w:sz w:val="16"/>
                <w:szCs w:val="16"/>
                <w:i w:val="1"/>
                <w:iCs w:val="1"/>
                <w:color w:val="auto"/>
                <w:w w:val="93"/>
              </w:rPr>
              <w:t>incorporated by reference to Exhibit 10.1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2010 Outside Directors’ Stock Plan Form of Restricted Stock Award Agreement (</w:t>
            </w:r>
            <w:r>
              <w:rPr>
                <w:rFonts w:ascii="Arial" w:cs="Arial" w:eastAsia="Arial" w:hAnsi="Arial"/>
                <w:sz w:val="16"/>
                <w:szCs w:val="16"/>
                <w:i w:val="1"/>
                <w:iCs w:val="1"/>
                <w:color w:val="auto"/>
                <w:w w:val="94"/>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31, 2010</w:t>
            </w:r>
            <w:r>
              <w:rPr>
                <w:rFonts w:ascii="Arial" w:cs="Arial" w:eastAsia="Arial" w:hAnsi="Arial"/>
                <w:sz w:val="16"/>
                <w:szCs w:val="16"/>
                <w:color w:val="auto"/>
              </w:rPr>
              <w:t>)</w:t>
            </w:r>
          </w:p>
        </w:tc>
      </w:tr>
      <w:tr>
        <w:trPr>
          <w:trHeight w:val="392"/>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Registrant's 2012 Outside Directors' Stock Plan, as amended and restated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5"/>
              </w:rPr>
              <w:t xml:space="preserve">Registrant's 2012 Outside Directors' Stock Plan Form of Restricted Stock Unit Agreement </w:t>
            </w:r>
            <w:r>
              <w:rPr>
                <w:rFonts w:ascii="Arial" w:cs="Arial" w:eastAsia="Arial" w:hAnsi="Arial"/>
                <w:sz w:val="16"/>
                <w:szCs w:val="16"/>
                <w:i w:val="1"/>
                <w:iCs w:val="1"/>
                <w:color w:val="auto"/>
                <w:w w:val="95"/>
              </w:rPr>
              <w:t>(incorporated by reference to Exhibit 10.5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10.23*</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Registrant’s Executive Incentive Plan, as amended and restated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Registrant’s 2005 Non-Qualified Deferred Compensation Plan, as amended and restated, effective as of January 1, 2010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10.1 filed with the Registrant’s Quarterly Report on Form 10-Q for the fiscal quarter ended October 31, 2009)</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Participants, target awards and payout formulas for fiscal year 2016 under the Registrant's Executive Incentive Plan (</w:t>
            </w:r>
            <w:r>
              <w:rPr>
                <w:rFonts w:ascii="Arial" w:cs="Arial" w:eastAsia="Arial" w:hAnsi="Arial"/>
                <w:sz w:val="16"/>
                <w:szCs w:val="16"/>
                <w:i w:val="1"/>
                <w:iCs w:val="1"/>
                <w:color w:val="auto"/>
                <w:w w:val="92"/>
              </w:rPr>
              <w:t>incorporated by reference to Item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5.02 of the Registrant's Current Report on Form 8-K filed on March 17, 2015</w:t>
            </w:r>
            <w:r>
              <w:rPr>
                <w:rFonts w:ascii="Arial" w:cs="Arial" w:eastAsia="Arial" w:hAnsi="Arial"/>
                <w:sz w:val="16"/>
                <w:szCs w:val="16"/>
                <w:color w:val="auto"/>
              </w:rPr>
              <w:t>)</w:t>
            </w:r>
          </w:p>
        </w:tc>
      </w:tr>
      <w:tr>
        <w:trPr>
          <w:trHeight w:val="577"/>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Executive Change in Control Program, as amended and restated (</w:t>
            </w:r>
            <w:r>
              <w:rPr>
                <w:rFonts w:ascii="Arial" w:cs="Arial" w:eastAsia="Arial" w:hAnsi="Arial"/>
                <w:sz w:val="16"/>
                <w:szCs w:val="16"/>
                <w:i w:val="1"/>
                <w:iCs w:val="1"/>
                <w:color w:val="auto"/>
                <w:w w:val="92"/>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September 23,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Sub-Plan of the Autodesk, Inc. 1998 Employee Qualified Stock Purchase Plan, as amended and restated (</w:t>
            </w:r>
            <w:r>
              <w:rPr>
                <w:rFonts w:ascii="Arial" w:cs="Arial" w:eastAsia="Arial" w:hAnsi="Arial"/>
                <w:sz w:val="16"/>
                <w:szCs w:val="16"/>
                <w:i w:val="1"/>
                <w:iCs w:val="1"/>
                <w:color w:val="auto"/>
                <w:w w:val="91"/>
              </w:rPr>
              <w:t>incorporated by reference to Exhibit 10.2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Form 10-Q for the fiscal quarter ended July 31,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10.28*</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Form of Indemnification Agreement executed by Autodesk and each of its officers and directors (</w:t>
            </w:r>
            <w:r>
              <w:rPr>
                <w:rFonts w:ascii="Arial" w:cs="Arial" w:eastAsia="Arial" w:hAnsi="Arial"/>
                <w:sz w:val="16"/>
                <w:szCs w:val="16"/>
                <w:i w:val="1"/>
                <w:iCs w:val="1"/>
                <w:color w:val="auto"/>
                <w:w w:val="94"/>
              </w:rPr>
              <w:t>incorporated by reference to Exhibit 10.8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10.29*</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Third Amended and Restated Employment Agreement between Registrant and Carl Bass dated March 21, 2013 (</w:t>
            </w:r>
            <w:r>
              <w:rPr>
                <w:rFonts w:ascii="Arial" w:cs="Arial" w:eastAsia="Arial" w:hAnsi="Arial"/>
                <w:sz w:val="16"/>
                <w:szCs w:val="16"/>
                <w:i w:val="1"/>
                <w:iCs w:val="1"/>
                <w:color w:val="auto"/>
                <w:w w:val="93"/>
              </w:rPr>
              <w:t>incorporated by reference to Exhibit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10.1 filed with the Registrant’s Current Report on Form 8-K filed on March 25,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 Scott Herren Offer Letter dated September 23, 2014 (</w:t>
            </w:r>
            <w:r>
              <w:rPr>
                <w:rFonts w:ascii="Arial" w:cs="Arial" w:eastAsia="Arial" w:hAnsi="Arial"/>
                <w:sz w:val="16"/>
                <w:szCs w:val="16"/>
                <w:i w:val="1"/>
                <w:iCs w:val="1"/>
                <w:color w:val="auto"/>
                <w:w w:val="92"/>
              </w:rPr>
              <w:t>incorporated by reference to Exhibit 10.1 filed with the Registrant's Quarterly Report on Form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10-Q for the fiscal quarter ended October 31, 2014</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175260</wp:posOffset>
            </wp:positionV>
            <wp:extent cx="97790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2016 Form 10-K 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95"/>
              </w:rPr>
              <w:t>10.31*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Equity Incentive Deferral Plan as amended and restated effective as of June 12, 2008 (</w:t>
            </w:r>
            <w:r>
              <w:rPr>
                <w:rFonts w:ascii="Arial" w:cs="Arial" w:eastAsia="Arial" w:hAnsi="Arial"/>
                <w:sz w:val="16"/>
                <w:szCs w:val="16"/>
                <w:i w:val="1"/>
                <w:iCs w:val="1"/>
                <w:color w:val="auto"/>
                <w:w w:val="92"/>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Quarterly Report on Form 10-Q for the fiscal quarter ended July 31, 2008</w:t>
            </w:r>
            <w:r>
              <w:rPr>
                <w:rFonts w:ascii="Arial" w:cs="Arial" w:eastAsia="Arial" w:hAnsi="Arial"/>
                <w:sz w:val="16"/>
                <w:szCs w:val="16"/>
                <w:color w:val="auto"/>
              </w:rPr>
              <w:t>)</w:t>
            </w:r>
          </w:p>
        </w:tc>
      </w:tr>
      <w:tr>
        <w:trPr>
          <w:trHeight w:val="374"/>
        </w:trPr>
        <w:tc>
          <w:tcPr>
            <w:tcW w:w="700" w:type="dxa"/>
            <w:vAlign w:val="bottom"/>
          </w:tcPr>
          <w:p>
            <w:pPr>
              <w:jc w:val="right"/>
              <w:ind w:right="40"/>
              <w:spacing w:after="0"/>
              <w:rPr>
                <w:sz w:val="20"/>
                <w:szCs w:val="20"/>
                <w:color w:val="auto"/>
              </w:rPr>
            </w:pPr>
            <w:r>
              <w:rPr>
                <w:rFonts w:ascii="Arial" w:cs="Arial" w:eastAsia="Arial" w:hAnsi="Arial"/>
                <w:sz w:val="16"/>
                <w:szCs w:val="16"/>
                <w:color w:val="auto"/>
              </w:rPr>
              <w:t>10.32*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Amendment to Registrant's Equity Incentive Deferral Plan effective as of February 17, 2012 </w:t>
            </w:r>
            <w:r>
              <w:rPr>
                <w:rFonts w:ascii="Arial" w:cs="Arial" w:eastAsia="Arial" w:hAnsi="Arial"/>
                <w:sz w:val="16"/>
                <w:szCs w:val="16"/>
                <w:i w:val="1"/>
                <w:iCs w:val="1"/>
                <w:color w:val="auto"/>
                <w:w w:val="93"/>
              </w:rPr>
              <w:t>(incorporated by reference to Exhibit 10.37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2012)</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10.33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Office Lease between Registrant and the J.H.S. Trust for 111 McInnis Parkway, San Rafael, CA, as amended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Quarterly Report on Form 10-Q for the fiscal quarter ended October 31, 2004)</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10.34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Fourth Amendment to Lease between Registrant and the J.H.S. Holdings L.P. for 111 McInnis Parkway, San Rafael, CA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10.30 filed with the Registrant’s Annual Report on Form 10-K for the fiscal year ended January 31, 2010)</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10.35</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Amended and Restated Credit Agreement, dated as of May 29, 2015, by and among the Registrant, the lenders from time to time party thereto and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6"/>
              </w:rPr>
              <w:t xml:space="preserve">Citibank, N.A., as agent </w:t>
            </w:r>
            <w:r>
              <w:rPr>
                <w:rFonts w:ascii="Arial" w:cs="Arial" w:eastAsia="Arial" w:hAnsi="Arial"/>
                <w:sz w:val="16"/>
                <w:szCs w:val="16"/>
                <w:i w:val="1"/>
                <w:iCs w:val="1"/>
                <w:color w:val="auto"/>
                <w:w w:val="96"/>
              </w:rPr>
              <w:t>(incorporated by reference to Exhibit 10.1 filed with the Registrant's Current Report on Form 8-K filed on May 29, 2015)</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List of Subsidiaries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Consent of Independent Registered Public Accounting Firm (Ernst &amp; Young LLP)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Power of Attorney (contained in the signature page to this Annual Report)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32.1†</w:t>
            </w: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Sarbanes-Oxley Act of 2002 </w:t>
            </w:r>
            <w:r>
              <w:rPr>
                <w:rFonts w:ascii="Arial" w:cs="Arial" w:eastAsia="Arial" w:hAnsi="Arial"/>
                <w:sz w:val="16"/>
                <w:szCs w:val="16"/>
                <w:i w:val="1"/>
                <w:iCs w:val="1"/>
                <w:color w:val="auto"/>
              </w:rPr>
              <w:t>(filed herewith)</w:t>
            </w:r>
          </w:p>
        </w:tc>
      </w:tr>
    </w:tbl>
    <w:p>
      <w:pPr>
        <w:spacing w:after="0" w:line="172"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4"/>
          <w:szCs w:val="14"/>
          <w:color w:val="auto"/>
        </w:rPr>
        <w:t>XBRL Taxonomy Extension Calculation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hanging="412"/>
        <w:spacing w:after="0"/>
        <w:tabs>
          <w:tab w:leader="none" w:pos="4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w:t>
      </w:r>
    </w:p>
    <w:p>
      <w:pPr>
        <w:spacing w:after="0" w:line="28" w:lineRule="exact"/>
        <w:rPr>
          <w:sz w:val="20"/>
          <w:szCs w:val="20"/>
          <w:color w:val="auto"/>
        </w:rPr>
      </w:pPr>
    </w:p>
    <w:p>
      <w:pPr>
        <w:ind w:left="420" w:right="480"/>
        <w:spacing w:after="0" w:line="263" w:lineRule="auto"/>
        <w:rPr>
          <w:sz w:val="20"/>
          <w:szCs w:val="20"/>
          <w:color w:val="auto"/>
        </w:rPr>
      </w:pPr>
      <w:r>
        <w:rPr>
          <w:rFonts w:ascii="Arial" w:cs="Arial" w:eastAsia="Arial" w:hAnsi="Arial"/>
          <w:sz w:val="15"/>
          <w:szCs w:val="15"/>
          <w:color w:val="auto"/>
        </w:rPr>
        <w:t>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ind w:left="420" w:hanging="412"/>
        <w:spacing w:after="0"/>
        <w:tabs>
          <w:tab w:leader="none" w:pos="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97790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Form 10-K 122</w:t>
      </w:r>
    </w:p>
    <w:p>
      <w:pPr>
        <w:sectPr>
          <w:pgSz w:w="11900" w:h="16838" w:orient="portrait"/>
          <w:cols w:equalWidth="0" w:num="1">
            <w:col w:w="11360"/>
          </w:cols>
          <w:pgMar w:left="240" w:top="125"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OUTSIDE DIRECTORS’ STOCK PLAN</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(AS AMENDED AND RESTATED EFFECTIVE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12,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56"/>
        <w:spacing w:after="0" w:line="311"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2012 Outside Directors’ Stock Plan are to attract and retain highly skilled individuals as Directors of the Company, to provide additional incentive to the Outside Directors of the Company to serve as Directors, and to encourage their continued service on the Board.</w:t>
      </w:r>
    </w:p>
    <w:p>
      <w:pPr>
        <w:spacing w:after="0" w:line="154"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in accordance with Section 4 of the Plan.</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5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Restricted Stock or Restricted Stock Units.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or electronic agreement setting forth the terms and conditions applicable to each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10" w:lineRule="exact"/>
        <w:rPr>
          <w:rFonts w:ascii="Arial" w:cs="Arial" w:eastAsia="Arial" w:hAnsi="Arial"/>
          <w:sz w:val="16"/>
          <w:szCs w:val="16"/>
          <w:color w:val="auto"/>
        </w:rPr>
      </w:pPr>
    </w:p>
    <w:p>
      <w:pPr>
        <w:ind w:left="1680" w:hanging="375"/>
        <w:spacing w:after="0"/>
        <w:tabs>
          <w:tab w:leader="none" w:pos="16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in one or a series of related transactions:</w:t>
      </w:r>
    </w:p>
    <w:p>
      <w:pPr>
        <w:spacing w:after="0" w:line="252" w:lineRule="exact"/>
        <w:rPr>
          <w:rFonts w:ascii="Arial" w:cs="Arial" w:eastAsia="Arial" w:hAnsi="Arial"/>
          <w:sz w:val="18"/>
          <w:szCs w:val="18"/>
          <w:color w:val="auto"/>
        </w:rPr>
      </w:pPr>
    </w:p>
    <w:p>
      <w:pPr>
        <w:jc w:val="both"/>
        <w:ind w:left="1300" w:firstLine="1949"/>
        <w:spacing w:after="0" w:line="304" w:lineRule="auto"/>
        <w:tabs>
          <w:tab w:leader="none" w:pos="4093"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377" w:lineRule="exact"/>
        <w:rPr>
          <w:sz w:val="20"/>
          <w:szCs w:val="20"/>
          <w:color w:val="auto"/>
        </w:rPr>
      </w:pPr>
    </w:p>
    <w:p>
      <w:pPr>
        <w:jc w:val="both"/>
        <w:ind w:left="1300" w:firstLine="1949"/>
        <w:spacing w:after="0" w:line="257" w:lineRule="auto"/>
        <w:tabs>
          <w:tab w:leader="none" w:pos="36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3640" w:hanging="391"/>
        <w:spacing w:after="0"/>
        <w:tabs>
          <w:tab w:leader="none" w:pos="36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the Company’s assets;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firstLine="1949"/>
        <w:spacing w:after="0" w:line="277" w:lineRule="auto"/>
        <w:tabs>
          <w:tab w:leader="none" w:pos="373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right="420"/>
        <w:spacing w:after="0" w:line="277" w:lineRule="auto"/>
        <w:rPr>
          <w:rFonts w:ascii="Arial" w:cs="Arial" w:eastAsia="Arial" w:hAnsi="Arial"/>
          <w:sz w:val="18"/>
          <w:szCs w:val="18"/>
          <w:color w:val="auto"/>
        </w:rPr>
      </w:pPr>
      <w:r>
        <w:rPr>
          <w:rFonts w:ascii="Arial" w:cs="Arial" w:eastAsia="Arial" w:hAnsi="Arial"/>
          <w:sz w:val="18"/>
          <w:szCs w:val="18"/>
          <w:color w:val="auto"/>
        </w:rPr>
        <w:t>* The Plan was originally adopted by the Board on November 7, 2011 and approved by the stockholders on January 6, 2012. The Plan was amended and restated via Board approval on March 12, 2015.</w:t>
      </w:r>
    </w:p>
    <w:p>
      <w:pPr>
        <w:sectPr>
          <w:pgSz w:w="11900" w:h="16838" w:orient="portrait"/>
          <w:cols w:equalWidth="0" w:num="1">
            <w:col w:w="11420"/>
          </w:cols>
          <w:pgMar w:left="240" w:top="580" w:right="239" w:bottom="1440" w:gutter="0" w:footer="0" w:header="0"/>
        </w:sectPr>
      </w:pPr>
    </w:p>
    <w:bookmarkStart w:id="123" w:name="page124"/>
    <w:bookmarkEnd w:id="123"/>
    <w:p>
      <w:pPr>
        <w:jc w:val="both"/>
        <w:ind w:left="644"/>
        <w:spacing w:after="0" w:line="259" w:lineRule="auto"/>
        <w:rPr>
          <w:sz w:val="20"/>
          <w:szCs w:val="20"/>
          <w:color w:val="auto"/>
        </w:rPr>
      </w:pPr>
      <w:r>
        <w:rPr>
          <w:rFonts w:ascii="Arial" w:cs="Arial" w:eastAsia="Arial" w:hAnsi="Arial"/>
          <w:sz w:val="18"/>
          <w:szCs w:val="18"/>
          <w:color w:val="auto"/>
        </w:rPr>
        <w:t>who either (A) are Directors as of the 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 actual or threatened proxy contest relating to the election of directors of the Company.</w:t>
      </w:r>
    </w:p>
    <w:p>
      <w:pPr>
        <w:spacing w:after="0" w:line="200" w:lineRule="exact"/>
        <w:rPr>
          <w:sz w:val="20"/>
          <w:szCs w:val="20"/>
          <w:color w:val="auto"/>
        </w:rPr>
      </w:pPr>
    </w:p>
    <w:p>
      <w:pPr>
        <w:spacing w:after="0" w:line="203" w:lineRule="exact"/>
        <w:rPr>
          <w:sz w:val="20"/>
          <w:szCs w:val="20"/>
          <w:color w:val="auto"/>
        </w:rPr>
      </w:pPr>
    </w:p>
    <w:p>
      <w:pPr>
        <w:ind w:left="-656" w:right="220" w:firstLine="1305"/>
        <w:spacing w:after="0" w:line="264" w:lineRule="auto"/>
        <w:tabs>
          <w:tab w:leader="none" w:pos="103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044" w:hanging="395"/>
        <w:spacing w:after="0"/>
        <w:tabs>
          <w:tab w:leader="none" w:pos="10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004" w:hanging="355"/>
        <w:spacing w:after="0"/>
        <w:tabs>
          <w:tab w:leader="none" w:pos="10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Autodesk, Inc., a Delaware corporation, or any successor thereto.</w:t>
      </w:r>
    </w:p>
    <w:p>
      <w:pPr>
        <w:spacing w:after="0" w:line="225" w:lineRule="exact"/>
        <w:rPr>
          <w:rFonts w:ascii="Arial" w:cs="Arial" w:eastAsia="Arial" w:hAnsi="Arial"/>
          <w:sz w:val="18"/>
          <w:szCs w:val="18"/>
          <w:color w:val="auto"/>
        </w:rPr>
      </w:pPr>
    </w:p>
    <w:p>
      <w:pPr>
        <w:ind w:left="-656" w:right="640" w:firstLine="1305"/>
        <w:spacing w:after="0" w:line="277" w:lineRule="auto"/>
        <w:tabs>
          <w:tab w:leader="none" w:pos="9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with respect to an Award, the date that the Award is granted and its exercise price is set (if applicable)</w:t>
      </w:r>
      <w:r>
        <w:rPr>
          <w:rFonts w:ascii="Arial" w:cs="Arial" w:eastAsia="Arial" w:hAnsi="Arial"/>
          <w:sz w:val="18"/>
          <w:szCs w:val="18"/>
          <w:color w:val="000080"/>
        </w:rPr>
        <w:t>,</w:t>
      </w:r>
      <w:r>
        <w:rPr>
          <w:rFonts w:ascii="Arial" w:cs="Arial" w:eastAsia="Arial" w:hAnsi="Arial"/>
          <w:sz w:val="18"/>
          <w:szCs w:val="18"/>
          <w:color w:val="auto"/>
        </w:rPr>
        <w:t xml:space="preserve"> consistent with Applicable Laws and applicable financial accounting rules.</w:t>
      </w:r>
    </w:p>
    <w:p>
      <w:pPr>
        <w:spacing w:after="0" w:line="170" w:lineRule="exact"/>
        <w:rPr>
          <w:rFonts w:ascii="Arial" w:cs="Arial" w:eastAsia="Arial" w:hAnsi="Arial"/>
          <w:sz w:val="18"/>
          <w:szCs w:val="18"/>
          <w:color w:val="auto"/>
        </w:rPr>
      </w:pPr>
    </w:p>
    <w:p>
      <w:pPr>
        <w:ind w:left="1044" w:hanging="395"/>
        <w:spacing w:after="0"/>
        <w:tabs>
          <w:tab w:leader="none" w:pos="10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004" w:hanging="355"/>
        <w:spacing w:after="0"/>
        <w:tabs>
          <w:tab w:leader="none" w:pos="10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1084" w:hanging="435"/>
        <w:spacing w:after="0"/>
        <w:tabs>
          <w:tab w:leader="none" w:pos="108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January 6, 2012.</w:t>
      </w:r>
    </w:p>
    <w:p>
      <w:pPr>
        <w:spacing w:after="0" w:line="225" w:lineRule="exact"/>
        <w:rPr>
          <w:rFonts w:ascii="Arial" w:cs="Arial" w:eastAsia="Arial" w:hAnsi="Arial"/>
          <w:sz w:val="18"/>
          <w:szCs w:val="18"/>
          <w:color w:val="auto"/>
        </w:rPr>
      </w:pPr>
    </w:p>
    <w:p>
      <w:pPr>
        <w:ind w:left="-656" w:right="160" w:firstLine="656"/>
        <w:spacing w:after="0" w:line="259" w:lineRule="auto"/>
        <w:tabs>
          <w:tab w:leader="none" w:pos="3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The payment of a Director’s fee or consulting fee by the Company shall not be sufficient in and of itself to constitute “employment” by the Company unless the Director and the Company agree that, as a result of payment of such fees in connection with services rendered, such Director should not be considered an Outside Director.</w:t>
      </w:r>
    </w:p>
    <w:p>
      <w:pPr>
        <w:spacing w:after="0" w:line="186" w:lineRule="exact"/>
        <w:rPr>
          <w:rFonts w:ascii="Arial" w:cs="Arial" w:eastAsia="Arial" w:hAnsi="Arial"/>
          <w:sz w:val="18"/>
          <w:szCs w:val="18"/>
          <w:color w:val="auto"/>
        </w:rPr>
      </w:pPr>
    </w:p>
    <w:p>
      <w:pPr>
        <w:jc w:val="both"/>
        <w:ind w:left="-656" w:right="380" w:firstLine="1305"/>
        <w:spacing w:after="0" w:line="264" w:lineRule="auto"/>
        <w:tabs>
          <w:tab w:leader="none" w:pos="103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044" w:hanging="395"/>
        <w:spacing w:after="0"/>
        <w:tabs>
          <w:tab w:leader="none" w:pos="10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sz w:val="20"/>
          <w:szCs w:val="20"/>
          <w:color w:val="auto"/>
        </w:rPr>
      </w:pPr>
    </w:p>
    <w:p>
      <w:pPr>
        <w:jc w:val="both"/>
        <w:ind w:left="-656" w:firstLine="656"/>
        <w:spacing w:after="0" w:line="259" w:lineRule="auto"/>
        <w:tabs>
          <w:tab w:leader="none" w:pos="3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or</w:t>
      </w:r>
    </w:p>
    <w:p>
      <w:pPr>
        <w:spacing w:after="0" w:line="186" w:lineRule="exact"/>
        <w:rPr>
          <w:rFonts w:ascii="Arial" w:cs="Arial" w:eastAsia="Arial" w:hAnsi="Arial"/>
          <w:sz w:val="18"/>
          <w:szCs w:val="18"/>
          <w:color w:val="auto"/>
        </w:rPr>
      </w:pPr>
    </w:p>
    <w:p>
      <w:pPr>
        <w:ind w:left="404" w:hanging="404"/>
        <w:spacing w:after="0"/>
        <w:tabs>
          <w:tab w:leader="none" w:pos="4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 by the Administrator.</w:t>
      </w:r>
    </w:p>
    <w:p>
      <w:pPr>
        <w:spacing w:after="0" w:line="248" w:lineRule="exact"/>
        <w:rPr>
          <w:sz w:val="20"/>
          <w:szCs w:val="20"/>
          <w:color w:val="auto"/>
        </w:rPr>
      </w:pPr>
    </w:p>
    <w:p>
      <w:pPr>
        <w:ind w:left="-656" w:right="140" w:firstLine="1305"/>
        <w:spacing w:after="0" w:line="277" w:lineRule="auto"/>
        <w:tabs>
          <w:tab w:leader="none" w:pos="10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Fair Market Value is to be determined as of a date which is not a date on which the Common Stock is traded, then the Fair Market Value on such date shall be the Fair Market Value on the next subsequent trading date.</w:t>
      </w:r>
    </w:p>
    <w:p>
      <w:pPr>
        <w:spacing w:after="0" w:line="170" w:lineRule="exact"/>
        <w:rPr>
          <w:sz w:val="20"/>
          <w:szCs w:val="20"/>
          <w:color w:val="auto"/>
        </w:rPr>
      </w:pPr>
    </w:p>
    <w:p>
      <w:pPr>
        <w:ind w:left="-656" w:right="200" w:firstLine="1305"/>
        <w:spacing w:after="0" w:line="277" w:lineRule="auto"/>
        <w:tabs>
          <w:tab w:leader="none" w:pos="10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224"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84" w:right="239" w:bottom="1440" w:gutter="0" w:footer="0" w:header="0"/>
        </w:sectPr>
      </w:pPr>
    </w:p>
    <w:bookmarkStart w:id="124" w:name="page125"/>
    <w:bookmarkEnd w:id="124"/>
    <w:p>
      <w:pPr>
        <w:ind w:right="140" w:firstLine="1305"/>
        <w:spacing w:after="0" w:line="277" w:lineRule="auto"/>
        <w:tabs>
          <w:tab w:leader="none" w:pos="1656"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or electronic notice evidencing certain terms and conditions of an individual Award. The Notice of Grant is part of the Award Agreement.</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nonqualified stock option granted pursuant to the Plan which is not intended to qualify as an Incentive Stock Option.</w:t>
      </w:r>
    </w:p>
    <w:p>
      <w:pPr>
        <w:spacing w:after="0" w:line="248" w:lineRule="exact"/>
        <w:rPr>
          <w:rFonts w:ascii="Arial" w:cs="Arial" w:eastAsia="Arial" w:hAnsi="Arial"/>
          <w:sz w:val="16"/>
          <w:szCs w:val="16"/>
          <w:color w:val="auto"/>
        </w:rPr>
      </w:pPr>
    </w:p>
    <w:p>
      <w:pPr>
        <w:ind w:left="1000" w:hanging="344"/>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w:t>
      </w:r>
    </w:p>
    <w:p>
      <w:pPr>
        <w:spacing w:after="0" w:line="225" w:lineRule="exact"/>
        <w:rPr>
          <w:rFonts w:ascii="Arial" w:cs="Arial" w:eastAsia="Arial" w:hAnsi="Arial"/>
          <w:sz w:val="18"/>
          <w:szCs w:val="18"/>
          <w:color w:val="auto"/>
        </w:rPr>
      </w:pPr>
    </w:p>
    <w:p>
      <w:pPr>
        <w:ind w:right="600" w:firstLine="1305"/>
        <w:spacing w:after="0" w:line="277" w:lineRule="auto"/>
        <w:tabs>
          <w:tab w:leader="none" w:pos="1726"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2012 Outside Directors’ Stock Plan, as set forth in this instrument and as hereafter amended from time to time.</w:t>
      </w:r>
    </w:p>
    <w:p>
      <w:pPr>
        <w:spacing w:after="0" w:line="237" w:lineRule="exact"/>
        <w:rPr>
          <w:sz w:val="20"/>
          <w:szCs w:val="20"/>
          <w:color w:val="auto"/>
        </w:rPr>
      </w:pPr>
    </w:p>
    <w:p>
      <w:pPr>
        <w:ind w:right="240" w:firstLine="656"/>
        <w:spacing w:after="0" w:line="277" w:lineRule="auto"/>
        <w:tabs>
          <w:tab w:leader="none" w:pos="10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Retirement</w:t>
      </w:r>
      <w:r>
        <w:rPr>
          <w:rFonts w:ascii="Arial" w:cs="Arial" w:eastAsia="Arial" w:hAnsi="Arial"/>
          <w:sz w:val="18"/>
          <w:szCs w:val="18"/>
          <w:color w:val="auto"/>
        </w:rPr>
        <w:t>” means a retirement from the Board after the retiring Director either (i) has attained 62 years of age and has served on the Board for at least five (5) years, or (ii) has served on the Board for at least ten (10) years.</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granted to a Participant pursuant to Section 9.</w:t>
      </w:r>
    </w:p>
    <w:p>
      <w:pPr>
        <w:spacing w:after="0" w:line="225" w:lineRule="exact"/>
        <w:rPr>
          <w:sz w:val="20"/>
          <w:szCs w:val="20"/>
          <w:color w:val="auto"/>
        </w:rPr>
      </w:pPr>
    </w:p>
    <w:p>
      <w:pPr>
        <w:ind w:left="1760" w:hanging="455"/>
        <w:spacing w:after="0"/>
        <w:tabs>
          <w:tab w:leader="none" w:pos="17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pursuant to Section 10.</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of the Exchange Act or any successor to Rule 16b-3, as in effect when discretion is being exercised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respect to the Plan.</w:t>
      </w:r>
    </w:p>
    <w:p>
      <w:pPr>
        <w:spacing w:after="0" w:line="210" w:lineRule="exact"/>
        <w:rPr>
          <w:rFonts w:ascii="Arial" w:cs="Arial" w:eastAsia="Arial" w:hAnsi="Arial"/>
          <w:sz w:val="16"/>
          <w:szCs w:val="16"/>
          <w:color w:val="auto"/>
        </w:rPr>
      </w:pPr>
    </w:p>
    <w:p>
      <w:pPr>
        <w:ind w:left="1760" w:hanging="455"/>
        <w:spacing w:after="0"/>
        <w:tabs>
          <w:tab w:leader="none" w:pos="17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sz w:val="20"/>
          <w:szCs w:val="20"/>
          <w:color w:val="auto"/>
        </w:rPr>
      </w:pPr>
    </w:p>
    <w:p>
      <w:pPr>
        <w:ind w:right="200" w:firstLine="656"/>
        <w:spacing w:after="0" w:line="342" w:lineRule="auto"/>
        <w:tabs>
          <w:tab w:leader="none" w:pos="1028"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Subject to the provisions of Section 13 of the Plan, the maximum aggregate number of Shares which may be issued under the Plan is equal to 1,750,000 Shares, which Shares were, as of January 6, 2012, available for issuance under the Company’s 2010 Outside Directors’ Stock Plan.</w:t>
      </w:r>
    </w:p>
    <w:p>
      <w:pPr>
        <w:spacing w:after="0" w:line="123" w:lineRule="exact"/>
        <w:rPr>
          <w:rFonts w:ascii="Arial" w:cs="Arial" w:eastAsia="Arial" w:hAnsi="Arial"/>
          <w:sz w:val="16"/>
          <w:szCs w:val="16"/>
          <w:color w:val="auto"/>
        </w:rPr>
      </w:pPr>
    </w:p>
    <w:p>
      <w:pPr>
        <w:jc w:val="both"/>
        <w:ind w:firstLine="1305"/>
        <w:spacing w:after="0" w:line="290" w:lineRule="auto"/>
        <w:tabs>
          <w:tab w:leader="none" w:pos="1926"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Shares may be authorized, but unissued, or reacquired Common Stock. Subject to Section 3(c) hereof,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price of an Award will not become available for future grant or sale under the Plan. To the extent an Award under the Plan is paid out in cash rather than Shares, such cash payment will not result in reducing the number of Shares available for issuance under the Plan.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5" w:name="page126"/>
    <w:bookmarkEnd w:id="125"/>
    <w:p>
      <w:pPr>
        <w:ind w:left="-656" w:firstLine="656"/>
        <w:spacing w:after="0" w:line="257" w:lineRule="auto"/>
        <w:tabs>
          <w:tab w:leader="none" w:pos="372"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to the contrary, each Share subject to an Option shall be counted against the Shares authorized for issuance under the Plan as one Share. Each Share subject to an Award of Restricted Stock or Restricted Stock Units shall be counted against the Shares authorized for issuance under the Plan as 2.11 Shares. Each Share which is subject to an Award of Restricted Stock or Restricted Stock Units granted under the Plan which is forfeited to or repurchased by the Company pursuant to Section 3(b) hereof shall count as having returned 2.11 Shares to the total of number of Shares which are available for future grant or sale under the Plan.</w:t>
      </w:r>
    </w:p>
    <w:p>
      <w:pPr>
        <w:spacing w:after="0" w:line="188" w:lineRule="exact"/>
        <w:rPr>
          <w:sz w:val="20"/>
          <w:szCs w:val="20"/>
          <w:color w:val="auto"/>
        </w:rPr>
      </w:pPr>
    </w:p>
    <w:p>
      <w:pPr>
        <w:ind w:left="324" w:hanging="324"/>
        <w:spacing w:after="0"/>
        <w:tabs>
          <w:tab w:leader="none" w:pos="32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656" w:firstLine="656"/>
        <w:spacing w:after="0" w:line="277" w:lineRule="auto"/>
        <w:tabs>
          <w:tab w:leader="none" w:pos="439"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shall be structured to satisfy the requirements for exemption under Rule 16b-3.</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42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The Board shall be the Administrator of the Plan. Subject to the provisions of the Plan, the Administrator shall have the authority, in its discretion:</w:t>
      </w:r>
    </w:p>
    <w:p>
      <w:pPr>
        <w:spacing w:after="0" w:line="170" w:lineRule="exact"/>
        <w:rPr>
          <w:sz w:val="20"/>
          <w:szCs w:val="20"/>
          <w:color w:val="auto"/>
        </w:rPr>
      </w:pPr>
    </w:p>
    <w:p>
      <w:pPr>
        <w:ind w:left="344" w:hanging="344"/>
        <w:spacing w:after="0"/>
        <w:tabs>
          <w:tab w:leader="none" w:pos="3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2(p) of the Plan;</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select the individuals to whom Awards may be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jc w:val="both"/>
        <w:ind w:left="-656" w:right="20" w:firstLine="656"/>
        <w:spacing w:after="0" w:line="264" w:lineRule="auto"/>
        <w:tabs>
          <w:tab w:leader="none" w:pos="4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81" w:lineRule="exact"/>
        <w:rPr>
          <w:rFonts w:ascii="Arial" w:cs="Arial" w:eastAsia="Arial" w:hAnsi="Arial"/>
          <w:sz w:val="18"/>
          <w:szCs w:val="18"/>
          <w:color w:val="auto"/>
        </w:rPr>
      </w:pPr>
    </w:p>
    <w:p>
      <w:pPr>
        <w:ind w:left="484" w:hanging="484"/>
        <w:spacing w:after="0"/>
        <w:tabs>
          <w:tab w:leader="none" w:pos="4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hereunder;</w:t>
      </w:r>
    </w:p>
    <w:p>
      <w:pPr>
        <w:spacing w:after="0" w:line="225" w:lineRule="exact"/>
        <w:rPr>
          <w:rFonts w:ascii="Arial" w:cs="Arial" w:eastAsia="Arial" w:hAnsi="Arial"/>
          <w:sz w:val="18"/>
          <w:szCs w:val="18"/>
          <w:color w:val="auto"/>
        </w:rPr>
      </w:pPr>
    </w:p>
    <w:p>
      <w:pPr>
        <w:ind w:left="-656" w:firstLine="656"/>
        <w:spacing w:after="0" w:line="277" w:lineRule="auto"/>
        <w:tabs>
          <w:tab w:leader="none" w:pos="5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5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656" w:firstLine="656"/>
        <w:spacing w:after="0" w:line="277" w:lineRule="auto"/>
        <w:tabs>
          <w:tab w:leader="none" w:pos="3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444" w:hanging="444"/>
        <w:spacing w:after="0"/>
        <w:tabs>
          <w:tab w:leader="none" w:pos="4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Awards; and</w:t>
      </w:r>
    </w:p>
    <w:p>
      <w:pPr>
        <w:spacing w:after="0" w:line="225" w:lineRule="exact"/>
        <w:rPr>
          <w:rFonts w:ascii="Arial" w:cs="Arial" w:eastAsia="Arial" w:hAnsi="Arial"/>
          <w:sz w:val="18"/>
          <w:szCs w:val="18"/>
          <w:color w:val="auto"/>
        </w:rPr>
      </w:pPr>
    </w:p>
    <w:p>
      <w:pPr>
        <w:ind w:left="484" w:hanging="484"/>
        <w:spacing w:after="0"/>
        <w:tabs>
          <w:tab w:leader="none" w:pos="4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ind w:left="-656" w:firstLine="656"/>
        <w:spacing w:after="0" w:line="277"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Participants and any other holders of Awards and shall be given the maximum deference permitted by law.</w:t>
      </w:r>
    </w:p>
    <w:p>
      <w:pPr>
        <w:spacing w:after="0" w:line="170" w:lineRule="exact"/>
        <w:rPr>
          <w:sz w:val="20"/>
          <w:szCs w:val="20"/>
          <w:color w:val="auto"/>
        </w:rPr>
      </w:pPr>
    </w:p>
    <w:p>
      <w:pPr>
        <w:ind w:left="324" w:hanging="324"/>
        <w:spacing w:after="0"/>
        <w:tabs>
          <w:tab w:leader="none" w:pos="32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only to Outside Directors.</w:t>
      </w:r>
    </w:p>
    <w:p>
      <w:pPr>
        <w:spacing w:after="0" w:line="225" w:lineRule="exact"/>
        <w:rPr>
          <w:rFonts w:ascii="Arial" w:cs="Arial" w:eastAsia="Arial" w:hAnsi="Arial"/>
          <w:sz w:val="18"/>
          <w:szCs w:val="18"/>
          <w:color w:val="auto"/>
        </w:rPr>
      </w:pPr>
    </w:p>
    <w:p>
      <w:pPr>
        <w:ind w:left="-656" w:firstLine="656"/>
        <w:spacing w:after="0" w:line="277"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 Service Rights</w:t>
      </w:r>
      <w:r>
        <w:rPr>
          <w:rFonts w:ascii="Arial" w:cs="Arial" w:eastAsia="Arial" w:hAnsi="Arial"/>
          <w:sz w:val="18"/>
          <w:szCs w:val="18"/>
          <w:color w:val="auto"/>
        </w:rPr>
        <w:t>. Neither the Plan nor any Award shall confer upon a Participant any right with respect to continuing the Participant’s service with the Company or its Subsidiaries.</w:t>
      </w:r>
    </w:p>
    <w:p>
      <w:pPr>
        <w:spacing w:after="0" w:line="224"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84" w:right="239" w:bottom="1440" w:gutter="0" w:footer="0" w:header="0"/>
        </w:sectPr>
      </w:pPr>
    </w:p>
    <w:bookmarkStart w:id="126" w:name="page127"/>
    <w:bookmarkEnd w:id="126"/>
    <w:p>
      <w:pPr>
        <w:ind w:left="324" w:hanging="324"/>
        <w:spacing w:after="0"/>
        <w:tabs>
          <w:tab w:leader="none" w:pos="324"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shall become effective on January 6, 2012 and continue in effect, unless terminated earlier, until June 30, 2022.</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left="-656" w:firstLine="656"/>
        <w:spacing w:after="0" w:line="277" w:lineRule="auto"/>
        <w:tabs>
          <w:tab w:leader="none" w:pos="41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Options may be granted to Outside Directors at any time and from time to time as determined by the Administrator in its sole discretion.</w:t>
      </w:r>
    </w:p>
    <w:p>
      <w:pPr>
        <w:spacing w:after="0" w:line="170" w:lineRule="exact"/>
        <w:rPr>
          <w:rFonts w:ascii="Arial" w:cs="Arial" w:eastAsia="Arial" w:hAnsi="Arial"/>
          <w:sz w:val="18"/>
          <w:szCs w:val="18"/>
          <w:color w:val="auto"/>
        </w:rPr>
      </w:pPr>
    </w:p>
    <w:p>
      <w:pPr>
        <w:jc w:val="both"/>
        <w:ind w:left="-656" w:firstLine="656"/>
        <w:spacing w:after="0" w:line="259" w:lineRule="auto"/>
        <w:tabs>
          <w:tab w:leader="none" w:pos="3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each Option shall be stated in the Notice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shall be no longer than seven (7) years from the Date of Grant. Subject to the limit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186" w:lineRule="exact"/>
        <w:rPr>
          <w:rFonts w:ascii="Arial" w:cs="Arial" w:eastAsia="Arial" w:hAnsi="Arial"/>
          <w:sz w:val="18"/>
          <w:szCs w:val="18"/>
          <w:color w:val="auto"/>
        </w:rPr>
      </w:pPr>
    </w:p>
    <w:p>
      <w:pPr>
        <w:ind w:left="-656" w:firstLine="656"/>
        <w:spacing w:after="0" w:line="277" w:lineRule="auto"/>
        <w:tabs>
          <w:tab w:leader="none" w:pos="41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per share exercise price for the Shares to be issued pursuant to exercise of an Option shall be determined by the Administrator and shall be no less than 100% of the Fair Market Value per share on the Date of Grant</w:t>
      </w:r>
    </w:p>
    <w:p>
      <w:pPr>
        <w:spacing w:after="0" w:line="170" w:lineRule="exact"/>
        <w:rPr>
          <w:rFonts w:ascii="Arial" w:cs="Arial" w:eastAsia="Arial" w:hAnsi="Arial"/>
          <w:sz w:val="18"/>
          <w:szCs w:val="18"/>
          <w:color w:val="auto"/>
        </w:rPr>
      </w:pPr>
    </w:p>
    <w:p>
      <w:pPr>
        <w:jc w:val="both"/>
        <w:ind w:left="-656" w:firstLine="656"/>
        <w:spacing w:after="0" w:line="286" w:lineRule="auto"/>
        <w:tabs>
          <w:tab w:leader="none" w:pos="436"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No Repricing</w:t>
      </w:r>
      <w:r>
        <w:rPr>
          <w:rFonts w:ascii="Arial" w:cs="Arial" w:eastAsia="Arial" w:hAnsi="Arial"/>
          <w:sz w:val="17"/>
          <w:szCs w:val="17"/>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 (a) Awards with a lower exercise price, (b) a different type of Award, (c) cash, or (d) a combination of (a), (b) and/or (c).</w:t>
      </w:r>
    </w:p>
    <w:p>
      <w:pPr>
        <w:spacing w:after="0" w:line="165" w:lineRule="exact"/>
        <w:rPr>
          <w:rFonts w:ascii="Arial" w:cs="Arial" w:eastAsia="Arial" w:hAnsi="Arial"/>
          <w:sz w:val="17"/>
          <w:szCs w:val="17"/>
          <w:color w:val="auto"/>
        </w:rPr>
      </w:pPr>
    </w:p>
    <w:p>
      <w:pPr>
        <w:jc w:val="both"/>
        <w:ind w:left="-656" w:firstLine="656"/>
        <w:spacing w:after="0" w:line="264" w:lineRule="auto"/>
        <w:tabs>
          <w:tab w:leader="none" w:pos="41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81" w:lineRule="exact"/>
        <w:rPr>
          <w:rFonts w:ascii="Arial" w:cs="Arial" w:eastAsia="Arial" w:hAnsi="Arial"/>
          <w:sz w:val="18"/>
          <w:szCs w:val="18"/>
          <w:color w:val="auto"/>
        </w:rPr>
      </w:pPr>
    </w:p>
    <w:p>
      <w:pPr>
        <w:ind w:left="-656" w:firstLine="656"/>
        <w:spacing w:after="0" w:line="277" w:lineRule="auto"/>
        <w:tabs>
          <w:tab w:leader="none" w:pos="36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Subject to Applicable Laws, such consideration may consist entirely of:</w:t>
      </w:r>
    </w:p>
    <w:p>
      <w:pPr>
        <w:spacing w:after="0" w:line="170" w:lineRule="exact"/>
        <w:rPr>
          <w:sz w:val="20"/>
          <w:szCs w:val="20"/>
          <w:color w:val="auto"/>
        </w:rPr>
      </w:pPr>
    </w:p>
    <w:p>
      <w:pPr>
        <w:ind w:left="344" w:hanging="344"/>
        <w:spacing w:after="0"/>
        <w:tabs>
          <w:tab w:leader="none" w:pos="3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jc w:val="both"/>
        <w:ind w:left="-656" w:firstLine="656"/>
        <w:spacing w:after="0" w:line="264" w:lineRule="auto"/>
        <w:tabs>
          <w:tab w:leader="none" w:pos="52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81" w:lineRule="exact"/>
        <w:rPr>
          <w:rFonts w:ascii="Arial" w:cs="Arial" w:eastAsia="Arial" w:hAnsi="Arial"/>
          <w:sz w:val="18"/>
          <w:szCs w:val="18"/>
          <w:color w:val="auto"/>
        </w:rPr>
      </w:pPr>
    </w:p>
    <w:p>
      <w:pPr>
        <w:ind w:left="-656" w:firstLine="656"/>
        <w:spacing w:after="0" w:line="277" w:lineRule="auto"/>
        <w:tabs>
          <w:tab w:leader="none" w:pos="5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656" w:firstLine="656"/>
        <w:spacing w:after="0" w:line="277" w:lineRule="auto"/>
        <w:tabs>
          <w:tab w:leader="none" w:pos="4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70" w:lineRule="exact"/>
        <w:rPr>
          <w:sz w:val="20"/>
          <w:szCs w:val="20"/>
          <w:color w:val="auto"/>
        </w:rPr>
      </w:pPr>
    </w:p>
    <w:p>
      <w:pPr>
        <w:ind w:left="-656" w:firstLine="656"/>
        <w:spacing w:after="0" w:line="277" w:lineRule="auto"/>
        <w:tabs>
          <w:tab w:leader="none" w:pos="39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Exercise of Option; Rights as a Stockholder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Award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79"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84" w:right="239" w:bottom="1440" w:gutter="0" w:footer="0" w:header="0"/>
        </w:sectPr>
      </w:pPr>
    </w:p>
    <w:bookmarkStart w:id="127" w:name="page128"/>
    <w:bookmarkEnd w:id="127"/>
    <w:p>
      <w:pPr>
        <w:jc w:val="both"/>
        <w:ind w:firstLine="648"/>
        <w:spacing w:after="0" w:line="254" w:lineRule="auto"/>
        <w:rPr>
          <w:sz w:val="20"/>
          <w:szCs w:val="20"/>
          <w:color w:val="auto"/>
        </w:rPr>
      </w:pPr>
      <w:r>
        <w:rPr>
          <w:rFonts w:ascii="Arial" w:cs="Arial" w:eastAsia="Arial" w:hAnsi="Arial"/>
          <w:sz w:val="18"/>
          <w:szCs w:val="18"/>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Participant. Until such Shares are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 such Share promptly after the Option is exercised. No adjustment will be made for a dividend or other right for which the record date is prior to the date the Share is issued, except as provided in Section 13 of the Plan.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for sale under the Option, by the number of Shares as to which the Option is exercised.</w:t>
      </w:r>
    </w:p>
    <w:p>
      <w:pPr>
        <w:spacing w:after="0" w:line="170" w:lineRule="exact"/>
        <w:rPr>
          <w:sz w:val="20"/>
          <w:szCs w:val="20"/>
          <w:color w:val="auto"/>
        </w:rPr>
      </w:pPr>
    </w:p>
    <w:p>
      <w:pPr>
        <w:jc w:val="both"/>
        <w:ind w:firstLine="656"/>
        <w:spacing w:after="0" w:line="264" w:lineRule="auto"/>
        <w:tabs>
          <w:tab w:leader="none" w:pos="1119"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an Outside Director</w:t>
      </w:r>
      <w:r>
        <w:rPr>
          <w:rFonts w:ascii="Arial" w:cs="Arial" w:eastAsia="Arial" w:hAnsi="Arial"/>
          <w:sz w:val="18"/>
          <w:szCs w:val="18"/>
          <w:color w:val="auto"/>
        </w:rPr>
        <w:t>. If a Participant ceases to serve as an Outside Director other than by reason of death, Disability or Qualified Retirement, the Participant may exercise his or her Option for seven (7) months following the date of such cessation, to the extent that the Participant was entitled to exercise it on such date.</w:t>
      </w:r>
    </w:p>
    <w:p>
      <w:pPr>
        <w:spacing w:after="0" w:line="181" w:lineRule="exact"/>
        <w:rPr>
          <w:rFonts w:ascii="Arial" w:cs="Arial" w:eastAsia="Arial" w:hAnsi="Arial"/>
          <w:sz w:val="18"/>
          <w:szCs w:val="18"/>
          <w:color w:val="auto"/>
        </w:rPr>
      </w:pPr>
    </w:p>
    <w:p>
      <w:pPr>
        <w:ind w:firstLine="656"/>
        <w:spacing w:after="0" w:line="342" w:lineRule="auto"/>
        <w:tabs>
          <w:tab w:leader="none" w:pos="105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Qualifying Retirement</w:t>
      </w:r>
      <w:r>
        <w:rPr>
          <w:rFonts w:ascii="Arial" w:cs="Arial" w:eastAsia="Arial" w:hAnsi="Arial"/>
          <w:sz w:val="16"/>
          <w:szCs w:val="16"/>
          <w:color w:val="auto"/>
        </w:rPr>
        <w:t>. If a Participant ceases to serve as an Outside Director by reason of a Qualified Retirement, then the Participant may exercise his or her Option for three (3) years following the date of such cessation, to the extent that the Participant was entitled to exercise it on such date.</w:t>
      </w:r>
    </w:p>
    <w:p>
      <w:pPr>
        <w:spacing w:after="0" w:line="123" w:lineRule="exact"/>
        <w:rPr>
          <w:rFonts w:ascii="Arial" w:cs="Arial" w:eastAsia="Arial" w:hAnsi="Arial"/>
          <w:sz w:val="16"/>
          <w:szCs w:val="16"/>
          <w:color w:val="auto"/>
        </w:rPr>
      </w:pPr>
    </w:p>
    <w:p>
      <w:pPr>
        <w:ind w:right="20" w:firstLine="656"/>
        <w:spacing w:after="0" w:line="277" w:lineRule="auto"/>
        <w:tabs>
          <w:tab w:leader="none" w:pos="105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 Participant ceases to serve as an Outside Director by reason of Disability, the Participant may exercise his or her Option for twelve (12) months following the date of such cessation, to the extent that the Participant was entitled to exercise it on such date.</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3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ceases to serve as an Outside Director by reason of the Participant’s death, the Option may be exercised for twelve (12) months following Participant’s death, to the extent that the Participant was entitled to exercise it on such date,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w:t>
      </w:r>
    </w:p>
    <w:p>
      <w:pPr>
        <w:spacing w:after="0" w:line="158" w:lineRule="exact"/>
        <w:rPr>
          <w:rFonts w:ascii="Arial" w:cs="Arial" w:eastAsia="Arial" w:hAnsi="Arial"/>
          <w:sz w:val="16"/>
          <w:szCs w:val="16"/>
          <w:color w:val="auto"/>
        </w:rPr>
      </w:pPr>
    </w:p>
    <w:p>
      <w:pPr>
        <w:jc w:val="both"/>
        <w:ind w:firstLine="656"/>
        <w:spacing w:after="0" w:line="257" w:lineRule="auto"/>
        <w:tabs>
          <w:tab w:leader="none" w:pos="106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the foregoing, in no event may the Option be exercised after its term has expired. If, on the date of cessation of service as an Outside Director, the Participant is not vested as to his or her entire Option, the Shares covered by the unvested portion of the Option shall revert to the Plan. If, after cessation of service as an Outside Director, the Participant (or the Participant’s beneficiary or representative, as the case may be) does not exercise his or her Option within the time specified by the Administrator, the Option shall terminate, and the Shares covered by such Option shall revert to the Plan.</w:t>
      </w:r>
    </w:p>
    <w:p>
      <w:pPr>
        <w:spacing w:after="0" w:line="188"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420" w:firstLine="656"/>
        <w:spacing w:after="0" w:line="277" w:lineRule="auto"/>
        <w:tabs>
          <w:tab w:leader="none" w:pos="102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Outside Directors as the Administrator, in its sole discretion, shall determine.</w:t>
      </w:r>
    </w:p>
    <w:p>
      <w:pPr>
        <w:spacing w:after="0" w:line="170" w:lineRule="exact"/>
        <w:rPr>
          <w:rFonts w:ascii="Arial" w:cs="Arial" w:eastAsia="Arial" w:hAnsi="Arial"/>
          <w:sz w:val="18"/>
          <w:szCs w:val="18"/>
          <w:color w:val="auto"/>
        </w:rPr>
      </w:pPr>
    </w:p>
    <w:p>
      <w:pPr>
        <w:ind w:right="460" w:firstLine="656"/>
        <w:spacing w:after="0" w:line="259" w:lineRule="auto"/>
        <w:tabs>
          <w:tab w:leader="none" w:pos="103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28" w:name="page129"/>
    <w:bookmarkEnd w:id="128"/>
    <w:p>
      <w:pPr>
        <w:ind w:right="240" w:firstLine="656"/>
        <w:spacing w:after="0" w:line="277" w:lineRule="auto"/>
        <w:tabs>
          <w:tab w:leader="none" w:pos="102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9,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200" w:firstLine="656"/>
        <w:spacing w:after="0" w:line="277" w:lineRule="auto"/>
        <w:tabs>
          <w:tab w:leader="none" w:pos="103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 in accordance with this Section 9(d).</w:t>
      </w:r>
    </w:p>
    <w:p>
      <w:pPr>
        <w:spacing w:after="0" w:line="170" w:lineRule="exact"/>
        <w:rPr>
          <w:sz w:val="20"/>
          <w:szCs w:val="20"/>
          <w:color w:val="auto"/>
        </w:rPr>
      </w:pPr>
    </w:p>
    <w:p>
      <w:pPr>
        <w:ind w:right="500" w:firstLine="656"/>
        <w:spacing w:after="0" w:line="308" w:lineRule="auto"/>
        <w:tabs>
          <w:tab w:leader="none" w:pos="998"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General Restrictions</w:t>
      </w:r>
      <w:r>
        <w:rPr>
          <w:rFonts w:ascii="Arial" w:cs="Arial" w:eastAsia="Arial" w:hAnsi="Arial"/>
          <w:sz w:val="17"/>
          <w:szCs w:val="17"/>
          <w:color w:val="auto"/>
        </w:rPr>
        <w:t>. The Administrator may set restrictions based upon continued service with the Company and its affiliates, applicable federal or state securities laws, other Applicable Laws, or any other basis determined by the Administrator in its discretion.</w:t>
      </w:r>
    </w:p>
    <w:p>
      <w:pPr>
        <w:spacing w:after="0" w:line="146" w:lineRule="exact"/>
        <w:rPr>
          <w:rFonts w:ascii="Arial" w:cs="Arial" w:eastAsia="Arial" w:hAnsi="Arial"/>
          <w:sz w:val="17"/>
          <w:szCs w:val="17"/>
          <w:color w:val="auto"/>
        </w:rPr>
      </w:pPr>
    </w:p>
    <w:p>
      <w:pPr>
        <w:ind w:left="1060" w:hanging="404"/>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The Administrator, in its discretion, may legend the Shares representing Restricted Stock to give appropriate notice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restrictions.</w:t>
      </w:r>
    </w:p>
    <w:p>
      <w:pPr>
        <w:spacing w:after="0" w:line="211" w:lineRule="exact"/>
        <w:rPr>
          <w:sz w:val="20"/>
          <w:szCs w:val="20"/>
          <w:color w:val="auto"/>
        </w:rPr>
      </w:pPr>
    </w:p>
    <w:p>
      <w:pPr>
        <w:ind w:right="200" w:firstLine="656"/>
        <w:spacing w:after="0" w:line="255" w:lineRule="auto"/>
        <w:tabs>
          <w:tab w:leader="none" w:pos="10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9, Shares of Restricted Stock covered by each Restricted Stock grant made under the Plan shall be 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 removed from his or her Share,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93" w:lineRule="exact"/>
        <w:rPr>
          <w:rFonts w:ascii="Arial" w:cs="Arial" w:eastAsia="Arial" w:hAnsi="Arial"/>
          <w:sz w:val="18"/>
          <w:szCs w:val="18"/>
          <w:color w:val="auto"/>
        </w:rPr>
      </w:pPr>
    </w:p>
    <w:p>
      <w:pPr>
        <w:ind w:right="380" w:firstLine="656"/>
        <w:spacing w:after="0" w:line="277" w:lineRule="auto"/>
        <w:tabs>
          <w:tab w:leader="none" w:pos="100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60" w:firstLine="656"/>
        <w:spacing w:after="0" w:line="259"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186" w:lineRule="exact"/>
        <w:rPr>
          <w:rFonts w:ascii="Arial" w:cs="Arial" w:eastAsia="Arial" w:hAnsi="Arial"/>
          <w:sz w:val="18"/>
          <w:szCs w:val="18"/>
          <w:color w:val="auto"/>
        </w:rPr>
      </w:pPr>
    </w:p>
    <w:p>
      <w:pPr>
        <w:ind w:right="100" w:firstLine="656"/>
        <w:spacing w:after="0" w:line="277"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the Company</w:t>
      </w:r>
      <w:r>
        <w:rPr>
          <w:rFonts w:ascii="Arial" w:cs="Arial" w:eastAsia="Arial" w:hAnsi="Arial"/>
          <w:sz w:val="18"/>
          <w:szCs w:val="18"/>
          <w:color w:val="auto"/>
        </w:rPr>
        <w:t>. On the date set forth in the Award Agreement, the Restricted Stock for which restrictions have not lapsed shall revert to the Company and again shall become available for grant under the Plan.</w:t>
      </w:r>
    </w:p>
    <w:p>
      <w:pPr>
        <w:spacing w:after="0" w:line="170" w:lineRule="exact"/>
        <w:rPr>
          <w:sz w:val="20"/>
          <w:szCs w:val="20"/>
          <w:color w:val="auto"/>
        </w:rPr>
      </w:pPr>
    </w:p>
    <w:p>
      <w:pPr>
        <w:ind w:left="1060" w:hanging="40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1" w:lineRule="auto"/>
        <w:tabs>
          <w:tab w:leader="none" w:pos="99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Outside Director who first joins the Board shall be automatically granted Restricted Stock Units for that number of Shares as determined by dividing $450,000 by the Fair Market Value of a Share on the date of grant, rounded down to the nearest whole Share (the “Initial Restricted Stock Units”), upon the date of the first meeting of the Board at which such person first serves as an Outside Director (which shall be (i) in the case of an Outside Director elected by the stockholders of the Company, the first meeting of the Board after the meeting of stockholders at which such Outside Director was elected or (ii) in the case of an Outside Director appointed by the Board to fill a vacancy, the meeting of the Board at which such Outside Director is appointed); provided, however, that no Restricted Stock Unit shall be settled or paid under the Plan until stockholder approval of the Plan has been obtained in accordance with Section 14(b) hereof; and provided further, however, that the number of Shares subject to a grant of Initial Restricted Stock Units shall be subject to review and revision by the Board on an annual basis.</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3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On the date of each annual stockholder meeting (an “Annual Meeting”) during the term of this Plan, each Outside Director shall automatically receive an additional award of Restricted Stock Units for that number of Shares as determined by dividing $250,000 by the Fair Market Value of a Share on the date of grant, rounded down to the nearest whole Share (the “Annual Restricted Stock Units”), provided that (1) the Annual Restricted Stock Units shall</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29" w:name="page130"/>
    <w:bookmarkEnd w:id="129"/>
    <w:p>
      <w:pPr>
        <w:jc w:val="both"/>
        <w:spacing w:after="0" w:line="264" w:lineRule="auto"/>
        <w:rPr>
          <w:sz w:val="20"/>
          <w:szCs w:val="20"/>
          <w:color w:val="auto"/>
        </w:rPr>
      </w:pPr>
      <w:r>
        <w:rPr>
          <w:rFonts w:ascii="Arial" w:cs="Arial" w:eastAsia="Arial" w:hAnsi="Arial"/>
          <w:sz w:val="18"/>
          <w:szCs w:val="18"/>
          <w:color w:val="auto"/>
        </w:rPr>
        <w:t>be granted only to an Outside Director who has served on the Board for at least six full months prior to the date of grant and (2) the grant of Annual Restricted Stock Units shall be subject to the Outside Director’s continued service; provided, however, that the number of Shares subject to a grant of Annual Restricted Stock Units shall be subject to review and revision by the Board on an annual basis.</w:t>
      </w:r>
    </w:p>
    <w:p>
      <w:pPr>
        <w:spacing w:after="0" w:line="181" w:lineRule="exact"/>
        <w:rPr>
          <w:sz w:val="20"/>
          <w:szCs w:val="20"/>
          <w:color w:val="auto"/>
        </w:rPr>
      </w:pPr>
    </w:p>
    <w:p>
      <w:pPr>
        <w:jc w:val="both"/>
        <w:ind w:firstLine="1953"/>
        <w:spacing w:after="0" w:line="264" w:lineRule="auto"/>
        <w:tabs>
          <w:tab w:leader="none" w:pos="242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Each grant of Initial Restricted Stock Units shall vest at the rate of 1/3 on each of the first three anniversaries of its date of grant, provided that the Participant is an Outside Director on such date. Each grant of Annual Restricted Stock Units shall vest on the date of the following year’s Annual Meeting, provided that the Participant is an Outside Director on such date.</w:t>
      </w:r>
    </w:p>
    <w:p>
      <w:pPr>
        <w:spacing w:after="0" w:line="181" w:lineRule="exact"/>
        <w:rPr>
          <w:rFonts w:ascii="Arial" w:cs="Arial" w:eastAsia="Arial" w:hAnsi="Arial"/>
          <w:sz w:val="18"/>
          <w:szCs w:val="18"/>
          <w:color w:val="auto"/>
        </w:rPr>
      </w:pPr>
    </w:p>
    <w:p>
      <w:pPr>
        <w:jc w:val="both"/>
        <w:ind w:firstLine="1953"/>
        <w:spacing w:after="0" w:line="284" w:lineRule="auto"/>
        <w:tabs>
          <w:tab w:leader="none" w:pos="245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On or before December 31 of the calendar year prior to each Annual Meeting during the term of this Plan, each Outside Director may make an election (the “Election”) to receive any or all of his or her annual cash retainer that will be earned for services performed as an Outside Director in calendar years after the calendar year in which the election is made in the form of a Restricted Stock Unit Award. The Election must be in writing and delivered to the Secretary of the Company on or prior to December 31 of the calendar year prior to such Annual Meeting. Any such Election made by an Outside Director shall be irrevocable and shall comply with Section 409A of the Code to the extent applicable unless otherwise determined by the Board. Effective as of immediately following the Annual Meeting, the Outside Director shall receive a Restricted Stock Unit Award for that number of Shares determined by dividing (1) the product of (a) the amount of his or her annual retainer as an Outside Director covered by the Election, multiplied by (b) 1.2, by</w:t>
      </w:r>
    </w:p>
    <w:p>
      <w:pPr>
        <w:spacing w:after="0" w:line="2" w:lineRule="exact"/>
        <w:rPr>
          <w:rFonts w:ascii="Arial" w:cs="Arial" w:eastAsia="Arial" w:hAnsi="Arial"/>
          <w:sz w:val="16"/>
          <w:szCs w:val="16"/>
          <w:color w:val="auto"/>
        </w:rPr>
      </w:pPr>
    </w:p>
    <w:p>
      <w:pPr>
        <w:jc w:val="both"/>
        <w:ind w:firstLine="8"/>
        <w:spacing w:after="0" w:line="254" w:lineRule="auto"/>
        <w:tabs>
          <w:tab w:leader="none" w:pos="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Fair Market Value of a Share on that date, rounded down to the nearest whole Share, provided that on the date of grant of any such Restricted Stock Unit Award such person is an Outside Director; and provided further that sufficient Shares are available under the Plan for the grant of such Restricted Stock Unit Award. Such Restricted Stock Unit Award shall vest on the date of the following year’s Annual Meeting of Stockholders of the Company, provided that the Participant is an Outside Director on such date.</w:t>
      </w:r>
    </w:p>
    <w:p>
      <w:pPr>
        <w:spacing w:after="0" w:line="189" w:lineRule="exact"/>
        <w:rPr>
          <w:rFonts w:ascii="Arial" w:cs="Arial" w:eastAsia="Arial" w:hAnsi="Arial"/>
          <w:sz w:val="18"/>
          <w:szCs w:val="18"/>
          <w:color w:val="auto"/>
        </w:rPr>
      </w:pPr>
    </w:p>
    <w:p>
      <w:pPr>
        <w:ind w:left="1040" w:hanging="384"/>
        <w:spacing w:after="0"/>
        <w:tabs>
          <w:tab w:leader="none" w:pos="104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Value of Restricted Stock Units</w:t>
      </w:r>
      <w:r>
        <w:rPr>
          <w:rFonts w:ascii="Arial" w:cs="Arial" w:eastAsia="Arial" w:hAnsi="Arial"/>
          <w:sz w:val="16"/>
          <w:szCs w:val="16"/>
          <w:color w:val="auto"/>
        </w:rPr>
        <w:t>. Each Restricted Stock Unit shall have an initial value equal to the Fair Market Value of a Share on the Grant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460" w:firstLine="656"/>
        <w:spacing w:after="0" w:line="264" w:lineRule="auto"/>
        <w:tabs>
          <w:tab w:leader="none" w:pos="1028"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Each Award of Restricted Stock Units shall be evidenced by an Award Agreement that shall specify the vesting conditions, the number of Restricted Stock Units granted, and such other terms and conditions as the Administrator, in its sole discretion, shall determine.</w:t>
      </w:r>
    </w:p>
    <w:p>
      <w:pPr>
        <w:spacing w:after="0" w:line="181" w:lineRule="exact"/>
        <w:rPr>
          <w:rFonts w:ascii="Arial" w:cs="Arial" w:eastAsia="Arial" w:hAnsi="Arial"/>
          <w:sz w:val="18"/>
          <w:szCs w:val="18"/>
          <w:color w:val="auto"/>
        </w:rPr>
      </w:pPr>
    </w:p>
    <w:p>
      <w:pPr>
        <w:ind w:right="160" w:firstLine="656"/>
        <w:spacing w:after="0" w:line="264" w:lineRule="auto"/>
        <w:tabs>
          <w:tab w:leader="none" w:pos="1038"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181" w:lineRule="exact"/>
        <w:rPr>
          <w:rFonts w:ascii="Arial" w:cs="Arial" w:eastAsia="Arial" w:hAnsi="Arial"/>
          <w:sz w:val="18"/>
          <w:szCs w:val="18"/>
          <w:color w:val="auto"/>
        </w:rPr>
      </w:pPr>
    </w:p>
    <w:p>
      <w:pPr>
        <w:ind w:right="180" w:firstLine="656"/>
        <w:spacing w:after="0" w:line="277" w:lineRule="auto"/>
        <w:tabs>
          <w:tab w:leader="none" w:pos="1028"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Cancellation of Restricted Stock Units</w:t>
      </w:r>
      <w:r>
        <w:rPr>
          <w:rFonts w:ascii="Arial" w:cs="Arial" w:eastAsia="Arial" w:hAnsi="Arial"/>
          <w:sz w:val="18"/>
          <w:szCs w:val="18"/>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170" w:lineRule="exact"/>
        <w:rPr>
          <w:sz w:val="20"/>
          <w:szCs w:val="20"/>
          <w:color w:val="auto"/>
        </w:rPr>
      </w:pPr>
    </w:p>
    <w:p>
      <w:pPr>
        <w:ind w:firstLine="656"/>
        <w:spacing w:after="0" w:line="277" w:lineRule="auto"/>
        <w:tabs>
          <w:tab w:leader="none" w:pos="112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Unless the Administrator provides otherwise or except as otherwise required by Applicable Laws, vesting of Awards granted hereunder shall continue during any leave of absence approved by the Administrator.</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56"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Non-Transferability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 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0" w:name="page131"/>
    <w:bookmarkEnd w:id="130"/>
    <w:p>
      <w:pPr>
        <w:ind w:left="1060" w:hanging="40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10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94" w:lineRule="exact"/>
        <w:rPr>
          <w:rFonts w:ascii="Arial" w:cs="Arial" w:eastAsia="Arial" w:hAnsi="Arial"/>
          <w:sz w:val="18"/>
          <w:szCs w:val="18"/>
          <w:color w:val="auto"/>
        </w:rPr>
      </w:pPr>
    </w:p>
    <w:p>
      <w:pPr>
        <w:jc w:val="both"/>
        <w:ind w:firstLine="656"/>
        <w:spacing w:after="0" w:line="255" w:lineRule="auto"/>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89" w:lineRule="exact"/>
        <w:rPr>
          <w:rFonts w:ascii="Arial" w:cs="Arial" w:eastAsia="Arial" w:hAnsi="Arial"/>
          <w:sz w:val="18"/>
          <w:szCs w:val="18"/>
          <w:color w:val="auto"/>
        </w:rPr>
      </w:pPr>
    </w:p>
    <w:p>
      <w:pPr>
        <w:ind w:firstLine="656"/>
        <w:spacing w:after="0" w:line="277" w:lineRule="auto"/>
        <w:tabs>
          <w:tab w:leader="none" w:pos="106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each outstanding Award shall be assumed or an equivalent Award substituted by the successor corporation or a Parent or Subsidiary of the successor corporation.</w:t>
      </w:r>
    </w:p>
    <w:p>
      <w:pPr>
        <w:spacing w:after="0" w:line="170"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In the event that the successor corporation refuses to assume or substitute for the Award, the Participant shall fully vest in and have the right to exercise all of his or her outstanding Options, including Shares as to which such Awards would not otherwise be vested or exercisable, all restrictions on Restricted Stock will lapse and all Restricted Stock Units shall become fully vested. In addition, if an Option is not assumed or substituted 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158"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 xml:space="preserve">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1" w:name="page132"/>
    <w:bookmarkEnd w:id="131"/>
    <w:p>
      <w:pPr>
        <w:ind w:left="404" w:hanging="404"/>
        <w:spacing w:after="0"/>
        <w:tabs>
          <w:tab w:leader="none" w:pos="40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64" w:lineRule="auto"/>
        <w:tabs>
          <w:tab w:leader="none" w:pos="38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Subject to Section 8(d) hereof, the Board may at any time amend, alter, suspend or terminate the Plan; provided, however, that to the extent necessary and desirable to comply with any Applicable Law, the Company shall obtain stockholder approval of any Plan amendment in such a manner and to such a degree as required.</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51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pacing w:after="0" w:line="181" w:lineRule="exact"/>
        <w:rPr>
          <w:sz w:val="20"/>
          <w:szCs w:val="20"/>
          <w:color w:val="auto"/>
        </w:rPr>
      </w:pPr>
    </w:p>
    <w:p>
      <w:pPr>
        <w:ind w:left="404" w:hanging="404"/>
        <w:spacing w:after="0"/>
        <w:tabs>
          <w:tab w:leader="none" w:pos="40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jc w:val="both"/>
        <w:ind w:left="-656" w:right="20" w:firstLine="656"/>
        <w:spacing w:after="0" w:line="264" w:lineRule="auto"/>
        <w:tabs>
          <w:tab w:leader="none" w:pos="42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43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187" w:lineRule="exact"/>
        <w:rPr>
          <w:sz w:val="20"/>
          <w:szCs w:val="20"/>
          <w:color w:val="auto"/>
        </w:rPr>
      </w:pPr>
    </w:p>
    <w:p>
      <w:pPr>
        <w:ind w:left="404" w:hanging="404"/>
        <w:spacing w:after="0"/>
        <w:tabs>
          <w:tab w:leader="none" w:pos="40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64" w:lineRule="auto"/>
        <w:tabs>
          <w:tab w:leader="none" w:pos="37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1" w:lineRule="exact"/>
        <w:rPr>
          <w:rFonts w:ascii="Arial" w:cs="Arial" w:eastAsia="Arial" w:hAnsi="Arial"/>
          <w:sz w:val="18"/>
          <w:szCs w:val="18"/>
          <w:color w:val="auto"/>
        </w:rPr>
      </w:pPr>
    </w:p>
    <w:p>
      <w:pPr>
        <w:jc w:val="both"/>
        <w:ind w:left="-656" w:firstLine="656"/>
        <w:spacing w:after="0" w:line="312" w:lineRule="auto"/>
        <w:tabs>
          <w:tab w:leader="none" w:pos="43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Grants Exceeding Allotted Shares</w:t>
      </w:r>
      <w:r>
        <w:rPr>
          <w:rFonts w:ascii="Arial" w:cs="Arial" w:eastAsia="Arial" w:hAnsi="Arial"/>
          <w:sz w:val="16"/>
          <w:szCs w:val="16"/>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14(b) of the Plan.</w:t>
      </w:r>
    </w:p>
    <w:p>
      <w:pPr>
        <w:spacing w:after="0" w:line="147" w:lineRule="exact"/>
        <w:rPr>
          <w:sz w:val="20"/>
          <w:szCs w:val="20"/>
          <w:color w:val="auto"/>
        </w:rPr>
      </w:pPr>
    </w:p>
    <w:p>
      <w:pPr>
        <w:ind w:left="-656" w:right="20" w:firstLine="656"/>
        <w:spacing w:after="0" w:line="277" w:lineRule="auto"/>
        <w:tabs>
          <w:tab w:leader="none" w:pos="41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42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The Administrator,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spacing w:after="0" w:line="181" w:lineRule="exact"/>
        <w:rPr>
          <w:rFonts w:ascii="Arial" w:cs="Arial" w:eastAsia="Arial" w:hAnsi="Arial"/>
          <w:sz w:val="18"/>
          <w:szCs w:val="18"/>
          <w:color w:val="auto"/>
        </w:rPr>
      </w:pPr>
    </w:p>
    <w:p>
      <w:pPr>
        <w:ind w:left="-656" w:firstLine="656"/>
        <w:spacing w:after="0" w:line="277" w:lineRule="auto"/>
        <w:tabs>
          <w:tab w:leader="none" w:pos="43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Outside Director shall have the right to be selected to receive an Award under this Plan, or, having been so selected, to be selected to receive a future Award.</w:t>
      </w:r>
    </w:p>
    <w:p>
      <w:pPr>
        <w:spacing w:after="0" w:line="170" w:lineRule="exact"/>
        <w:rPr>
          <w:rFonts w:ascii="Arial" w:cs="Arial" w:eastAsia="Arial" w:hAnsi="Arial"/>
          <w:sz w:val="18"/>
          <w:szCs w:val="18"/>
          <w:color w:val="auto"/>
        </w:rPr>
      </w:pPr>
    </w:p>
    <w:p>
      <w:pPr>
        <w:jc w:val="both"/>
        <w:ind w:left="-656" w:firstLine="656"/>
        <w:spacing w:after="0" w:line="312" w:lineRule="auto"/>
        <w:tabs>
          <w:tab w:leader="none" w:pos="41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Except to the limited extent provided in Sections 9(f) or 9(g), no Participant (nor any beneficiary) shall have any of the rights or privileges of a stockholder of the Company with respect to any Shares issuable pursuant to an Award (or exercise thereof), unless and until such Shares shall have been issued, recorded on the records of the Company or its transfer agents or registrars, and delivered to the Participant (or beneficiary).</w:t>
      </w:r>
    </w:p>
    <w:p>
      <w:pPr>
        <w:spacing w:after="0" w:line="146" w:lineRule="exact"/>
        <w:rPr>
          <w:rFonts w:ascii="Arial" w:cs="Arial" w:eastAsia="Arial" w:hAnsi="Arial"/>
          <w:sz w:val="16"/>
          <w:szCs w:val="16"/>
          <w:color w:val="auto"/>
        </w:rPr>
      </w:pPr>
    </w:p>
    <w:p>
      <w:pPr>
        <w:jc w:val="both"/>
        <w:ind w:left="-656" w:firstLine="656"/>
        <w:spacing w:after="0" w:line="276" w:lineRule="auto"/>
        <w:tabs>
          <w:tab w:leader="none" w:pos="424"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w:t>
      </w:r>
    </w:p>
    <w:p>
      <w:pPr>
        <w:spacing w:after="0" w:line="227"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584" w:right="239" w:bottom="1440" w:gutter="0" w:footer="0" w:header="0"/>
        </w:sectPr>
      </w:pPr>
    </w:p>
    <w:bookmarkStart w:id="132" w:name="page133"/>
    <w:bookmarkEnd w:id="132"/>
    <w:p>
      <w:pPr>
        <w:jc w:val="both"/>
        <w:spacing w:after="0" w:line="255" w:lineRule="auto"/>
        <w:rPr>
          <w:sz w:val="20"/>
          <w:szCs w:val="20"/>
          <w:color w:val="auto"/>
        </w:rPr>
      </w:pPr>
      <w:r>
        <w:rPr>
          <w:rFonts w:ascii="Arial" w:cs="Arial" w:eastAsia="Arial" w:hAnsi="Arial"/>
          <w:sz w:val="18"/>
          <w:szCs w:val="18"/>
          <w:color w:val="auto"/>
        </w:rPr>
        <w:t>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89" w:lineRule="exact"/>
        <w:rPr>
          <w:sz w:val="20"/>
          <w:szCs w:val="20"/>
          <w:color w:val="auto"/>
        </w:rPr>
      </w:pPr>
    </w:p>
    <w:p>
      <w:pPr>
        <w:jc w:val="both"/>
        <w:ind w:firstLine="656"/>
        <w:spacing w:after="0" w:line="270"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81" w:lineRule="exact"/>
        <w:rPr>
          <w:rFonts w:ascii="Arial" w:cs="Arial" w:eastAsia="Arial" w:hAnsi="Arial"/>
          <w:sz w:val="17"/>
          <w:szCs w:val="17"/>
          <w:color w:val="auto"/>
        </w:rPr>
      </w:pPr>
    </w:p>
    <w:p>
      <w:pPr>
        <w:jc w:val="both"/>
        <w:ind w:right="20" w:firstLine="656"/>
        <w:spacing w:after="0" w:line="264" w:lineRule="auto"/>
        <w:tabs>
          <w:tab w:leader="none" w:pos="105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81" w:lineRule="exact"/>
        <w:rPr>
          <w:rFonts w:ascii="Arial" w:cs="Arial" w:eastAsia="Arial" w:hAnsi="Arial"/>
          <w:sz w:val="18"/>
          <w:szCs w:val="18"/>
          <w:color w:val="auto"/>
        </w:rPr>
      </w:pPr>
    </w:p>
    <w:p>
      <w:pPr>
        <w:ind w:firstLine="656"/>
        <w:spacing w:after="0" w:line="277" w:lineRule="auto"/>
        <w:tabs>
          <w:tab w:leader="none" w:pos="110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rFonts w:ascii="Arial" w:cs="Arial" w:eastAsia="Arial" w:hAnsi="Arial"/>
          <w:sz w:val="18"/>
          <w:szCs w:val="18"/>
          <w:color w:val="auto"/>
        </w:rPr>
      </w:pPr>
    </w:p>
    <w:p>
      <w:pPr>
        <w:ind w:firstLine="656"/>
        <w:spacing w:after="0" w:line="277" w:lineRule="auto"/>
        <w:tabs>
          <w:tab w:leader="none" w:pos="106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ind w:firstLine="656"/>
        <w:spacing w:after="0" w:line="277" w:lineRule="auto"/>
        <w:tabs>
          <w:tab w:leader="none" w:pos="105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California (with the exception of its conflict of laws provisions).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are provided herein for convenience only, and shall not serve as a basis for interpretation or construction of the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INCENTIVE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APRIL 19, 2014</w:t>
      </w:r>
    </w:p>
    <w:p>
      <w:pPr>
        <w:spacing w:after="0" w:line="189" w:lineRule="exact"/>
        <w:rPr>
          <w:sz w:val="20"/>
          <w:szCs w:val="20"/>
          <w:color w:val="auto"/>
        </w:rPr>
      </w:pPr>
    </w:p>
    <w:p>
      <w:pPr>
        <w:ind w:right="20" w:firstLine="332"/>
        <w:spacing w:after="0" w:line="271" w:lineRule="auto"/>
        <w:tabs>
          <w:tab w:leader="none" w:pos="699"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Purposes of the Plan</w:t>
      </w:r>
      <w:r>
        <w:rPr>
          <w:rFonts w:ascii="Arial" w:cs="Arial" w:eastAsia="Arial" w:hAnsi="Arial"/>
          <w:sz w:val="17"/>
          <w:szCs w:val="17"/>
          <w:color w:val="auto"/>
        </w:rPr>
        <w:t>. This Autodesk, Inc. Executive Incentive Plan sets forth the plan for payment of cash bonuses to those executive officers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designated for participation and is intended to increase stockholder value and the success of the Company by motivating executives to perform to the best of their abilities and to achieve the Company’s objectives. The Plan’s goals are to be achieved by providing such executives with incentive awards based on the achievement of goals relating to the performance of the Company or one of its business units or upon the achievement of objectively determinable performance goals. The Plan is intended to permit the payment of bonuses that may qualify as Performance-Based Compensation as well as of bonuses which are not intended to qualify as Performance-Based Compensation. The Plan, as amended and restated as of April 19, 2014, is effective with respect to Awards relating to fiscal years 2016 and later. Awards with respect to fiscal years prior to fiscal year 2016 shall be governed by the terms of the Autodesk, Inc. Executive Incentive Plan as in effect immediately prior to this amendment and restatement.</w:t>
      </w:r>
    </w:p>
    <w:p>
      <w:pPr>
        <w:spacing w:after="0" w:line="138" w:lineRule="exact"/>
        <w:rPr>
          <w:rFonts w:ascii="Arial" w:cs="Arial" w:eastAsia="Arial" w:hAnsi="Arial"/>
          <w:sz w:val="17"/>
          <w:szCs w:val="17"/>
          <w:color w:val="auto"/>
        </w:rPr>
      </w:pPr>
    </w:p>
    <w:p>
      <w:pPr>
        <w:ind w:left="700" w:hanging="368"/>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40" w:right="280" w:firstLine="316"/>
        <w:spacing w:after="0" w:line="277" w:lineRule="auto"/>
        <w:tabs>
          <w:tab w:leader="none" w:pos="104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Revenue</w:t>
      </w:r>
      <w:r>
        <w:rPr>
          <w:rFonts w:ascii="Arial" w:cs="Arial" w:eastAsia="Arial" w:hAnsi="Arial"/>
          <w:sz w:val="18"/>
          <w:szCs w:val="18"/>
          <w:color w:val="auto"/>
        </w:rPr>
        <w:t>” means the Company’s or a business unit’s net sales for the Fiscal Year, determined in accordance with generally accepted accounting principles.</w:t>
      </w:r>
    </w:p>
    <w:p>
      <w:pPr>
        <w:spacing w:after="0" w:line="129" w:lineRule="exact"/>
        <w:rPr>
          <w:rFonts w:ascii="Arial" w:cs="Arial" w:eastAsia="Arial" w:hAnsi="Arial"/>
          <w:sz w:val="18"/>
          <w:szCs w:val="18"/>
          <w:color w:val="auto"/>
        </w:rPr>
      </w:pPr>
    </w:p>
    <w:p>
      <w:pPr>
        <w:ind w:left="340" w:firstLine="316"/>
        <w:spacing w:after="0" w:line="264" w:lineRule="auto"/>
        <w:tabs>
          <w:tab w:leader="none" w:pos="105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with respect to each Participant, the award determined pursuant to Section 8(a) below for a Performance Period. Each Award is determined by a Payout Formula for a Performance Period, subject to the Committee’s authority under Section 8(a) to eliminate or reduce the Award otherwise payable.</w:t>
      </w:r>
    </w:p>
    <w:p>
      <w:pPr>
        <w:spacing w:after="0" w:line="140" w:lineRule="exact"/>
        <w:rPr>
          <w:rFonts w:ascii="Arial" w:cs="Arial" w:eastAsia="Arial" w:hAnsi="Arial"/>
          <w:sz w:val="18"/>
          <w:szCs w:val="18"/>
          <w:color w:val="auto"/>
        </w:rPr>
      </w:pPr>
    </w:p>
    <w:p>
      <w:pPr>
        <w:ind w:left="340" w:right="300" w:firstLine="316"/>
        <w:spacing w:after="0" w:line="342" w:lineRule="auto"/>
        <w:tabs>
          <w:tab w:leader="none" w:pos="104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Base Salary</w:t>
      </w:r>
      <w:r>
        <w:rPr>
          <w:rFonts w:ascii="Arial" w:cs="Arial" w:eastAsia="Arial" w:hAnsi="Arial"/>
          <w:sz w:val="16"/>
          <w:szCs w:val="16"/>
          <w:color w:val="auto"/>
        </w:rPr>
        <w:t>” means, as to any Performance Period, the Participant’s annualized salary rate on the last day of the Performance Period. Such Base Salary shall be before both (a) deductions for taxes or benefits, and (b) deferrals of compensation pursuant to Company-sponsored plans.</w:t>
      </w:r>
    </w:p>
    <w:p>
      <w:pPr>
        <w:spacing w:after="0" w:line="83" w:lineRule="exact"/>
        <w:rPr>
          <w:rFonts w:ascii="Arial" w:cs="Arial" w:eastAsia="Arial" w:hAnsi="Arial"/>
          <w:sz w:val="16"/>
          <w:szCs w:val="16"/>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Position</w:t>
      </w:r>
      <w:r>
        <w:rPr>
          <w:rFonts w:ascii="Arial" w:cs="Arial" w:eastAsia="Arial" w:hAnsi="Arial"/>
          <w:sz w:val="18"/>
          <w:szCs w:val="18"/>
          <w:color w:val="auto"/>
        </w:rPr>
        <w:t>” means the Company’s level of cash and cash equivalents.</w:t>
      </w:r>
    </w:p>
    <w:p>
      <w:pPr>
        <w:spacing w:after="0" w:line="184" w:lineRule="exact"/>
        <w:rPr>
          <w:rFonts w:ascii="Arial" w:cs="Arial" w:eastAsia="Arial" w:hAnsi="Arial"/>
          <w:sz w:val="18"/>
          <w:szCs w:val="18"/>
          <w:color w:val="auto"/>
        </w:rPr>
      </w:pPr>
    </w:p>
    <w:p>
      <w:pPr>
        <w:ind w:left="1020" w:hanging="364"/>
        <w:spacing w:after="0"/>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84" w:lineRule="exact"/>
        <w:rPr>
          <w:rFonts w:ascii="Arial" w:cs="Arial" w:eastAsia="Arial" w:hAnsi="Arial"/>
          <w:sz w:val="18"/>
          <w:szCs w:val="18"/>
          <w:color w:val="auto"/>
        </w:rPr>
      </w:pPr>
    </w:p>
    <w:p>
      <w:pPr>
        <w:ind w:left="340" w:right="220" w:firstLine="316"/>
        <w:spacing w:after="0" w:line="259" w:lineRule="auto"/>
        <w:tabs>
          <w:tab w:leader="none" w:pos="105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and Human Resources Committee of the Board, or a sub-committee of the Compensation and Human Resources Committee, which shall, with respect to payments hereunder intended to qualify as performance-based compensation under Code Section 162(m), consist solely of two or more members of the Board who are not employees of the Company and who otherwise qualify as “outside directors” within the meaning of Section 162(m).</w:t>
      </w:r>
    </w:p>
    <w:p>
      <w:pPr>
        <w:spacing w:after="0" w:line="146" w:lineRule="exact"/>
        <w:rPr>
          <w:rFonts w:ascii="Arial" w:cs="Arial" w:eastAsia="Arial" w:hAnsi="Arial"/>
          <w:sz w:val="18"/>
          <w:szCs w:val="18"/>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Autodesk, Inc. or any of its subsidiaries (as such term is defined in Code Section 424(f)).</w:t>
      </w:r>
    </w:p>
    <w:p>
      <w:pPr>
        <w:spacing w:after="0" w:line="184" w:lineRule="exact"/>
        <w:rPr>
          <w:rFonts w:ascii="Arial" w:cs="Arial" w:eastAsia="Arial" w:hAnsi="Arial"/>
          <w:sz w:val="18"/>
          <w:szCs w:val="18"/>
          <w:color w:val="auto"/>
        </w:rPr>
      </w:pPr>
    </w:p>
    <w:p>
      <w:pPr>
        <w:jc w:val="both"/>
        <w:ind w:left="340" w:right="180" w:firstLine="316"/>
        <w:spacing w:after="0" w:line="264" w:lineRule="auto"/>
        <w:tabs>
          <w:tab w:leader="none" w:pos="101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Earnings Per Share</w:t>
      </w:r>
      <w:r>
        <w:rPr>
          <w:rFonts w:ascii="Arial" w:cs="Arial" w:eastAsia="Arial" w:hAnsi="Arial"/>
          <w:sz w:val="18"/>
          <w:szCs w:val="18"/>
          <w:color w:val="auto"/>
        </w:rPr>
        <w:t>” means, as to any Fiscal Year, the Company’s or a business unit’s Net Income, divided by a weighted average number of common shares outstanding and dilutive common equivalent shares deemed outstanding, determined in accordance with generally accepted accounting principles.</w:t>
      </w:r>
    </w:p>
    <w:p>
      <w:pPr>
        <w:spacing w:after="0" w:line="140" w:lineRule="exact"/>
        <w:rPr>
          <w:rFonts w:ascii="Arial" w:cs="Arial" w:eastAsia="Arial" w:hAnsi="Arial"/>
          <w:sz w:val="18"/>
          <w:szCs w:val="18"/>
          <w:color w:val="auto"/>
        </w:rPr>
      </w:pPr>
    </w:p>
    <w:p>
      <w:pPr>
        <w:ind w:left="1000" w:hanging="344"/>
        <w:spacing w:after="0"/>
        <w:tabs>
          <w:tab w:leader="none" w:pos="10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a fiscal year of the Company.</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Award</w:t>
      </w:r>
      <w:r>
        <w:rPr>
          <w:rFonts w:ascii="Arial" w:cs="Arial" w:eastAsia="Arial" w:hAnsi="Arial"/>
          <w:sz w:val="18"/>
          <w:szCs w:val="18"/>
          <w:color w:val="auto"/>
        </w:rPr>
        <w:t>” means as to any Participant for any Performance Period, $4 million.</w:t>
      </w:r>
    </w:p>
    <w:p>
      <w:pPr>
        <w:spacing w:after="0" w:line="184" w:lineRule="exact"/>
        <w:rPr>
          <w:rFonts w:ascii="Arial" w:cs="Arial" w:eastAsia="Arial" w:hAnsi="Arial"/>
          <w:sz w:val="18"/>
          <w:szCs w:val="18"/>
          <w:color w:val="auto"/>
        </w:rPr>
      </w:pPr>
    </w:p>
    <w:p>
      <w:pPr>
        <w:ind w:left="340" w:right="120" w:firstLine="316"/>
        <w:spacing w:after="0" w:line="277" w:lineRule="auto"/>
        <w:tabs>
          <w:tab w:leader="none" w:pos="101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as to any Fiscal Year, the income after taxes of the Company for the Fiscal Year determined in accordance with generally accepted accounting principles.</w:t>
      </w:r>
    </w:p>
    <w:p>
      <w:pPr>
        <w:spacing w:after="0" w:line="129" w:lineRule="exact"/>
        <w:rPr>
          <w:rFonts w:ascii="Arial" w:cs="Arial" w:eastAsia="Arial" w:hAnsi="Arial"/>
          <w:sz w:val="18"/>
          <w:szCs w:val="18"/>
          <w:color w:val="auto"/>
        </w:rPr>
      </w:pPr>
    </w:p>
    <w:p>
      <w:pPr>
        <w:ind w:left="340" w:right="740" w:firstLine="316"/>
        <w:spacing w:after="0" w:line="277" w:lineRule="auto"/>
        <w:tabs>
          <w:tab w:leader="none" w:pos="110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Cash Flow</w:t>
      </w:r>
      <w:r>
        <w:rPr>
          <w:rFonts w:ascii="Arial" w:cs="Arial" w:eastAsia="Arial" w:hAnsi="Arial"/>
          <w:sz w:val="18"/>
          <w:szCs w:val="18"/>
          <w:color w:val="auto"/>
        </w:rPr>
        <w:t>” means the Company’s or a business unit’s sum of Net Income plus depreciation and amortization less capital expenditures plus changes in working capital comprised of accounts receivable, inventories, other</w:t>
      </w:r>
    </w:p>
    <w:p>
      <w:pPr>
        <w:sectPr>
          <w:pgSz w:w="11900" w:h="16838" w:orient="portrait"/>
          <w:cols w:equalWidth="0" w:num="1">
            <w:col w:w="11420"/>
          </w:cols>
          <w:pgMar w:left="240" w:top="796" w:right="239" w:bottom="1440" w:gutter="0" w:footer="0" w:header="0"/>
        </w:sectPr>
      </w:pPr>
    </w:p>
    <w:bookmarkStart w:id="134" w:name="page135"/>
    <w:bookmarkEnd w:id="134"/>
    <w:p>
      <w:pPr>
        <w:ind w:right="740"/>
        <w:spacing w:after="0" w:line="277" w:lineRule="auto"/>
        <w:rPr>
          <w:sz w:val="20"/>
          <w:szCs w:val="20"/>
          <w:color w:val="auto"/>
        </w:rPr>
      </w:pPr>
      <w:r>
        <w:rPr>
          <w:rFonts w:ascii="Arial" w:cs="Arial" w:eastAsia="Arial" w:hAnsi="Arial"/>
          <w:sz w:val="18"/>
          <w:szCs w:val="18"/>
          <w:color w:val="auto"/>
        </w:rPr>
        <w:t>current assets, trade accounts payable, accrued expenses, product warranty, advance payments from customers and long-term accrued expenses, determined in accordance with generally acceptable accounting principles.</w:t>
      </w:r>
    </w:p>
    <w:p>
      <w:pPr>
        <w:spacing w:after="0" w:line="130" w:lineRule="exact"/>
        <w:rPr>
          <w:sz w:val="20"/>
          <w:szCs w:val="20"/>
          <w:color w:val="auto"/>
        </w:rPr>
      </w:pPr>
    </w:p>
    <w:p>
      <w:pPr>
        <w:ind w:left="700" w:hanging="38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Margins</w:t>
      </w:r>
      <w:r>
        <w:rPr>
          <w:rFonts w:ascii="Arial" w:cs="Arial" w:eastAsia="Arial" w:hAnsi="Arial"/>
          <w:sz w:val="18"/>
          <w:szCs w:val="18"/>
          <w:color w:val="auto"/>
        </w:rPr>
        <w:t>” means the ratio of Operating Income to Annual Revenue.</w:t>
      </w:r>
    </w:p>
    <w:p>
      <w:pPr>
        <w:spacing w:after="0" w:line="184" w:lineRule="exact"/>
        <w:rPr>
          <w:rFonts w:ascii="Arial" w:cs="Arial" w:eastAsia="Arial" w:hAnsi="Arial"/>
          <w:sz w:val="18"/>
          <w:szCs w:val="18"/>
          <w:color w:val="auto"/>
        </w:rPr>
      </w:pPr>
    </w:p>
    <w:p>
      <w:pPr>
        <w:ind w:right="440" w:firstLine="316"/>
        <w:spacing w:after="0" w:line="277" w:lineRule="auto"/>
        <w:tabs>
          <w:tab w:leader="none" w:pos="7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Income</w:t>
      </w:r>
      <w:r>
        <w:rPr>
          <w:rFonts w:ascii="Arial" w:cs="Arial" w:eastAsia="Arial" w:hAnsi="Arial"/>
          <w:sz w:val="18"/>
          <w:szCs w:val="18"/>
          <w:color w:val="auto"/>
        </w:rPr>
        <w:t>” means the Company’s or a business unit’s income from operations determined in accordance with generally accepted accounting principles.</w:t>
      </w:r>
    </w:p>
    <w:p>
      <w:pPr>
        <w:spacing w:after="0" w:line="129" w:lineRule="exact"/>
        <w:rPr>
          <w:rFonts w:ascii="Arial" w:cs="Arial" w:eastAsia="Arial" w:hAnsi="Arial"/>
          <w:sz w:val="18"/>
          <w:szCs w:val="18"/>
          <w:color w:val="auto"/>
        </w:rPr>
      </w:pPr>
    </w:p>
    <w:p>
      <w:pPr>
        <w:ind w:right="200" w:firstLine="316"/>
        <w:spacing w:after="0" w:line="277" w:lineRule="auto"/>
        <w:tabs>
          <w:tab w:leader="none" w:pos="7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executive or key employee of the Company selected by the Committee, in its sole discretion, to participate in the Plan for a Performance Period.</w:t>
      </w:r>
    </w:p>
    <w:p>
      <w:pPr>
        <w:spacing w:after="0" w:line="129" w:lineRule="exact"/>
        <w:rPr>
          <w:rFonts w:ascii="Arial" w:cs="Arial" w:eastAsia="Arial" w:hAnsi="Arial"/>
          <w:sz w:val="18"/>
          <w:szCs w:val="18"/>
          <w:color w:val="auto"/>
        </w:rPr>
      </w:pPr>
    </w:p>
    <w:p>
      <w:pPr>
        <w:ind w:right="300" w:firstLine="316"/>
        <w:spacing w:after="0" w:line="277" w:lineRule="auto"/>
        <w:tabs>
          <w:tab w:leader="none" w:pos="7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Payout Determination Date</w:t>
      </w:r>
      <w:r>
        <w:rPr>
          <w:rFonts w:ascii="Arial" w:cs="Arial" w:eastAsia="Arial" w:hAnsi="Arial"/>
          <w:sz w:val="18"/>
          <w:szCs w:val="18"/>
          <w:color w:val="auto"/>
        </w:rPr>
        <w:t>” means the date upon which the Committee determines the amounts payable pursuant to the Target Award and Payout Formula with respect to any previously completed Performance Period, in accordance with Section 8(a).</w:t>
      </w:r>
    </w:p>
    <w:p>
      <w:pPr>
        <w:spacing w:after="0" w:line="129" w:lineRule="exact"/>
        <w:rPr>
          <w:rFonts w:ascii="Arial" w:cs="Arial" w:eastAsia="Arial" w:hAnsi="Arial"/>
          <w:sz w:val="18"/>
          <w:szCs w:val="18"/>
          <w:color w:val="auto"/>
        </w:rPr>
      </w:pPr>
    </w:p>
    <w:p>
      <w:pPr>
        <w:ind w:right="240" w:firstLine="316"/>
        <w:spacing w:after="0" w:line="264" w:lineRule="auto"/>
        <w:tabs>
          <w:tab w:leader="none" w:pos="6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Payout Formula</w:t>
      </w:r>
      <w:r>
        <w:rPr>
          <w:rFonts w:ascii="Arial" w:cs="Arial" w:eastAsia="Arial" w:hAnsi="Arial"/>
          <w:sz w:val="18"/>
          <w:szCs w:val="18"/>
          <w:color w:val="auto"/>
        </w:rPr>
        <w:t>” means, as to any Performance Period, the formula or payout matrix established by the Committee pursuant to Section 7 in order to determine the Awards (if any) to be paid to Participants, which is generally expressed as a percentage (which may be more than 100%) of the Target Award. The formula or matrix may differ from Participant to Participant.</w:t>
      </w:r>
    </w:p>
    <w:p>
      <w:pPr>
        <w:spacing w:after="0" w:line="140" w:lineRule="exact"/>
        <w:rPr>
          <w:rFonts w:ascii="Arial" w:cs="Arial" w:eastAsia="Arial" w:hAnsi="Arial"/>
          <w:sz w:val="18"/>
          <w:szCs w:val="18"/>
          <w:color w:val="auto"/>
        </w:rPr>
      </w:pPr>
    </w:p>
    <w:p>
      <w:pPr>
        <w:ind w:right="20" w:firstLine="316"/>
        <w:spacing w:after="0" w:line="277" w:lineRule="auto"/>
        <w:tabs>
          <w:tab w:leader="none" w:pos="6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means compensation that is intended to qualify as “performance-based compensation” within the meaning of Section 162(m).</w:t>
      </w:r>
    </w:p>
    <w:p>
      <w:pPr>
        <w:spacing w:after="0" w:line="129" w:lineRule="exact"/>
        <w:rPr>
          <w:rFonts w:ascii="Arial" w:cs="Arial" w:eastAsia="Arial" w:hAnsi="Arial"/>
          <w:sz w:val="18"/>
          <w:szCs w:val="18"/>
          <w:color w:val="auto"/>
        </w:rPr>
      </w:pPr>
    </w:p>
    <w:p>
      <w:pPr>
        <w:ind w:right="20" w:firstLine="316"/>
        <w:spacing w:after="0" w:line="285" w:lineRule="auto"/>
        <w:tabs>
          <w:tab w:leader="none" w:pos="67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means the goal(s) (or combined goal(s)) determined by the Committee (in its discretion) to be applicable to a Participant with respect to an Award. As determined by the Committee, the Performance Goals applicable to an Award may provide for a targeted level or levels of achievement using one or more of the following measures: (a) Annual Revenue, (b) Cash Position, (c) Earnings Per Share, (d) Net Income, (e) Operating Cash Flow, (f) Operating Margins, (g) Operating Income, (h) Return on Assets, (i) Return on Equity, (j) Return on Sales, (k) Total Stockholder Return, (l) recurring revenue (including annualized), (m) bookings, (n) billings, (o) number of customers, (p) objective customer indicators, (q) expenses, (r) cost reduction goals, (s) economic value added, (t) cash flow (including operating cash flow or free cash flow), (u) cash flow per share and (v) sales or revenue targets, including product or product family targets. The Performance Goals may be based on absolute target numbers or growth in one or more such categories compared to a prior period. The measures which constitute the Performance Goals may, at the discretion of the Committee, be based on Pro Forma numbers and may, as the Committee specifies, either include or exclude the effect of payment of the bonuses under this Plan and any other bonus plans of the Company. The Performance Goals may differ from Participant to Participant and from Award to Award. In establishing a Performance Goal on the Target Determination Date, the Committee may provide that the attainment of the Performance Goal shall be measured by appropriately adjusting the evaluation of Performance Goal performance to exclude (i) any extraordinary non-recurring items as described in Accounting Principles Board Opinion No. 30 (or any successor thereto) and/or in management’s discussion and analysis of financial conditions and results of operations appearing in the Company’s annual report to stockholders for the applicable year, or (ii) the effect of any changes in accounting principles affecting the Company’s or a business unit’s reported results. None of the actions taken by the Committee in accordance with this Section 2(t) shall cause any compensation which is intended to qualify as Performance-Based Compensation to fail to so qualify.</w:t>
      </w:r>
    </w:p>
    <w:p>
      <w:pPr>
        <w:spacing w:after="0" w:line="137" w:lineRule="exact"/>
        <w:rPr>
          <w:rFonts w:ascii="Arial" w:cs="Arial" w:eastAsia="Arial" w:hAnsi="Arial"/>
          <w:sz w:val="16"/>
          <w:szCs w:val="16"/>
          <w:color w:val="auto"/>
        </w:rPr>
      </w:pPr>
    </w:p>
    <w:p>
      <w:pPr>
        <w:ind w:left="700" w:hanging="38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any Fiscal Year or such other period as determined by the Committee in its sole discretion.</w:t>
      </w:r>
    </w:p>
    <w:p>
      <w:pPr>
        <w:spacing w:after="0" w:line="184" w:lineRule="exact"/>
        <w:rPr>
          <w:rFonts w:ascii="Arial" w:cs="Arial" w:eastAsia="Arial" w:hAnsi="Arial"/>
          <w:sz w:val="18"/>
          <w:szCs w:val="18"/>
          <w:color w:val="auto"/>
        </w:rPr>
      </w:pPr>
    </w:p>
    <w:p>
      <w:pPr>
        <w:ind w:left="700" w:hanging="38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Autodesk, Inc. Executive Incentive Plan.</w:t>
      </w:r>
    </w:p>
    <w:p>
      <w:pPr>
        <w:spacing w:after="0" w:line="184" w:lineRule="exact"/>
        <w:rPr>
          <w:rFonts w:ascii="Arial" w:cs="Arial" w:eastAsia="Arial" w:hAnsi="Arial"/>
          <w:sz w:val="18"/>
          <w:szCs w:val="18"/>
          <w:color w:val="auto"/>
        </w:rPr>
      </w:pPr>
    </w:p>
    <w:p>
      <w:pPr>
        <w:ind w:left="740" w:hanging="424"/>
        <w:spacing w:after="0"/>
        <w:tabs>
          <w:tab w:leader="none" w:pos="7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Year</w:t>
      </w:r>
      <w:r>
        <w:rPr>
          <w:rFonts w:ascii="Arial" w:cs="Arial" w:eastAsia="Arial" w:hAnsi="Arial"/>
          <w:sz w:val="18"/>
          <w:szCs w:val="18"/>
          <w:color w:val="auto"/>
        </w:rPr>
        <w:t>” means the Company’s fiscal year.</w:t>
      </w:r>
    </w:p>
    <w:p>
      <w:pPr>
        <w:spacing w:after="0" w:line="184" w:lineRule="exact"/>
        <w:rPr>
          <w:rFonts w:ascii="Arial" w:cs="Arial" w:eastAsia="Arial" w:hAnsi="Arial"/>
          <w:sz w:val="18"/>
          <w:szCs w:val="18"/>
          <w:color w:val="auto"/>
        </w:rPr>
      </w:pPr>
    </w:p>
    <w:p>
      <w:pPr>
        <w:ind w:right="440" w:firstLine="316"/>
        <w:spacing w:after="0" w:line="264" w:lineRule="auto"/>
        <w:tabs>
          <w:tab w:leader="none" w:pos="7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w:t>
      </w:r>
      <w:r>
        <w:rPr>
          <w:rFonts w:ascii="Arial" w:cs="Arial" w:eastAsia="Arial" w:hAnsi="Arial"/>
          <w:sz w:val="18"/>
          <w:szCs w:val="18"/>
          <w:color w:val="auto"/>
        </w:rPr>
        <w:t>” means calculation of a Performance Goal in a manner that excludes extraordinary or one-time expenses or credits, such as restructuring expenses, extraordinary tax events, expenses or credits related to stock options and/or other equity compensation or the like, instead of conforming to generally accepted accounting principles.</w:t>
      </w:r>
    </w:p>
    <w:p>
      <w:pPr>
        <w:spacing w:after="0" w:line="140" w:lineRule="exact"/>
        <w:rPr>
          <w:rFonts w:ascii="Arial" w:cs="Arial" w:eastAsia="Arial" w:hAnsi="Arial"/>
          <w:sz w:val="18"/>
          <w:szCs w:val="18"/>
          <w:color w:val="auto"/>
        </w:rPr>
      </w:pPr>
    </w:p>
    <w:p>
      <w:pPr>
        <w:ind w:firstLine="316"/>
        <w:spacing w:after="0" w:line="308" w:lineRule="auto"/>
        <w:tabs>
          <w:tab w:leader="none" w:pos="71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Return on Assets</w:t>
      </w:r>
      <w:r>
        <w:rPr>
          <w:rFonts w:ascii="Arial" w:cs="Arial" w:eastAsia="Arial" w:hAnsi="Arial"/>
          <w:sz w:val="17"/>
          <w:szCs w:val="17"/>
          <w:color w:val="auto"/>
        </w:rPr>
        <w:t>” means the percentage equal to the Company’s or a business unit’s Operating Income before incentive compensation, divided by average net Company or business unit, as applicable, assets, determined in accordance with generally accepted accounting principles.</w:t>
      </w:r>
    </w:p>
    <w:p>
      <w:pPr>
        <w:sectPr>
          <w:pgSz w:w="11900" w:h="16838" w:orient="portrait"/>
          <w:cols w:equalWidth="0" w:num="1">
            <w:col w:w="11080"/>
          </w:cols>
          <w:pgMar w:left="580" w:top="584" w:right="239" w:bottom="1440" w:gutter="0" w:footer="0" w:header="0"/>
        </w:sectPr>
      </w:pPr>
    </w:p>
    <w:bookmarkStart w:id="135" w:name="page136"/>
    <w:bookmarkEnd w:id="135"/>
    <w:p>
      <w:pPr>
        <w:ind w:left="8" w:right="760" w:firstLine="316"/>
        <w:spacing w:after="0" w:line="277" w:lineRule="auto"/>
        <w:tabs>
          <w:tab w:leader="none" w:pos="71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Return on Equity</w:t>
      </w:r>
      <w:r>
        <w:rPr>
          <w:rFonts w:ascii="Arial" w:cs="Arial" w:eastAsia="Arial" w:hAnsi="Arial"/>
          <w:sz w:val="18"/>
          <w:szCs w:val="18"/>
          <w:color w:val="auto"/>
        </w:rPr>
        <w:t>” means the percentage equal to the Company’s Net Income divided by average stockholder’s equity, determined in accordance with generally accepted accounting principles.</w:t>
      </w:r>
    </w:p>
    <w:p>
      <w:pPr>
        <w:spacing w:after="0" w:line="130" w:lineRule="exact"/>
        <w:rPr>
          <w:sz w:val="20"/>
          <w:szCs w:val="20"/>
          <w:color w:val="auto"/>
        </w:rPr>
      </w:pPr>
    </w:p>
    <w:p>
      <w:pPr>
        <w:ind w:left="8" w:firstLine="316"/>
        <w:spacing w:after="0" w:line="308" w:lineRule="auto"/>
        <w:tabs>
          <w:tab w:leader="none" w:pos="79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Return on Sales</w:t>
      </w:r>
      <w:r>
        <w:rPr>
          <w:rFonts w:ascii="Arial" w:cs="Arial" w:eastAsia="Arial" w:hAnsi="Arial"/>
          <w:sz w:val="17"/>
          <w:szCs w:val="17"/>
          <w:color w:val="auto"/>
        </w:rPr>
        <w:t>” means the percentage equal to the Company’s or a business unit’s Operating Income before incentive compensation, divided by the Company’s or the business unit’s, as applicable, revenue, determined in accordance with generally accepted accounting principles.</w:t>
      </w:r>
    </w:p>
    <w:p>
      <w:pPr>
        <w:spacing w:after="0" w:line="106" w:lineRule="exact"/>
        <w:rPr>
          <w:rFonts w:ascii="Arial" w:cs="Arial" w:eastAsia="Arial" w:hAnsi="Arial"/>
          <w:sz w:val="17"/>
          <w:szCs w:val="17"/>
          <w:color w:val="auto"/>
        </w:rPr>
      </w:pPr>
    </w:p>
    <w:p>
      <w:pPr>
        <w:ind w:left="8" w:right="20" w:firstLine="316"/>
        <w:spacing w:after="0" w:line="277" w:lineRule="auto"/>
        <w:tabs>
          <w:tab w:leader="none" w:pos="8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w:t>
      </w:r>
      <w:r>
        <w:rPr>
          <w:rFonts w:ascii="Arial" w:cs="Arial" w:eastAsia="Arial" w:hAnsi="Arial"/>
          <w:sz w:val="18"/>
          <w:szCs w:val="18"/>
          <w:color w:val="auto"/>
        </w:rPr>
        <w:t>” means Section 162(m) of the Code, or any successor to Section 162(m), as that Section may be interpreted from time to time by the Internal Revenue Service, whether by regulation, notice or otherwise.</w:t>
      </w:r>
    </w:p>
    <w:p>
      <w:pPr>
        <w:spacing w:after="0" w:line="129" w:lineRule="exact"/>
        <w:rPr>
          <w:rFonts w:ascii="Arial" w:cs="Arial" w:eastAsia="Arial" w:hAnsi="Arial"/>
          <w:sz w:val="18"/>
          <w:szCs w:val="18"/>
          <w:color w:val="auto"/>
        </w:rPr>
      </w:pPr>
    </w:p>
    <w:p>
      <w:pPr>
        <w:ind w:left="8" w:right="60" w:firstLine="316"/>
        <w:spacing w:after="0" w:line="277" w:lineRule="auto"/>
        <w:tabs>
          <w:tab w:leader="none" w:pos="7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Award</w:t>
      </w:r>
      <w:r>
        <w:rPr>
          <w:rFonts w:ascii="Arial" w:cs="Arial" w:eastAsia="Arial" w:hAnsi="Arial"/>
          <w:sz w:val="18"/>
          <w:szCs w:val="18"/>
          <w:color w:val="auto"/>
        </w:rPr>
        <w:t>” means the target award payable under the Plan to a Participant for the Performance Period, expressed as a percentage of his or her Base Salary or a specific dollar amount, as determined by the Committee in accordance with Section 6.</w:t>
      </w:r>
    </w:p>
    <w:p>
      <w:pPr>
        <w:spacing w:after="0" w:line="129" w:lineRule="exact"/>
        <w:rPr>
          <w:rFonts w:ascii="Arial" w:cs="Arial" w:eastAsia="Arial" w:hAnsi="Arial"/>
          <w:sz w:val="18"/>
          <w:szCs w:val="18"/>
          <w:color w:val="auto"/>
        </w:rPr>
      </w:pPr>
    </w:p>
    <w:p>
      <w:pPr>
        <w:ind w:left="8" w:right="360" w:firstLine="316"/>
        <w:spacing w:after="0" w:line="277" w:lineRule="auto"/>
        <w:tabs>
          <w:tab w:leader="none" w:pos="8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Determination Cutoff Date</w:t>
      </w:r>
      <w:r>
        <w:rPr>
          <w:rFonts w:ascii="Arial" w:cs="Arial" w:eastAsia="Arial" w:hAnsi="Arial"/>
          <w:sz w:val="18"/>
          <w:szCs w:val="18"/>
          <w:color w:val="auto"/>
        </w:rPr>
        <w:t>” means the latest possible date that will not jeopardize a Target Award’s qualification as Performance-Based Compensation.</w:t>
      </w:r>
    </w:p>
    <w:p>
      <w:pPr>
        <w:spacing w:after="0" w:line="129" w:lineRule="exact"/>
        <w:rPr>
          <w:rFonts w:ascii="Arial" w:cs="Arial" w:eastAsia="Arial" w:hAnsi="Arial"/>
          <w:sz w:val="18"/>
          <w:szCs w:val="18"/>
          <w:color w:val="auto"/>
        </w:rPr>
      </w:pPr>
    </w:p>
    <w:p>
      <w:pPr>
        <w:ind w:left="8" w:right="580" w:firstLine="316"/>
        <w:spacing w:after="0" w:line="277" w:lineRule="auto"/>
        <w:tabs>
          <w:tab w:leader="none" w:pos="7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Determination Date</w:t>
      </w:r>
      <w:r>
        <w:rPr>
          <w:rFonts w:ascii="Arial" w:cs="Arial" w:eastAsia="Arial" w:hAnsi="Arial"/>
          <w:sz w:val="18"/>
          <w:szCs w:val="18"/>
          <w:color w:val="auto"/>
        </w:rPr>
        <w:t>” means the date upon which the Committee sets the Target Award and Payout Formula with respect to any Performance Period, in accordance with Section 7.</w:t>
      </w:r>
    </w:p>
    <w:p>
      <w:pPr>
        <w:spacing w:after="0" w:line="129" w:lineRule="exact"/>
        <w:rPr>
          <w:rFonts w:ascii="Arial" w:cs="Arial" w:eastAsia="Arial" w:hAnsi="Arial"/>
          <w:sz w:val="18"/>
          <w:szCs w:val="18"/>
          <w:color w:val="auto"/>
        </w:rPr>
      </w:pPr>
    </w:p>
    <w:p>
      <w:pPr>
        <w:ind w:left="8" w:right="460" w:firstLine="316"/>
        <w:spacing w:after="0" w:line="277" w:lineRule="auto"/>
        <w:tabs>
          <w:tab w:leader="none" w:pos="74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Stockholder Return</w:t>
      </w:r>
      <w:r>
        <w:rPr>
          <w:rFonts w:ascii="Arial" w:cs="Arial" w:eastAsia="Arial" w:hAnsi="Arial"/>
          <w:sz w:val="18"/>
          <w:szCs w:val="18"/>
          <w:color w:val="auto"/>
        </w:rPr>
        <w:t>” means the total return (change in share price plus reinvestment of any dividends) of a share of the Company’s common stock.</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8" w:right="160" w:firstLine="316"/>
        <w:spacing w:after="0" w:line="273" w:lineRule="auto"/>
        <w:tabs>
          <w:tab w:leader="none" w:pos="70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Committee shall be responsible for the general administration and interpretation of the Plan and for carrying out its provisions. Subject to the requirements for qualifying compensation as Performance-Based Compensation, the Committee may delegate specific administrative tasks to Company employees or others as appropriate for proper administration of the Plan. Subject to the limitations on Committee discretion imposed under Section 162(m) to the extent the Committee intends that bonuses payable hereunder constitute performance-based compensation under Section 162(m), the Committee shall have such powers as may be necessary to discharge its duties hereunder, including, but not by way of limitation, the following powers and duties, but subject to the terms of the Plan:</w:t>
      </w:r>
    </w:p>
    <w:p>
      <w:pPr>
        <w:spacing w:after="0" w:line="137" w:lineRule="exact"/>
        <w:rPr>
          <w:rFonts w:ascii="Arial" w:cs="Arial" w:eastAsia="Arial" w:hAnsi="Arial"/>
          <w:sz w:val="17"/>
          <w:szCs w:val="17"/>
          <w:color w:val="auto"/>
        </w:rPr>
      </w:pPr>
    </w:p>
    <w:p>
      <w:pPr>
        <w:ind w:left="328" w:right="160" w:firstLine="645"/>
        <w:spacing w:after="0" w:line="277" w:lineRule="auto"/>
        <w:tabs>
          <w:tab w:leader="none" w:pos="1311" w:val="left"/>
        </w:tabs>
        <w:numPr>
          <w:ilvl w:val="2"/>
          <w:numId w:val="133"/>
        </w:numPr>
        <w:rPr>
          <w:rFonts w:ascii="Arial" w:cs="Arial" w:eastAsia="Arial" w:hAnsi="Arial"/>
          <w:sz w:val="18"/>
          <w:szCs w:val="18"/>
          <w:color w:val="auto"/>
        </w:rPr>
      </w:pPr>
      <w:r>
        <w:rPr>
          <w:rFonts w:ascii="Arial" w:cs="Arial" w:eastAsia="Arial" w:hAnsi="Arial"/>
          <w:sz w:val="18"/>
          <w:szCs w:val="18"/>
          <w:color w:val="auto"/>
        </w:rPr>
        <w:t>discretionary authority to adopt Target Awards and Payout Formulae under this Plan for a given Performance Period on or prior to the Target Determination Cutoff Date;</w:t>
      </w:r>
    </w:p>
    <w:p>
      <w:pPr>
        <w:spacing w:after="0" w:line="129" w:lineRule="exact"/>
        <w:rPr>
          <w:rFonts w:ascii="Arial" w:cs="Arial" w:eastAsia="Arial" w:hAnsi="Arial"/>
          <w:sz w:val="18"/>
          <w:szCs w:val="18"/>
          <w:color w:val="auto"/>
        </w:rPr>
      </w:pPr>
    </w:p>
    <w:p>
      <w:pPr>
        <w:ind w:left="328" w:right="60" w:firstLine="645"/>
        <w:spacing w:after="0" w:line="277" w:lineRule="auto"/>
        <w:tabs>
          <w:tab w:leader="none" w:pos="1316" w:val="left"/>
        </w:tabs>
        <w:numPr>
          <w:ilvl w:val="2"/>
          <w:numId w:val="133"/>
        </w:numPr>
        <w:rPr>
          <w:rFonts w:ascii="Arial" w:cs="Arial" w:eastAsia="Arial" w:hAnsi="Arial"/>
          <w:sz w:val="18"/>
          <w:szCs w:val="18"/>
          <w:color w:val="auto"/>
        </w:rPr>
      </w:pPr>
      <w:r>
        <w:rPr>
          <w:rFonts w:ascii="Arial" w:cs="Arial" w:eastAsia="Arial" w:hAnsi="Arial"/>
          <w:sz w:val="18"/>
          <w:szCs w:val="18"/>
          <w:color w:val="auto"/>
        </w:rPr>
        <w:t>discretionary authority to construe and interpret the terms of the Plan, and to determine eligibility, Awards and the amount, manner and time of payment of any Awards hereunder;</w:t>
      </w:r>
    </w:p>
    <w:p>
      <w:pPr>
        <w:spacing w:after="0" w:line="129" w:lineRule="exact"/>
        <w:rPr>
          <w:rFonts w:ascii="Arial" w:cs="Arial" w:eastAsia="Arial" w:hAnsi="Arial"/>
          <w:sz w:val="18"/>
          <w:szCs w:val="18"/>
          <w:color w:val="auto"/>
        </w:rPr>
      </w:pPr>
    </w:p>
    <w:p>
      <w:pPr>
        <w:ind w:left="1368" w:hanging="395"/>
        <w:spacing w:after="0"/>
        <w:tabs>
          <w:tab w:leader="none" w:pos="1368"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to prescribe forms and procedures for purposes of Plan participation and distribution of Awards; and</w:t>
      </w:r>
    </w:p>
    <w:p>
      <w:pPr>
        <w:spacing w:after="0" w:line="184" w:lineRule="exact"/>
        <w:rPr>
          <w:rFonts w:ascii="Arial" w:cs="Arial" w:eastAsia="Arial" w:hAnsi="Arial"/>
          <w:sz w:val="18"/>
          <w:szCs w:val="18"/>
          <w:color w:val="auto"/>
        </w:rPr>
      </w:pPr>
    </w:p>
    <w:p>
      <w:pPr>
        <w:ind w:left="1348" w:hanging="375"/>
        <w:spacing w:after="0"/>
        <w:tabs>
          <w:tab w:leader="none" w:pos="1348"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to adopt rules, regulations and bylaws and to take such actions as it deems necessary or desirable for the proper administration of the</w:t>
      </w:r>
    </w:p>
    <w:p>
      <w:pPr>
        <w:spacing w:after="0" w:line="46"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70" w:lineRule="exact"/>
        <w:rPr>
          <w:rFonts w:ascii="Arial" w:cs="Arial" w:eastAsia="Arial" w:hAnsi="Arial"/>
          <w:sz w:val="16"/>
          <w:szCs w:val="16"/>
          <w:color w:val="auto"/>
        </w:rPr>
      </w:pPr>
    </w:p>
    <w:p>
      <w:pPr>
        <w:ind w:left="8" w:right="260" w:firstLine="316"/>
        <w:spacing w:after="0" w:line="277" w:lineRule="auto"/>
        <w:tabs>
          <w:tab w:leader="none" w:pos="71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rule or decision by the Committee that is not inconsistent with the provisions of the Plan shall be conclusive and binding on all persons, and shall be given the maximum deference permitted by law.</w:t>
      </w:r>
    </w:p>
    <w:p>
      <w:pPr>
        <w:spacing w:after="0" w:line="129" w:lineRule="exact"/>
        <w:rPr>
          <w:rFonts w:ascii="Arial" w:cs="Arial" w:eastAsia="Arial" w:hAnsi="Arial"/>
          <w:sz w:val="18"/>
          <w:szCs w:val="18"/>
          <w:color w:val="auto"/>
        </w:rPr>
      </w:pPr>
    </w:p>
    <w:p>
      <w:pPr>
        <w:ind w:left="-332" w:right="80" w:firstLine="332"/>
        <w:spacing w:after="0" w:line="276" w:lineRule="auto"/>
        <w:tabs>
          <w:tab w:leader="none" w:pos="367"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employees eligible to participate in the Plan for a given Performance Period shall be determined by the Committee,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expected to include executive officers of the Company who are subject to Section 16 of the Securities and Exchange Act of 1934 and any other key employees who are specifically designated by the Committee for participation in the Plan in its sole discretion. Executives who earn sales commissions are generally not included in the Plan. Unless specifically excepted, a Participant must be actively employed on the last day of the Performance Period to be eligible to receive a payment hereunder. No person shall be automatically entitled to participate in the Plan.</w:t>
      </w:r>
    </w:p>
    <w:p>
      <w:pPr>
        <w:spacing w:after="0" w:line="132" w:lineRule="exact"/>
        <w:rPr>
          <w:rFonts w:ascii="Arial" w:cs="Arial" w:eastAsia="Arial" w:hAnsi="Arial"/>
          <w:sz w:val="17"/>
          <w:szCs w:val="17"/>
          <w:color w:val="auto"/>
        </w:rPr>
      </w:pPr>
    </w:p>
    <w:p>
      <w:pPr>
        <w:ind w:left="-332" w:right="240" w:firstLine="332"/>
        <w:spacing w:after="0" w:line="342" w:lineRule="auto"/>
        <w:tabs>
          <w:tab w:leader="none" w:pos="367"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Performance Goal Determination</w:t>
      </w:r>
      <w:r>
        <w:rPr>
          <w:rFonts w:ascii="Arial" w:cs="Arial" w:eastAsia="Arial" w:hAnsi="Arial"/>
          <w:sz w:val="16"/>
          <w:szCs w:val="16"/>
          <w:color w:val="auto"/>
        </w:rPr>
        <w:t>. On the Target Determination Date, the Committee, in its sole discretion, shall establish the Performance Goals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Participant for the Performance Period. Such Performance Goals shall be set forth in writing on or prior to the Target Determination Cutoff Date.</w:t>
      </w:r>
    </w:p>
    <w:p>
      <w:pPr>
        <w:sectPr>
          <w:pgSz w:w="11900" w:h="16838" w:orient="portrait"/>
          <w:cols w:equalWidth="0" w:num="1">
            <w:col w:w="11088"/>
          </w:cols>
          <w:pgMar w:left="572" w:top="584" w:right="239" w:bottom="1440" w:gutter="0" w:footer="0" w:header="0"/>
        </w:sectPr>
      </w:pPr>
    </w:p>
    <w:bookmarkStart w:id="136" w:name="page137"/>
    <w:bookmarkEnd w:id="136"/>
    <w:p>
      <w:pPr>
        <w:ind w:right="200" w:firstLine="332"/>
        <w:spacing w:after="0" w:line="264" w:lineRule="auto"/>
        <w:tabs>
          <w:tab w:leader="none" w:pos="699"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Target Award Determination</w:t>
      </w:r>
      <w:r>
        <w:rPr>
          <w:rFonts w:ascii="Arial" w:cs="Arial" w:eastAsia="Arial" w:hAnsi="Arial"/>
          <w:sz w:val="18"/>
          <w:szCs w:val="18"/>
          <w:color w:val="auto"/>
        </w:rPr>
        <w:t>. On the Target Determination Date, the Committee, in its sole discretion, shall establish a Target Award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Each Participant’s Target Award shall be determined by the Committee in its sole discretion, and each Target Award shall be set forth in writing on or prior to the Target Determination Cutoff Date.</w:t>
      </w:r>
    </w:p>
    <w:p>
      <w:pPr>
        <w:spacing w:after="0" w:line="140" w:lineRule="exact"/>
        <w:rPr>
          <w:rFonts w:ascii="Arial" w:cs="Arial" w:eastAsia="Arial" w:hAnsi="Arial"/>
          <w:sz w:val="18"/>
          <w:szCs w:val="18"/>
          <w:color w:val="auto"/>
        </w:rPr>
      </w:pPr>
    </w:p>
    <w:p>
      <w:pPr>
        <w:ind w:right="60" w:firstLine="332"/>
        <w:spacing w:after="0" w:line="288" w:lineRule="auto"/>
        <w:tabs>
          <w:tab w:leader="none" w:pos="699"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Determination of Payout Formula</w:t>
      </w:r>
      <w:r>
        <w:rPr>
          <w:rFonts w:ascii="Arial" w:cs="Arial" w:eastAsia="Arial" w:hAnsi="Arial"/>
          <w:sz w:val="16"/>
          <w:szCs w:val="16"/>
          <w:color w:val="auto"/>
        </w:rPr>
        <w:t>. On the Target Determination Date, the Committee, in its sole discretion, shall establish a Payout Formula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determining the Award (if any) payable to each Participant. Each Payout Formula (a) shall be set forth in writing on or prior to the Target Determination Cutoff Date, (b) shall provide for the payment of a Participant’s Award if the Performance Goals for the Performance Period are achieved, and</w:t>
      </w:r>
    </w:p>
    <w:p>
      <w:pPr>
        <w:ind w:right="240" w:firstLine="8"/>
        <w:spacing w:after="0" w:line="323" w:lineRule="auto"/>
        <w:tabs>
          <w:tab w:leader="none" w:pos="24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may provide for an Award payment greater than or less than the Participant’s Target Award, depending upon the extent to which the Performance Goals are achieved. Notwithstanding the preceding, in no event shall a Participant’s Award for any Performance Period exceed the Maximum Award.</w:t>
      </w:r>
    </w:p>
    <w:p>
      <w:pPr>
        <w:spacing w:after="0" w:line="98" w:lineRule="exact"/>
        <w:rPr>
          <w:rFonts w:ascii="Arial" w:cs="Arial" w:eastAsia="Arial" w:hAnsi="Arial"/>
          <w:sz w:val="16"/>
          <w:szCs w:val="16"/>
          <w:color w:val="auto"/>
        </w:rPr>
      </w:pPr>
    </w:p>
    <w:p>
      <w:pPr>
        <w:ind w:left="700" w:hanging="368"/>
        <w:spacing w:after="0"/>
        <w:tabs>
          <w:tab w:leader="none" w:pos="700"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Payout Determination; Award Payment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340" w:right="80" w:firstLine="316"/>
        <w:spacing w:after="0" w:line="276" w:lineRule="auto"/>
        <w:tabs>
          <w:tab w:leader="none" w:pos="1044" w:val="left"/>
        </w:tabs>
        <w:numPr>
          <w:ilvl w:val="2"/>
          <w:numId w:val="135"/>
        </w:numPr>
        <w:rPr>
          <w:rFonts w:ascii="Arial" w:cs="Arial" w:eastAsia="Arial" w:hAnsi="Arial"/>
          <w:sz w:val="17"/>
          <w:szCs w:val="17"/>
          <w:color w:val="auto"/>
        </w:rPr>
      </w:pPr>
      <w:r>
        <w:rPr>
          <w:rFonts w:ascii="Arial" w:cs="Arial" w:eastAsia="Arial" w:hAnsi="Arial"/>
          <w:sz w:val="17"/>
          <w:szCs w:val="17"/>
          <w:i w:val="1"/>
          <w:iCs w:val="1"/>
          <w:color w:val="auto"/>
        </w:rPr>
        <w:t>Payout Determination and Certification</w:t>
      </w:r>
      <w:r>
        <w:rPr>
          <w:rFonts w:ascii="Arial" w:cs="Arial" w:eastAsia="Arial" w:hAnsi="Arial"/>
          <w:sz w:val="17"/>
          <w:szCs w:val="17"/>
          <w:color w:val="auto"/>
        </w:rPr>
        <w:t>. On the Payout Determination Date, the Committee shall certify in writing (which may be by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minutes in which the certification was made) the extent to which the Performance Goals applicable to each Participant for the Performance Period were achieved or exceeded. The Award for each Participant shall be determined by applying the Payout Formula to the level of actual performance that has been certified by the Committee. Notwithstanding any contrary provision of the Plan, the Committee, in its sole discretion, may eliminate or reduce the Award payable to any Participant below that which otherwise would be payable under the Payout Formula.</w:t>
      </w:r>
    </w:p>
    <w:p>
      <w:pPr>
        <w:spacing w:after="0" w:line="132" w:lineRule="exact"/>
        <w:rPr>
          <w:rFonts w:ascii="Arial" w:cs="Arial" w:eastAsia="Arial" w:hAnsi="Arial"/>
          <w:sz w:val="17"/>
          <w:szCs w:val="17"/>
          <w:color w:val="auto"/>
        </w:rPr>
      </w:pPr>
    </w:p>
    <w:p>
      <w:pPr>
        <w:ind w:left="340" w:firstLine="316"/>
        <w:spacing w:after="0" w:line="264" w:lineRule="auto"/>
        <w:tabs>
          <w:tab w:leader="none" w:pos="1054" w:val="left"/>
        </w:tabs>
        <w:numPr>
          <w:ilvl w:val="2"/>
          <w:numId w:val="135"/>
        </w:numPr>
        <w:rPr>
          <w:rFonts w:ascii="Arial" w:cs="Arial" w:eastAsia="Arial" w:hAnsi="Arial"/>
          <w:sz w:val="18"/>
          <w:szCs w:val="18"/>
          <w:color w:val="auto"/>
        </w:rPr>
      </w:pPr>
      <w:r>
        <w:rPr>
          <w:rFonts w:ascii="Arial" w:cs="Arial" w:eastAsia="Arial" w:hAnsi="Arial"/>
          <w:sz w:val="18"/>
          <w:szCs w:val="18"/>
          <w:i w:val="1"/>
          <w:iCs w:val="1"/>
          <w:color w:val="auto"/>
        </w:rPr>
        <w:t>Right to Receive Payment</w:t>
      </w:r>
      <w:r>
        <w:rPr>
          <w:rFonts w:ascii="Arial" w:cs="Arial" w:eastAsia="Arial" w:hAnsi="Arial"/>
          <w:sz w:val="18"/>
          <w:szCs w:val="18"/>
          <w:color w:val="auto"/>
        </w:rPr>
        <w:t>. Each Award under the Plan shall be paid solely from the general assets of the Company. Nothing in this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to create a trust or to establish or evidence any Participant’s claim of any right to payment of an Award other than as an unsecured general creditor with respect to any payment to which he or she may be entitled.</w:t>
      </w:r>
    </w:p>
    <w:p>
      <w:pPr>
        <w:spacing w:after="0" w:line="140" w:lineRule="exact"/>
        <w:rPr>
          <w:rFonts w:ascii="Arial" w:cs="Arial" w:eastAsia="Arial" w:hAnsi="Arial"/>
          <w:sz w:val="18"/>
          <w:szCs w:val="18"/>
          <w:color w:val="auto"/>
        </w:rPr>
      </w:pPr>
    </w:p>
    <w:p>
      <w:pPr>
        <w:ind w:left="1040" w:hanging="384"/>
        <w:spacing w:after="0"/>
        <w:tabs>
          <w:tab w:leader="none" w:pos="1040" w:val="left"/>
        </w:tabs>
        <w:numPr>
          <w:ilvl w:val="2"/>
          <w:numId w:val="135"/>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 The Company shall distribute all Awards to the Participant in cash.</w:t>
      </w:r>
    </w:p>
    <w:p>
      <w:pPr>
        <w:spacing w:after="0" w:line="184" w:lineRule="exact"/>
        <w:rPr>
          <w:rFonts w:ascii="Arial" w:cs="Arial" w:eastAsia="Arial" w:hAnsi="Arial"/>
          <w:sz w:val="18"/>
          <w:szCs w:val="18"/>
          <w:color w:val="auto"/>
        </w:rPr>
      </w:pPr>
    </w:p>
    <w:p>
      <w:pPr>
        <w:ind w:left="340" w:right="180" w:firstLine="316"/>
        <w:spacing w:after="0" w:line="264" w:lineRule="auto"/>
        <w:tabs>
          <w:tab w:leader="none" w:pos="1054" w:val="left"/>
        </w:tabs>
        <w:numPr>
          <w:ilvl w:val="2"/>
          <w:numId w:val="135"/>
        </w:numPr>
        <w:rPr>
          <w:rFonts w:ascii="Arial" w:cs="Arial" w:eastAsia="Arial" w:hAnsi="Arial"/>
          <w:sz w:val="18"/>
          <w:szCs w:val="18"/>
          <w:color w:val="auto"/>
        </w:rPr>
      </w:pPr>
      <w:r>
        <w:rPr>
          <w:rFonts w:ascii="Arial" w:cs="Arial" w:eastAsia="Arial" w:hAnsi="Arial"/>
          <w:sz w:val="18"/>
          <w:szCs w:val="18"/>
          <w:i w:val="1"/>
          <w:iCs w:val="1"/>
          <w:color w:val="auto"/>
        </w:rPr>
        <w:t>Timing of Distributions</w:t>
      </w:r>
      <w:r>
        <w:rPr>
          <w:rFonts w:ascii="Arial" w:cs="Arial" w:eastAsia="Arial" w:hAnsi="Arial"/>
          <w:sz w:val="18"/>
          <w:szCs w:val="18"/>
          <w:color w:val="auto"/>
        </w:rPr>
        <w:t>. Subject to Section 8(e) below, the Company shall distribute amounts payable to Participants as soon as is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determination and written certification of the Award for a Performance Period, but in no event later than 2 ½ months after the end of the applicable Performance Period.</w:t>
      </w:r>
    </w:p>
    <w:p>
      <w:pPr>
        <w:spacing w:after="0" w:line="140" w:lineRule="exact"/>
        <w:rPr>
          <w:rFonts w:ascii="Arial" w:cs="Arial" w:eastAsia="Arial" w:hAnsi="Arial"/>
          <w:sz w:val="18"/>
          <w:szCs w:val="18"/>
          <w:color w:val="auto"/>
        </w:rPr>
      </w:pPr>
    </w:p>
    <w:p>
      <w:pPr>
        <w:ind w:left="340" w:right="40" w:firstLine="316"/>
        <w:spacing w:after="0" w:line="269" w:lineRule="auto"/>
        <w:tabs>
          <w:tab w:leader="none" w:pos="1044" w:val="left"/>
        </w:tabs>
        <w:numPr>
          <w:ilvl w:val="2"/>
          <w:numId w:val="135"/>
        </w:numPr>
        <w:rPr>
          <w:rFonts w:ascii="Arial" w:cs="Arial" w:eastAsia="Arial" w:hAnsi="Arial"/>
          <w:sz w:val="17"/>
          <w:szCs w:val="17"/>
          <w:color w:val="auto"/>
        </w:rPr>
      </w:pPr>
      <w:r>
        <w:rPr>
          <w:rFonts w:ascii="Arial" w:cs="Arial" w:eastAsia="Arial" w:hAnsi="Arial"/>
          <w:sz w:val="17"/>
          <w:szCs w:val="17"/>
          <w:i w:val="1"/>
          <w:iCs w:val="1"/>
          <w:color w:val="auto"/>
        </w:rPr>
        <w:t>Deferral; Section 409A</w:t>
      </w:r>
      <w:r>
        <w:rPr>
          <w:rFonts w:ascii="Arial" w:cs="Arial" w:eastAsia="Arial" w:hAnsi="Arial"/>
          <w:sz w:val="17"/>
          <w:szCs w:val="17"/>
          <w:color w:val="auto"/>
        </w:rPr>
        <w:t>. The Committee may defer payment of Awards, or any portion thereof, to Participants as the Committee, in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determines to be necessary or desirable to preserve the deductibility of such amounts under Section 162(m). In addition, the Committee, in its sole discretion, may permit a Participant to defer receipt of the payment of cash that would otherwise be delivered to a Participant under the Plan. Any such deferral elections shall be subject to such rules and procedures as shall be determined by the Committee in its sole discretion. The Company intends that the Plan comply in form and operation with Section 409A of the Code. Accordingly, to the maximum extent permitted, this Plan shall be interpreted and administered to be in compliance therewith. However, the Company makes no representation that any or all of the payments under the Plan will be exempt from or comply with Section 409A of the Code. Each amount to be paid under the Plan shall be construed as a separate identified payment for purposes of Section 409A of the Code. Without limiting the foregoing and notwithstanding anything contained herein to the contrary, to the extent required in order to avoid an accelerated or additional tax under Section 409A of the Code, amounts that would otherwise be payable and benefits that would otherwise be provided pursuant to this Plan during the six-month period immediately following a Participant's termination of employment shall instead be paid on the first business day after the date that is six months following such termination of employment (or, if earlier, the Participant’s date of death).</w:t>
      </w:r>
    </w:p>
    <w:p>
      <w:pPr>
        <w:spacing w:after="0" w:line="139" w:lineRule="exact"/>
        <w:rPr>
          <w:rFonts w:ascii="Arial" w:cs="Arial" w:eastAsia="Arial" w:hAnsi="Arial"/>
          <w:sz w:val="17"/>
          <w:szCs w:val="17"/>
          <w:color w:val="auto"/>
        </w:rPr>
      </w:pPr>
    </w:p>
    <w:p>
      <w:pPr>
        <w:ind w:right="220" w:firstLine="332"/>
        <w:spacing w:after="0" w:line="276" w:lineRule="auto"/>
        <w:tabs>
          <w:tab w:leader="none" w:pos="699" w:val="left"/>
        </w:tabs>
        <w:numPr>
          <w:ilvl w:val="1"/>
          <w:numId w:val="135"/>
        </w:numPr>
        <w:rPr>
          <w:rFonts w:ascii="Arial" w:cs="Arial" w:eastAsia="Arial" w:hAnsi="Arial"/>
          <w:sz w:val="17"/>
          <w:szCs w:val="17"/>
          <w:color w:val="auto"/>
        </w:rPr>
      </w:pPr>
      <w:r>
        <w:rPr>
          <w:rFonts w:ascii="Arial" w:cs="Arial" w:eastAsia="Arial" w:hAnsi="Arial"/>
          <w:sz w:val="17"/>
          <w:szCs w:val="17"/>
          <w:i w:val="1"/>
          <w:iCs w:val="1"/>
          <w:color w:val="auto"/>
        </w:rPr>
        <w:t>Non-Performance-Based Compensation Bonuses</w:t>
      </w:r>
      <w:r>
        <w:rPr>
          <w:rFonts w:ascii="Arial" w:cs="Arial" w:eastAsia="Arial" w:hAnsi="Arial"/>
          <w:sz w:val="17"/>
          <w:szCs w:val="17"/>
          <w:color w:val="auto"/>
        </w:rPr>
        <w:t>. Notwithstanding and without regard to any other provision in this Plan, the Committee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to pay cash bonuses hereunder that are not intended to constitute Performance-Based Compensation and which shall be payable pursuant to such terms and conditions as the Committee may determine in its sole discretion; provided, however, that in no event shall payment of a bonus hereunder that is not intended to be Performance-Based Compensation be contingent upon failure to achieve the performance goals under an otherwise performance-based arrangement, in accordance with Section 1.162-27(e)(2)(v) of the regulations promulgated under Section 162(m).</w:t>
      </w:r>
    </w:p>
    <w:p>
      <w:pPr>
        <w:spacing w:after="0" w:line="132" w:lineRule="exact"/>
        <w:rPr>
          <w:rFonts w:ascii="Arial" w:cs="Arial" w:eastAsia="Arial" w:hAnsi="Arial"/>
          <w:sz w:val="17"/>
          <w:szCs w:val="17"/>
          <w:color w:val="auto"/>
        </w:rPr>
      </w:pPr>
    </w:p>
    <w:p>
      <w:pPr>
        <w:ind w:left="760" w:hanging="428"/>
        <w:spacing w:after="0"/>
        <w:tabs>
          <w:tab w:leader="none" w:pos="760" w:val="left"/>
        </w:tabs>
        <w:numPr>
          <w:ilvl w:val="1"/>
          <w:numId w:val="135"/>
        </w:numPr>
        <w:rPr>
          <w:rFonts w:ascii="Arial" w:cs="Arial" w:eastAsia="Arial" w:hAnsi="Arial"/>
          <w:sz w:val="16"/>
          <w:szCs w:val="16"/>
          <w:color w:val="auto"/>
        </w:rPr>
      </w:pPr>
      <w:r>
        <w:rPr>
          <w:rFonts w:ascii="Arial" w:cs="Arial" w:eastAsia="Arial" w:hAnsi="Arial"/>
          <w:sz w:val="16"/>
          <w:szCs w:val="16"/>
          <w:i w:val="1"/>
          <w:iCs w:val="1"/>
          <w:color w:val="auto"/>
        </w:rPr>
        <w:t>Term of Plan</w:t>
      </w:r>
      <w:r>
        <w:rPr>
          <w:rFonts w:ascii="Arial" w:cs="Arial" w:eastAsia="Arial" w:hAnsi="Arial"/>
          <w:sz w:val="16"/>
          <w:szCs w:val="16"/>
          <w:color w:val="auto"/>
        </w:rPr>
        <w:t>. The Plan was approved by the Company’s stockholders on June 23, 2005, and shall continue until terminated under Section 11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ectPr>
          <w:pgSz w:w="11900" w:h="16838" w:orient="portrait"/>
          <w:cols w:equalWidth="0" w:num="1">
            <w:col w:w="11400"/>
          </w:cols>
          <w:pgMar w:left="240" w:top="584" w:right="259" w:bottom="1440" w:gutter="0" w:footer="0" w:header="0"/>
        </w:sectPr>
      </w:pPr>
    </w:p>
    <w:bookmarkStart w:id="137" w:name="page138"/>
    <w:bookmarkEnd w:id="137"/>
    <w:p>
      <w:pPr>
        <w:ind w:right="60" w:firstLine="332"/>
        <w:spacing w:after="0" w:line="289" w:lineRule="auto"/>
        <w:tabs>
          <w:tab w:leader="none" w:pos="737"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Amendment and Termination of the Plan</w:t>
      </w:r>
      <w:r>
        <w:rPr>
          <w:rFonts w:ascii="Arial" w:cs="Arial" w:eastAsia="Arial" w:hAnsi="Arial"/>
          <w:sz w:val="16"/>
          <w:szCs w:val="16"/>
          <w:color w:val="auto"/>
        </w:rPr>
        <w:t>. The Committee may amend, modify, suspend or terminate the Plan, in whole or in part,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adopting amendments deemed necessary or desirable to correct any defect or to supply omitted data or to reconcile any inconsistency in the Plan or in any Award granted hereunder; provided, however, that no amendment, alteration, suspension or discontinuation shall be made which would (i) impair any payments to Participants made prior to such amendment, modification, suspension or termination, unless the Committee has made a determination that such amendment or modification is in the best interests of all persons to whom Awards have theretofore been granted; provided further, however, that in no event may such an amendment or modification result in an increase in the amount of compensation payable pursuant to such Award or (ii) cause compensation that is, or may become, payable hereunder to fail to qualify as Performance-Based Compensation. To the extent necessary or advisable under applicable law, including Section 162(m), Plan amendments shall be subject to stockholder approval. At no time before the actual distribution of funds to Participants under the Plan shall any Participant accrue any vested interest or right whatsoever under the Plan except as otherwise stated in this Plan.</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Distributions pursuant to this Plan shall be subject to all applicable federal and state tax and withholding requirements.</w:t>
      </w:r>
    </w:p>
    <w:p>
      <w:pPr>
        <w:spacing w:after="0" w:line="184" w:lineRule="exact"/>
        <w:rPr>
          <w:rFonts w:ascii="Arial" w:cs="Arial" w:eastAsia="Arial" w:hAnsi="Arial"/>
          <w:sz w:val="18"/>
          <w:szCs w:val="18"/>
          <w:color w:val="auto"/>
        </w:rPr>
      </w:pPr>
    </w:p>
    <w:p>
      <w:pPr>
        <w:jc w:val="both"/>
        <w:ind w:right="20" w:firstLine="332"/>
        <w:spacing w:after="0" w:line="279" w:lineRule="auto"/>
        <w:tabs>
          <w:tab w:leader="none" w:pos="744"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At-Will Employment</w:t>
      </w:r>
      <w:r>
        <w:rPr>
          <w:rFonts w:ascii="Arial" w:cs="Arial" w:eastAsia="Arial" w:hAnsi="Arial"/>
          <w:sz w:val="17"/>
          <w:szCs w:val="17"/>
          <w:color w:val="auto"/>
        </w:rPr>
        <w:t>. No statement in this Plan should be construed to grant any employee an employment contract of fixed duration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rights, nor should this Plan be interpreted as creating an implied or an expressed contract of employment or any other contractual rights between the Company and its employees. The employment relationship between the Company and its employees is terminable at-will. This means that an employee of the Company may terminate the employment relationship at any time and for any reason or no reason.</w:t>
      </w:r>
    </w:p>
    <w:p>
      <w:pPr>
        <w:spacing w:after="0" w:line="130" w:lineRule="exact"/>
        <w:rPr>
          <w:rFonts w:ascii="Arial" w:cs="Arial" w:eastAsia="Arial" w:hAnsi="Arial"/>
          <w:sz w:val="17"/>
          <w:szCs w:val="17"/>
          <w:color w:val="auto"/>
        </w:rPr>
      </w:pPr>
    </w:p>
    <w:p>
      <w:pPr>
        <w:ind w:right="160" w:firstLine="332"/>
        <w:spacing w:after="0" w:line="264" w:lineRule="auto"/>
        <w:tabs>
          <w:tab w:leader="none" w:pos="744"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the Company under the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or assets of the Company.</w:t>
      </w:r>
    </w:p>
    <w:p>
      <w:pPr>
        <w:spacing w:after="0" w:line="140" w:lineRule="exact"/>
        <w:rPr>
          <w:rFonts w:ascii="Arial" w:cs="Arial" w:eastAsia="Arial" w:hAnsi="Arial"/>
          <w:sz w:val="18"/>
          <w:szCs w:val="18"/>
          <w:color w:val="auto"/>
        </w:rPr>
      </w:pPr>
    </w:p>
    <w:p>
      <w:pPr>
        <w:ind w:firstLine="332"/>
        <w:spacing w:after="0" w:line="253" w:lineRule="auto"/>
        <w:tabs>
          <w:tab w:leader="none" w:pos="744"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Each person who is or shall have been a member of the Committee, or of the Board, shall be indemnified and held harmless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56" w:lineRule="exact"/>
        <w:rPr>
          <w:rFonts w:ascii="Arial" w:cs="Arial" w:eastAsia="Arial" w:hAnsi="Arial"/>
          <w:sz w:val="18"/>
          <w:szCs w:val="18"/>
          <w:color w:val="auto"/>
        </w:rPr>
      </w:pPr>
    </w:p>
    <w:p>
      <w:pPr>
        <w:ind w:left="760" w:hanging="428"/>
        <w:spacing w:after="0"/>
        <w:tabs>
          <w:tab w:leader="none" w:pos="76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Nonassignment</w:t>
      </w:r>
      <w:r>
        <w:rPr>
          <w:rFonts w:ascii="Arial" w:cs="Arial" w:eastAsia="Arial" w:hAnsi="Arial"/>
          <w:sz w:val="16"/>
          <w:szCs w:val="16"/>
          <w:color w:val="auto"/>
        </w:rPr>
        <w:t>. The rights of a Participant under this Plan shall not be assignable or transferable by the Participant except by will or the laws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intestacy.</w:t>
      </w:r>
    </w:p>
    <w:p>
      <w:pPr>
        <w:spacing w:after="0" w:line="170" w:lineRule="exact"/>
        <w:rPr>
          <w:rFonts w:ascii="Arial" w:cs="Arial" w:eastAsia="Arial" w:hAnsi="Arial"/>
          <w:sz w:val="16"/>
          <w:szCs w:val="16"/>
          <w:color w:val="auto"/>
        </w:rPr>
      </w:pPr>
    </w:p>
    <w:p>
      <w:pPr>
        <w:ind w:left="760" w:hanging="428"/>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Plan shall be governed by the laws of the State of California.</w:t>
      </w:r>
    </w:p>
    <w:p>
      <w:pPr>
        <w:sectPr>
          <w:pgSz w:w="11900" w:h="16838" w:orient="portrait"/>
          <w:cols w:equalWidth="0" w:num="1">
            <w:col w:w="11400"/>
          </w:cols>
          <w:pgMar w:left="240" w:top="584" w:right="2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2015</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Colombia S.A.S.</w:t>
            </w:r>
          </w:p>
        </w:tc>
        <w:tc>
          <w:tcPr>
            <w:tcW w:w="3760" w:type="dxa"/>
            <w:vAlign w:val="bottom"/>
          </w:tcPr>
          <w:p>
            <w:pPr>
              <w:ind w:left="4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 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ehf.</w:t>
            </w:r>
          </w:p>
        </w:tc>
        <w:tc>
          <w:tcPr>
            <w:tcW w:w="3760" w:type="dxa"/>
            <w:vAlign w:val="bottom"/>
          </w:tcPr>
          <w:p>
            <w:pPr>
              <w:ind w:left="40"/>
              <w:spacing w:after="0"/>
              <w:rPr>
                <w:sz w:val="20"/>
                <w:szCs w:val="20"/>
                <w:color w:val="auto"/>
              </w:rPr>
            </w:pPr>
            <w:r>
              <w:rPr>
                <w:rFonts w:ascii="Arial" w:cs="Arial" w:eastAsia="Arial" w:hAnsi="Arial"/>
                <w:sz w:val="18"/>
                <w:szCs w:val="18"/>
                <w:color w:val="auto"/>
              </w:rPr>
              <w:t>Iceland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Unipessoal, Lda.</w:t>
            </w:r>
          </w:p>
        </w:tc>
        <w:tc>
          <w:tcPr>
            <w:tcW w:w="3760" w:type="dxa"/>
            <w:vAlign w:val="bottom"/>
          </w:tcPr>
          <w:p>
            <w:pPr>
              <w:ind w:left="4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Spol. S.R.O.</w:t>
            </w:r>
          </w:p>
        </w:tc>
        <w:tc>
          <w:tcPr>
            <w:tcW w:w="376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Strategies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Taiwan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39" w:name="page140"/>
    <w:bookmarkEnd w:id="139"/>
    <w:p>
      <w:pPr>
        <w:ind w:left="32"/>
        <w:spacing w:after="0"/>
        <w:rPr>
          <w:sz w:val="20"/>
          <w:szCs w:val="20"/>
          <w:color w:val="auto"/>
        </w:rPr>
      </w:pPr>
      <w:r>
        <w:rPr>
          <w:rFonts w:ascii="Arial" w:cs="Arial" w:eastAsia="Arial" w:hAnsi="Arial"/>
          <w:sz w:val="17"/>
          <w:szCs w:val="17"/>
          <w:color w:val="auto"/>
        </w:rPr>
        <w:t>Autodesk Yazilim Hizmetleri Ticaret Limited Sirketi</w:t>
      </w:r>
    </w:p>
    <w:p>
      <w:pPr>
        <w:spacing w:after="0" w:line="35" w:lineRule="exact"/>
        <w:rPr>
          <w:sz w:val="20"/>
          <w:szCs w:val="20"/>
          <w:color w:val="auto"/>
        </w:rPr>
      </w:pPr>
    </w:p>
    <w:p>
      <w:pPr>
        <w:ind w:left="32"/>
        <w:spacing w:after="0"/>
        <w:rPr>
          <w:sz w:val="20"/>
          <w:szCs w:val="20"/>
          <w:color w:val="auto"/>
        </w:rPr>
      </w:pPr>
      <w:r>
        <w:rPr>
          <w:rFonts w:ascii="Arial" w:cs="Arial" w:eastAsia="Arial" w:hAnsi="Arial"/>
          <w:sz w:val="18"/>
          <w:szCs w:val="18"/>
          <w:color w:val="auto"/>
        </w:rPr>
        <w:t>(Autodesk Limited Sirketi)</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sectPr>
      </w:pPr>
    </w:p>
    <w:p>
      <w:pPr>
        <w:ind w:left="32"/>
        <w:spacing w:after="0"/>
        <w:rPr>
          <w:sz w:val="20"/>
          <w:szCs w:val="20"/>
          <w:color w:val="auto"/>
        </w:rPr>
      </w:pPr>
      <w:r>
        <w:rPr>
          <w:rFonts w:ascii="Arial" w:cs="Arial" w:eastAsia="Arial" w:hAnsi="Arial"/>
          <w:sz w:val="16"/>
          <w:szCs w:val="16"/>
          <w:color w:val="auto"/>
        </w:rPr>
        <w:t>Autodesk,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Spain</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Configure One,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Configure One Europe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Configure One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Creative Market Labs,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Delcam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Firehole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Graitec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Graitec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Hanna Strategies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Limited Liability Company Autodesk (CIS)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Russia</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Magestic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Netherlands</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International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Netherlands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Moldflow Singapore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Singapore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netfabb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netfabb,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SeeControl,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SCI Topole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Shotgun Software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Within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spacing w:after="0" w:line="75" w:lineRule="exact"/>
        <w:rPr>
          <w:sz w:val="20"/>
          <w:szCs w:val="20"/>
          <w:color w:val="auto"/>
        </w:rPr>
      </w:pPr>
    </w:p>
    <w:p>
      <w:pPr>
        <w:ind w:left="-8" w:firstLine="8"/>
        <w:spacing w:after="0" w:line="264" w:lineRule="auto"/>
        <w:tabs>
          <w:tab w:leader="none" w:pos="127" w:val="left"/>
        </w:tabs>
        <w:numPr>
          <w:ilvl w:val="0"/>
          <w:numId w:val="137"/>
        </w:numPr>
        <w:rPr>
          <w:rFonts w:ascii="Arial" w:cs="Arial" w:eastAsia="Arial" w:hAnsi="Arial"/>
          <w:sz w:val="18"/>
          <w:szCs w:val="18"/>
          <w:color w:val="333333"/>
        </w:rPr>
      </w:pPr>
      <w:r>
        <w:rPr>
          <w:rFonts w:ascii="Arial" w:cs="Arial" w:eastAsia="Arial" w:hAnsi="Arial"/>
          <w:sz w:val="18"/>
          <w:szCs w:val="18"/>
          <w:color w:val="333333"/>
        </w:rPr>
        <w:t xml:space="preserve">Delcam Limited, a wholly-owned subsidiary of </w:t>
      </w:r>
      <w:r>
        <w:rPr>
          <w:rFonts w:ascii="Arial" w:cs="Arial" w:eastAsia="Arial" w:hAnsi="Arial"/>
          <w:sz w:val="18"/>
          <w:szCs w:val="18"/>
          <w:color w:val="000000"/>
        </w:rPr>
        <w:t>Autodesk Development B.V.</w:t>
      </w:r>
      <w:r>
        <w:rPr>
          <w:rFonts w:ascii="Arial" w:cs="Arial" w:eastAsia="Arial" w:hAnsi="Arial"/>
          <w:sz w:val="18"/>
          <w:szCs w:val="18"/>
          <w:color w:val="333333"/>
        </w:rPr>
        <w:t xml:space="preserve"> and a </w:t>
      </w:r>
      <w:r>
        <w:rPr>
          <w:rFonts w:ascii="Arial" w:cs="Arial" w:eastAsia="Arial" w:hAnsi="Arial"/>
          <w:sz w:val="18"/>
          <w:szCs w:val="18"/>
          <w:color w:val="000000"/>
        </w:rPr>
        <w:t>supplier of advanced CADCAM and industrial measurement solutions</w:t>
      </w:r>
      <w:r>
        <w:rPr>
          <w:rFonts w:ascii="Arial" w:cs="Arial" w:eastAsia="Arial" w:hAnsi="Arial"/>
          <w:sz w:val="18"/>
          <w:szCs w:val="18"/>
          <w:color w:val="333333"/>
        </w:rPr>
        <w:t xml:space="preserve"> </w:t>
      </w:r>
      <w:r>
        <w:rPr>
          <w:rFonts w:ascii="Arial" w:cs="Arial" w:eastAsia="Arial" w:hAnsi="Arial"/>
          <w:sz w:val="18"/>
          <w:szCs w:val="18"/>
          <w:color w:val="000000"/>
        </w:rPr>
        <w:t>for the manufacturing industry, has a total of 37 global subsidiaries, three of which are operating in the United States and 34 of which are operating in foreign countries.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746" w:right="29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333-153372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2000 Directors'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333-169137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333-185265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48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333-205038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23, 2016, with respect to the consolidated financial statements and schedule of Autodesk, Inc., and the effectiveness of internal control over financial reporting of Autodesk, Inc., included in this Annual Report (Form 10-K) of Autodesk, Inc. for the year ended January 31, 2016.</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2016</w:t>
      </w:r>
    </w:p>
    <w:p>
      <w:pPr>
        <w:sectPr>
          <w:pgSz w:w="11900" w:h="16838" w:orient="portrait"/>
          <w:cols w:equalWidth="0" w:num="1">
            <w:col w:w="11420"/>
          </w:cols>
          <w:pgMar w:left="240" w:top="91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2016</w:t>
      </w:r>
    </w:p>
    <w:p>
      <w:pPr>
        <w:sectPr>
          <w:pgSz w:w="11900" w:h="16838" w:orient="portrait"/>
          <w:cols w:equalWidth="0" w:num="1">
            <w:col w:w="11420"/>
          </w:cols>
          <w:pgMar w:left="240" w:top="91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2016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2016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x"/>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1)"/>
      <w:numFmt w:val="decimal"/>
      <w:start w:val="1"/>
    </w:lvl>
  </w:abstractNum>
  <w:abstractNum w:abstractNumId="32">
    <w:nsid w:val="76272110"/>
    <w:multiLevelType w:val="hybridMultilevel"/>
    <w:lvl w:ilvl="0">
      <w:lvlJc w:val="left"/>
      <w:lvlText w:val="(%1)"/>
      <w:numFmt w:val="decimal"/>
      <w:start w:val="1"/>
    </w:lvl>
  </w:abstractNum>
  <w:abstractNum w:abstractNumId="33">
    <w:nsid w:val="4C04A8AF"/>
    <w:multiLevelType w:val="hybridMultilevel"/>
    <w:lvl w:ilvl="0">
      <w:lvlJc w:val="left"/>
      <w:lvlText w:val="(%1)"/>
      <w:numFmt w:val="decimal"/>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decimal"/>
      <w:start w:val="1"/>
    </w:lvl>
  </w:abstractNum>
  <w:abstractNum w:abstractNumId="38">
    <w:nsid w:val="68EBC550"/>
    <w:multiLevelType w:val="hybridMultilevel"/>
    <w:lvl w:ilvl="0">
      <w:lvlJc w:val="left"/>
      <w:lvlText w:val="(%1)"/>
      <w:numFmt w:val="decimal"/>
      <w:start w:val="1"/>
    </w:lvl>
  </w:abstractNum>
  <w:abstractNum w:abstractNumId="39">
    <w:nsid w:val="2DF6D648"/>
    <w:multiLevelType w:val="hybridMultilevel"/>
    <w:lvl w:ilvl="0">
      <w:lvlJc w:val="left"/>
      <w:lvlText w:val="(%1)"/>
      <w:numFmt w:val="decimal"/>
      <w:start w:val="1"/>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decimal"/>
      <w:start w:val="1"/>
    </w:lvl>
  </w:abstractNum>
  <w:abstractNum w:abstractNumId="42">
    <w:nsid w:val="39EE015C"/>
    <w:multiLevelType w:val="hybridMultilevel"/>
    <w:lvl w:ilvl="0">
      <w:lvlJc w:val="left"/>
      <w:lvlText w:val="(%1)"/>
      <w:numFmt w:val="decimal"/>
      <w:start w:val="1"/>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1."/>
      <w:numFmt w:val="decimal"/>
      <w:start w:val="2"/>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1)"/>
      <w:numFmt w:val="decimal"/>
      <w:start w:val="1"/>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decimal"/>
      <w:start w:val="3"/>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4"/>
    </w:lvl>
  </w:abstractNum>
  <w:abstractNum w:abstractNumId="55">
    <w:nsid w:val="6AA78F7F"/>
    <w:multiLevelType w:val="hybridMultilevel"/>
    <w:lvl w:ilvl="0">
      <w:lvlJc w:val="left"/>
      <w:lvlText w:val="%1."/>
      <w:numFmt w:val="decimal"/>
      <w:start w:val="5"/>
    </w:lvl>
  </w:abstractNum>
  <w:abstractNum w:abstractNumId="56">
    <w:nsid w:val="7672BD23"/>
    <w:multiLevelType w:val="hybridMultilevel"/>
    <w:lvl w:ilvl="0">
      <w:lvlJc w:val="left"/>
      <w:lvlText w:val="%1."/>
      <w:numFmt w:val="decimal"/>
      <w:start w:val="6"/>
    </w:lvl>
  </w:abstractNum>
  <w:abstractNum w:abstractNumId="57">
    <w:nsid w:val="6FC75AF8"/>
    <w:multiLevelType w:val="hybridMultilevel"/>
    <w:lvl w:ilvl="0">
      <w:lvlJc w:val="left"/>
      <w:lvlText w:val="%1."/>
      <w:numFmt w:val="decimal"/>
      <w:start w:val="7"/>
    </w:lvl>
  </w:abstractNum>
  <w:abstractNum w:abstractNumId="58">
    <w:nsid w:val="6A5F7029"/>
    <w:multiLevelType w:val="hybridMultilevel"/>
    <w:lvl w:ilvl="0">
      <w:lvlJc w:val="left"/>
      <w:lvlText w:val="%1."/>
      <w:numFmt w:val="decimal"/>
      <w:start w:val="8"/>
    </w:lvl>
  </w:abstractNum>
  <w:abstractNum w:abstractNumId="59">
    <w:nsid w:val="7D5E18F8"/>
    <w:multiLevelType w:val="hybridMultilevel"/>
    <w:lvl w:ilvl="0">
      <w:lvlJc w:val="left"/>
      <w:lvlText w:val="%1."/>
      <w:numFmt w:val="decimal"/>
      <w:start w:val="9"/>
    </w:lvl>
  </w:abstractNum>
  <w:abstractNum w:abstractNumId="60">
    <w:nsid w:val="5F3534A4"/>
    <w:multiLevelType w:val="hybridMultilevel"/>
    <w:lvl w:ilvl="0">
      <w:lvlJc w:val="left"/>
      <w:lvlText w:val="%1."/>
      <w:numFmt w:val="decimal"/>
      <w:start w:val="11"/>
    </w:lvl>
  </w:abstractNum>
  <w:abstractNum w:abstractNumId="61">
    <w:nsid w:val="73A1821B"/>
    <w:multiLevelType w:val="hybridMultilevel"/>
    <w:lvl w:ilvl="0">
      <w:lvlJc w:val="left"/>
      <w:lvlText w:val="%1."/>
      <w:numFmt w:val="decimal"/>
      <w:start w:val="12"/>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decimal"/>
      <w:start w:val="13"/>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1."/>
      <w:numFmt w:val="decimal"/>
      <w:start w:val="14"/>
    </w:lvl>
  </w:abstractNum>
  <w:abstractNum w:abstractNumId="67">
    <w:nsid w:val="71C91298"/>
    <w:multiLevelType w:val="hybridMultilevel"/>
    <w:lvl w:ilvl="0">
      <w:lvlJc w:val="left"/>
      <w:lvlText w:val="%1."/>
      <w:numFmt w:val="decimal"/>
      <w:start w:val="15"/>
    </w:lvl>
  </w:abstractNum>
  <w:abstractNum w:abstractNumId="68">
    <w:nsid w:val="9DAF632"/>
    <w:multiLevelType w:val="hybridMultilevel"/>
    <w:lvl w:ilvl="0">
      <w:lvlJc w:val="left"/>
      <w:lvlText w:val="(%1)"/>
      <w:numFmt w:val="decimal"/>
      <w:start w:val="1"/>
    </w:lvl>
  </w:abstractNum>
  <w:abstractNum w:abstractNumId="69">
    <w:nsid w:val="53299938"/>
    <w:multiLevelType w:val="hybridMultilevel"/>
    <w:lvl w:ilvl="0">
      <w:lvlJc w:val="left"/>
      <w:lvlText w:val="(%1)"/>
      <w:numFmt w:val="decimal"/>
      <w:start w:val="1"/>
    </w:lvl>
  </w:abstractNum>
  <w:abstractNum w:abstractNumId="70">
    <w:nsid w:val="1FBFE8E0"/>
    <w:multiLevelType w:val="hybridMultilevel"/>
    <w:lvl w:ilvl="0">
      <w:lvlJc w:val="left"/>
      <w:lvlText w:val="%1."/>
      <w:numFmt w:val="decimal"/>
      <w:start w:val="16"/>
    </w:lvl>
  </w:abstractNum>
  <w:abstractNum w:abstractNumId="71">
    <w:nsid w:val="5092CA79"/>
    <w:multiLevelType w:val="hybridMultilevel"/>
    <w:lvl w:ilvl="0">
      <w:lvlJc w:val="left"/>
      <w:lvlText w:val="(%1)"/>
      <w:numFmt w:val="decimal"/>
      <w:start w:val="1"/>
    </w:lvl>
  </w:abstractNum>
  <w:abstractNum w:abstractNumId="72">
    <w:nsid w:val="1D545C4D"/>
    <w:multiLevelType w:val="hybridMultilevel"/>
    <w:lvl w:ilvl="0">
      <w:lvlJc w:val="left"/>
      <w:lvlText w:val="%1."/>
      <w:numFmt w:val="decimal"/>
      <w:start w:val="17"/>
    </w:lvl>
  </w:abstractNum>
  <w:abstractNum w:abstractNumId="73">
    <w:nsid w:val="59ADEA3D"/>
    <w:multiLevelType w:val="hybridMultilevel"/>
    <w:lvl w:ilvl="0">
      <w:lvlJc w:val="left"/>
      <w:lvlText w:val="(%1)"/>
      <w:numFmt w:val="lowerRoman"/>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1)"/>
      <w:numFmt w:val="lowerLetter"/>
      <w:start w:val="1"/>
    </w:lvl>
    <w:lvl w:ilvl="1">
      <w:lvlJc w:val="left"/>
      <w:lvlText w:val="%2."/>
      <w:numFmt w:val="decimal"/>
      <w:start w:val="1"/>
    </w:lvl>
  </w:abstractNum>
  <w:abstractNum w:abstractNumId="76">
    <w:nsid w:val="1D9F6E5F"/>
    <w:multiLevelType w:val="hybridMultilevel"/>
    <w:lvl w:ilvl="0">
      <w:lvlJc w:val="left"/>
      <w:lvlText w:val="%1"/>
      <w:numFmt w:val="lowerLetter"/>
      <w:start w:val="1"/>
    </w:lvl>
    <w:lvl w:ilvl="1">
      <w:lvlJc w:val="left"/>
      <w:lvlText w:val="%2."/>
      <w:numFmt w:val="decimal"/>
      <w:start w:val="3"/>
    </w:lvl>
  </w:abstractNum>
  <w:abstractNum w:abstractNumId="77">
    <w:nsid w:val="97E1B4E"/>
    <w:multiLevelType w:val="hybridMultilevel"/>
    <w:lvl w:ilvl="0">
      <w:lvlJc w:val="left"/>
      <w:lvlText w:val="(%1)"/>
      <w:numFmt w:val="lowerLetter"/>
      <w:start w:val="2"/>
    </w:lvl>
    <w:lvl w:ilvl="1">
      <w:lvlJc w:val="left"/>
      <w:lvlText w:val="%2"/>
      <w:numFmt w:val="decimal"/>
      <w:start w:val="1"/>
    </w:lvl>
  </w:abstractNum>
  <w:abstractNum w:abstractNumId="78">
    <w:nsid w:val="51088277"/>
    <w:multiLevelType w:val="hybridMultilevel"/>
    <w:lvl w:ilvl="0">
      <w:lvlJc w:val="left"/>
      <w:lvlText w:val="(%1)"/>
      <w:numFmt w:val="lowerLetter"/>
      <w:start w:val="3"/>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4">
    <w:nsid w:val="45E6D486"/>
    <w:multiLevelType w:val="hybridMultilevel"/>
    <w:lvl w:ilvl="0">
      <w:lvlJc w:val="left"/>
      <w:lvlText w:val="*"/>
      <w:numFmt w:val="bullet"/>
      <w:start w:val="1"/>
    </w:lvl>
    <w:lvl w:ilvl="1">
      <w:lvlJc w:val="left"/>
      <w:lvlText w:val="(%2)"/>
      <w:numFmt w:val="lowerRoman"/>
      <w:start w:val="1"/>
    </w:lvl>
  </w:abstractNum>
  <w:abstractNum w:abstractNumId="85">
    <w:nsid w:val="5C10FE21"/>
    <w:multiLevelType w:val="hybridMultilevel"/>
    <w:lvl w:ilvl="0">
      <w:lvlJc w:val="left"/>
      <w:lvlText w:val="%1"/>
      <w:numFmt w:val="lowerLetter"/>
      <w:start w:val="1"/>
    </w:lvl>
    <w:lvl w:ilvl="1">
      <w:lvlJc w:val="left"/>
      <w:lvlText w:val="(%2)"/>
      <w:numFmt w:val="lowerLetter"/>
      <w:start w:val="7"/>
    </w:lvl>
  </w:abstractNum>
  <w:abstractNum w:abstractNumId="86">
    <w:nsid w:val="E7FFA2B"/>
    <w:multiLevelType w:val="hybridMultilevel"/>
    <w:lvl w:ilvl="0">
      <w:lvlJc w:val="left"/>
      <w:lvlText w:val="(%1)"/>
      <w:numFmt w:val="lowerLetter"/>
      <w:start w:val="14"/>
    </w:lvl>
    <w:lvl w:ilvl="1">
      <w:lvlJc w:val="left"/>
      <w:lvlText w:val="(%2)"/>
      <w:numFmt w:val="lowerLetter"/>
      <w:start w:val="15"/>
    </w:lvl>
  </w:abstractNum>
  <w:abstractNum w:abstractNumId="87">
    <w:nsid w:val="3C5991AA"/>
    <w:multiLevelType w:val="hybridMultilevel"/>
    <w:lvl w:ilvl="0">
      <w:lvlJc w:val="left"/>
      <w:lvlText w:val="(%1)"/>
      <w:numFmt w:val="lowerRoman"/>
      <w:start w:val="1"/>
    </w:lvl>
  </w:abstractNum>
  <w:abstractNum w:abstractNumId="88">
    <w:nsid w:val="4BD8591A"/>
    <w:multiLevelType w:val="hybridMultilevel"/>
    <w:lvl w:ilvl="0">
      <w:lvlJc w:val="left"/>
      <w:lvlText w:val="(%1)"/>
      <w:numFmt w:val="lowerRoman"/>
      <w:start w:val="3"/>
    </w:lvl>
  </w:abstractNum>
  <w:abstractNum w:abstractNumId="89">
    <w:nsid w:val="78DF6A55"/>
    <w:multiLevelType w:val="hybridMultilevel"/>
    <w:lvl w:ilvl="0">
      <w:lvlJc w:val="left"/>
      <w:lvlText w:val="(%1)"/>
      <w:numFmt w:val="lowerLetter"/>
      <w:start w:val="17"/>
    </w:lvl>
  </w:abstractNum>
  <w:abstractNum w:abstractNumId="90">
    <w:nsid w:val="39B7AAA2"/>
    <w:multiLevelType w:val="hybridMultilevel"/>
    <w:lvl w:ilvl="0">
      <w:lvlJc w:val="left"/>
      <w:lvlText w:val="%1"/>
      <w:numFmt w:val="lowerLetter"/>
      <w:start w:val="1"/>
    </w:lvl>
    <w:lvl w:ilvl="1">
      <w:lvlJc w:val="left"/>
      <w:lvlText w:val="(%2)"/>
      <w:numFmt w:val="lowerLetter"/>
      <w:start w:val="18"/>
    </w:lvl>
  </w:abstractNum>
  <w:abstractNum w:abstractNumId="91">
    <w:nsid w:val="2B0D8DBE"/>
    <w:multiLevelType w:val="hybridMultilevel"/>
    <w:lvl w:ilvl="0">
      <w:lvlJc w:val="left"/>
      <w:lvlText w:val="(%1)"/>
      <w:numFmt w:val="lowerLetter"/>
      <w:start w:val="20"/>
    </w:lvl>
    <w:lvl w:ilvl="1">
      <w:lvlJc w:val="left"/>
      <w:lvlText w:val="(%2)"/>
      <w:numFmt w:val="lowerLetter"/>
      <w:start w:val="21"/>
    </w:lvl>
  </w:abstractNum>
  <w:abstractNum w:abstractNumId="92">
    <w:nsid w:val="6C80EC70"/>
    <w:multiLevelType w:val="hybridMultilevel"/>
    <w:lvl w:ilvl="0">
      <w:lvlJc w:val="left"/>
      <w:lvlText w:val="(%1)"/>
      <w:numFmt w:val="lowerLetter"/>
      <w:start w:val="25"/>
    </w:lvl>
    <w:lvl w:ilvl="1">
      <w:lvlJc w:val="left"/>
      <w:lvlText w:val="(%2)"/>
      <w:numFmt w:val="lowerLetter"/>
      <w:start w:val="26"/>
    </w:lvl>
  </w:abstractNum>
  <w:abstractNum w:abstractNumId="93">
    <w:nsid w:val="379E21B5"/>
    <w:multiLevelType w:val="hybridMultilevel"/>
    <w:lvl w:ilvl="0">
      <w:lvlJc w:val="left"/>
      <w:lvlText w:val="%1"/>
      <w:numFmt w:val="decimal"/>
      <w:start w:val="1"/>
    </w:lvl>
    <w:lvl w:ilvl="1">
      <w:lvlJc w:val="left"/>
      <w:lvlText w:val="(%2)"/>
      <w:numFmt w:val="lowerLetter"/>
      <w:start w:val="27"/>
    </w:lvl>
  </w:abstractNum>
  <w:abstractNum w:abstractNumId="94">
    <w:nsid w:val="69E373"/>
    <w:multiLevelType w:val="hybridMultilevel"/>
    <w:lvl w:ilvl="0">
      <w:lvlJc w:val="left"/>
      <w:lvlText w:val="%1."/>
      <w:numFmt w:val="decimal"/>
      <w:start w:val="3"/>
    </w:lvl>
    <w:lvl w:ilvl="1">
      <w:lvlJc w:val="left"/>
      <w:lvlText w:val="%2"/>
      <w:numFmt w:val="lowerLetter"/>
      <w:start w:val="1"/>
    </w:lvl>
  </w:abstractNum>
  <w:abstractNum w:abstractNumId="95">
    <w:nsid w:val="2C27173B"/>
    <w:multiLevelType w:val="hybridMultilevel"/>
    <w:lvl w:ilvl="0">
      <w:lvlJc w:val="left"/>
      <w:lvlText w:val="(%1)"/>
      <w:numFmt w:val="lowerLetter"/>
      <w:start w:val="1"/>
    </w:lvl>
    <w:lvl w:ilvl="1">
      <w:lvlJc w:val="left"/>
      <w:lvlText w:val="(%2)"/>
      <w:numFmt w:val="lowerLetter"/>
      <w:start w:val="2"/>
    </w:lvl>
  </w:abstractNum>
  <w:abstractNum w:abstractNumId="96">
    <w:nsid w:val="4C9B0904"/>
    <w:multiLevelType w:val="hybridMultilevel"/>
    <w:lvl w:ilvl="0">
      <w:lvlJc w:val="left"/>
      <w:lvlText w:val="(%1)"/>
      <w:numFmt w:val="lowerLetter"/>
      <w:start w:val="3"/>
    </w:lvl>
  </w:abstractNum>
  <w:abstractNum w:abstractNumId="97">
    <w:nsid w:val="6AA7B75C"/>
    <w:multiLevelType w:val="hybridMultilevel"/>
    <w:lvl w:ilvl="0">
      <w:lvlJc w:val="left"/>
      <w:lvlText w:val="%1."/>
      <w:numFmt w:val="decimal"/>
      <w:start w:val="4"/>
    </w:lvl>
  </w:abstractNum>
  <w:abstractNum w:abstractNumId="98">
    <w:nsid w:val="1DF029D3"/>
    <w:multiLevelType w:val="hybridMultilevel"/>
    <w:lvl w:ilvl="0">
      <w:lvlJc w:val="left"/>
      <w:lvlText w:val="(%1)"/>
      <w:numFmt w:val="lowerLetter"/>
      <w:start w:val="1"/>
    </w:lvl>
  </w:abstractNum>
  <w:abstractNum w:abstractNumId="99">
    <w:nsid w:val="5675FF36"/>
    <w:multiLevelType w:val="hybridMultilevel"/>
    <w:lvl w:ilvl="0">
      <w:lvlJc w:val="left"/>
      <w:lvlText w:val="(%1)"/>
      <w:numFmt w:val="lowerRoman"/>
      <w:start w:val="1"/>
    </w:lvl>
  </w:abstractNum>
  <w:abstractNum w:abstractNumId="100">
    <w:nsid w:val="3DD15094"/>
    <w:multiLevelType w:val="hybridMultilevel"/>
    <w:lvl w:ilvl="0">
      <w:lvlJc w:val="left"/>
      <w:lvlText w:val="(%1)"/>
      <w:numFmt w:val="lowerLetter"/>
      <w:start w:val="3"/>
    </w:lvl>
  </w:abstractNum>
  <w:abstractNum w:abstractNumId="101">
    <w:nsid w:val="3DB012B3"/>
    <w:multiLevelType w:val="hybridMultilevel"/>
    <w:lvl w:ilvl="0">
      <w:lvlJc w:val="left"/>
      <w:lvlText w:val="%1."/>
      <w:numFmt w:val="decimal"/>
      <w:start w:val="5"/>
    </w:lvl>
  </w:abstractNum>
  <w:abstractNum w:abstractNumId="102">
    <w:nsid w:val="2708C9AF"/>
    <w:multiLevelType w:val="hybridMultilevel"/>
    <w:lvl w:ilvl="0">
      <w:lvlJc w:val="left"/>
      <w:lvlText w:val="%1."/>
      <w:numFmt w:val="decimal"/>
      <w:start w:val="7"/>
    </w:lvl>
  </w:abstractNum>
  <w:abstractNum w:abstractNumId="103">
    <w:nsid w:val="5B25ACE2"/>
    <w:multiLevelType w:val="hybridMultilevel"/>
    <w:lvl w:ilvl="0">
      <w:lvlJc w:val="left"/>
      <w:lvlText w:val="(%1)"/>
      <w:numFmt w:val="lowerLetter"/>
      <w:start w:val="1"/>
    </w:lvl>
  </w:abstractNum>
  <w:abstractNum w:abstractNumId="104">
    <w:nsid w:val="175DFCF0"/>
    <w:multiLevelType w:val="hybridMultilevel"/>
    <w:lvl w:ilvl="0">
      <w:lvlJc w:val="left"/>
      <w:lvlText w:val="(%1)"/>
      <w:numFmt w:val="lowerRoman"/>
      <w:start w:val="1"/>
    </w:lvl>
  </w:abstractNum>
  <w:abstractNum w:abstractNumId="105">
    <w:nsid w:val="4F97E3E4"/>
    <w:multiLevelType w:val="hybridMultilevel"/>
    <w:lvl w:ilvl="0">
      <w:lvlJc w:val="left"/>
      <w:lvlText w:val="(%1)"/>
      <w:numFmt w:val="lowerLetter"/>
      <w:start w:val="7"/>
    </w:lvl>
  </w:abstractNum>
  <w:abstractNum w:abstractNumId="106">
    <w:nsid w:val="53B0A9E"/>
    <w:multiLevelType w:val="hybridMultilevel"/>
    <w:lvl w:ilvl="0">
      <w:lvlJc w:val="left"/>
      <w:lvlText w:val="(%1)"/>
      <w:numFmt w:val="lowerLetter"/>
      <w:start w:val="8"/>
    </w:lvl>
  </w:abstractNum>
  <w:abstractNum w:abstractNumId="107">
    <w:nsid w:val="34FD6B4F"/>
    <w:multiLevelType w:val="hybridMultilevel"/>
    <w:lvl w:ilvl="0">
      <w:lvlJc w:val="left"/>
      <w:lvlText w:val="%1."/>
      <w:numFmt w:val="decimal"/>
      <w:start w:val="9"/>
    </w:lvl>
  </w:abstractNum>
  <w:abstractNum w:abstractNumId="108">
    <w:nsid w:val="5915FF32"/>
    <w:multiLevelType w:val="hybridMultilevel"/>
    <w:lvl w:ilvl="0">
      <w:lvlJc w:val="left"/>
      <w:lvlText w:val="(%1)"/>
      <w:numFmt w:val="lowerLetter"/>
      <w:start w:val="1"/>
    </w:lvl>
  </w:abstractNum>
  <w:abstractNum w:abstractNumId="109">
    <w:nsid w:val="56438D15"/>
    <w:multiLevelType w:val="hybridMultilevel"/>
    <w:lvl w:ilvl="0">
      <w:lvlJc w:val="left"/>
      <w:lvlText w:val="(%1)"/>
      <w:numFmt w:val="lowerLetter"/>
      <w:start w:val="3"/>
    </w:lvl>
  </w:abstractNum>
  <w:abstractNum w:abstractNumId="110">
    <w:nsid w:val="519E3149"/>
    <w:multiLevelType w:val="hybridMultilevel"/>
    <w:lvl w:ilvl="0">
      <w:lvlJc w:val="left"/>
      <w:lvlText w:val="(%1)"/>
      <w:numFmt w:val="lowerRoman"/>
      <w:start w:val="1"/>
    </w:lvl>
  </w:abstractNum>
  <w:abstractNum w:abstractNumId="111">
    <w:nsid w:val="2C6E4AFD"/>
    <w:multiLevelType w:val="hybridMultilevel"/>
    <w:lvl w:ilvl="0">
      <w:lvlJc w:val="left"/>
      <w:lvlText w:val="(%1)"/>
      <w:numFmt w:val="lowerLetter"/>
      <w:start w:val="5"/>
    </w:lvl>
  </w:abstractNum>
  <w:abstractNum w:abstractNumId="112">
    <w:nsid w:val="17A1B582"/>
    <w:multiLevelType w:val="hybridMultilevel"/>
    <w:lvl w:ilvl="0">
      <w:lvlJc w:val="left"/>
      <w:lvlText w:val="%1."/>
      <w:numFmt w:val="decimal"/>
      <w:start w:val="10"/>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Roman"/>
      <w:start w:val="1"/>
    </w:lvl>
    <w:lvl w:ilvl="1">
      <w:lvlJc w:val="left"/>
      <w:lvlText w:val="(%2)"/>
      <w:numFmt w:val="lowerRoman"/>
      <w:start w:val="2"/>
    </w:lvl>
  </w:abstractNum>
  <w:abstractNum w:abstractNumId="115">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6">
    <w:nsid w:val="2A082C70"/>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117">
    <w:nsid w:val="5EC6AFD4"/>
    <w:multiLevelType w:val="hybridMultilevel"/>
    <w:lvl w:ilvl="0">
      <w:lvlJc w:val="left"/>
      <w:lvlText w:val="%1."/>
      <w:numFmt w:val="decimal"/>
      <w:start w:val="11"/>
    </w:lvl>
  </w:abstractNum>
  <w:abstractNum w:abstractNumId="118">
    <w:nsid w:val="19E21BB2"/>
    <w:multiLevelType w:val="hybridMultilevel"/>
    <w:lvl w:ilvl="0">
      <w:lvlJc w:val="left"/>
      <w:lvlText w:val="%1."/>
      <w:numFmt w:val="decimal"/>
      <w:start w:val="13"/>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decimal"/>
      <w:start w:val="14"/>
    </w:lvl>
  </w:abstractNum>
  <w:abstractNum w:abstractNumId="121">
    <w:nsid w:val="5399C654"/>
    <w:multiLevelType w:val="hybridMultilevel"/>
    <w:lvl w:ilvl="0">
      <w:lvlJc w:val="left"/>
      <w:lvlText w:val="(%1)"/>
      <w:numFmt w:val="lowerLetter"/>
      <w:start w:val="1"/>
    </w:lvl>
  </w:abstractNum>
  <w:abstractNum w:abstractNumId="122">
    <w:nsid w:val="20EE1348"/>
    <w:multiLevelType w:val="hybridMultilevel"/>
    <w:lvl w:ilvl="0">
      <w:lvlJc w:val="left"/>
      <w:lvlText w:val="%1."/>
      <w:numFmt w:val="decimal"/>
      <w:start w:val="15"/>
    </w:lvl>
  </w:abstractNum>
  <w:abstractNum w:abstractNumId="123">
    <w:nsid w:val="4427069A"/>
    <w:multiLevelType w:val="hybridMultilevel"/>
    <w:lvl w:ilvl="0">
      <w:lvlJc w:val="left"/>
      <w:lvlText w:val="(%1)"/>
      <w:numFmt w:val="lowerLetter"/>
      <w:start w:val="1"/>
    </w:lvl>
  </w:abstractNum>
  <w:abstractNum w:abstractNumId="124">
    <w:nsid w:val="B37E80A"/>
    <w:multiLevelType w:val="hybridMultilevel"/>
    <w:lvl w:ilvl="0">
      <w:lvlJc w:val="left"/>
      <w:lvlText w:val="%1."/>
      <w:numFmt w:val="decimal"/>
      <w:start w:val="16"/>
    </w:lvl>
  </w:abstractNum>
  <w:abstractNum w:abstractNumId="125">
    <w:nsid w:val="2157F6BC"/>
    <w:multiLevelType w:val="hybridMultilevel"/>
    <w:lvl w:ilvl="0">
      <w:lvlJc w:val="left"/>
      <w:lvlText w:val="(%1)"/>
      <w:numFmt w:val="lowerLetter"/>
      <w:start w:val="1"/>
    </w:lvl>
  </w:abstractNum>
  <w:abstractNum w:abstractNumId="126">
    <w:nsid w:val="704E1DD5"/>
    <w:multiLevelType w:val="hybridMultilevel"/>
    <w:lvl w:ilvl="0">
      <w:lvlJc w:val="left"/>
      <w:lvlText w:val="%1."/>
      <w:numFmt w:val="decimal"/>
      <w:start w:val="17"/>
    </w:lvl>
  </w:abstractNum>
  <w:abstractNum w:abstractNumId="127">
    <w:nsid w:val="57D2F10E"/>
    <w:multiLevelType w:val="hybridMultilevel"/>
    <w:lvl w:ilvl="0">
      <w:lvlJc w:val="left"/>
      <w:lvlText w:val="%1."/>
      <w:numFmt w:val="decimal"/>
      <w:start w:val="22"/>
    </w:lvl>
  </w:abstractNum>
  <w:abstractNum w:abstractNumId="128">
    <w:nsid w:val="BFFAE18"/>
    <w:multiLevelType w:val="hybridMultilevel"/>
    <w:lvl w:ilvl="0">
      <w:lvlJc w:val="left"/>
      <w:lvlText w:val="%1)"/>
      <w:numFmt w:val="decimal"/>
      <w:start w:val="1"/>
    </w:lvl>
    <w:lvl w:ilvl="1">
      <w:lvlJc w:val="left"/>
      <w:lvlText w:val="(%2)"/>
      <w:numFmt w:val="lowerLetter"/>
      <w:start w:val="1"/>
    </w:lvl>
  </w:abstractNum>
  <w:abstractNum w:abstractNumId="129">
    <w:nsid w:val="E3E47A8"/>
    <w:multiLevelType w:val="hybridMultilevel"/>
    <w:lvl w:ilvl="0">
      <w:lvlJc w:val="left"/>
      <w:lvlText w:val="(%1)"/>
      <w:numFmt w:val="lowerLetter"/>
      <w:start w:val="14"/>
    </w:lvl>
  </w:abstractNum>
  <w:abstractNum w:abstractNumId="130">
    <w:nsid w:val="2E48F044"/>
    <w:multiLevelType w:val="hybridMultilevel"/>
    <w:lvl w:ilvl="0">
      <w:lvlJc w:val="left"/>
      <w:lvlText w:val="(%1)"/>
      <w:numFmt w:val="lowerLetter"/>
      <w:start w:val="26"/>
    </w:lvl>
  </w:abstractNum>
  <w:abstractNum w:abstractNumId="131">
    <w:nsid w:val="49D0FEAC"/>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132">
    <w:nsid w:val="4BEE5A5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3">
    <w:nsid w:val="5551B9F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34">
    <w:nsid w:val="24F6AB8E"/>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1"/>
    </w:lvl>
  </w:abstractNum>
  <w:abstractNum w:abstractNumId="135">
    <w:nsid w:val="634C574C"/>
    <w:multiLevelType w:val="hybridMultilevel"/>
    <w:lvl w:ilvl="0">
      <w:lvlJc w:val="left"/>
      <w:lvlText w:val="%1)"/>
      <w:numFmt w:val="decimal"/>
      <w:start w:val="1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5"/>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2019-12-29T12:18:49Z</dcterms:created>
  <dcterms:modified xsi:type="dcterms:W3CDTF">2019-12-29T12:18:49Z</dcterms:modified>
</cp:coreProperties>
</file>