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10760d424b5.htm"/>
      <w:bookmarkStart w:id="1" w:name="ksd110760d424b5"/>
      <w:bookmarkEnd w:id="0"/>
      <w:bookmarkEnd w:id="1"/>
      <w:r>
        <w:rPr>
          <w:rFonts w:ascii="Times New Roman" w:hAnsi="Times New Roman"/>
          <w:b/>
          <w:sz w:val="20"/>
        </w:rPr>
        <w:t>Filed Pursuant to Rule 424(b)(5)</w:t>
        <w:br/>
        <w:t>Registration No. 333-287650</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19"/>
        </w:rPr>
      </w:pPr>
      <w:r>
        <w:rPr>
          <w:rFonts w:ascii="Times New Roman" w:hAnsi="Times New Roman"/>
          <w:b/>
          <w:sz w:val="19"/>
        </w:rPr>
        <w:t xml:space="preserve">Prospectus Supplement </w:t>
      </w:r>
    </w:p>
    <w:p>
      <w:pPr>
        <w:pStyle w:val="TextBody"/>
        <w:bidi w:val="0"/>
        <w:spacing w:before="0" w:after="0"/>
        <w:jc w:val="left"/>
        <w:rPr>
          <w:rFonts w:ascii="Times New Roman" w:hAnsi="Times New Roman"/>
          <w:b/>
          <w:sz w:val="19"/>
        </w:rPr>
      </w:pPr>
      <w:r>
        <w:rPr>
          <w:rFonts w:ascii="Times New Roman" w:hAnsi="Times New Roman"/>
          <w:b/>
          <w:sz w:val="19"/>
        </w:rPr>
        <w:t xml:space="preserve">(To Prospectus dated May 29, 2025) </w:t>
      </w:r>
    </w:p>
    <w:p>
      <w:pPr>
        <w:pStyle w:val="TextBody"/>
        <w:bidi w:val="0"/>
        <w:spacing w:before="240" w:after="0"/>
        <w:jc w:val="center"/>
        <w:rPr>
          <w:rFonts w:ascii="Times New Roman" w:hAnsi="Times New Roman"/>
          <w:b/>
          <w:sz w:val="36"/>
        </w:rPr>
      </w:pPr>
      <w:r>
        <w:rPr>
          <w:rFonts w:ascii="Times New Roman" w:hAnsi="Times New Roman"/>
          <w:b/>
          <w:sz w:val="36"/>
        </w:rPr>
        <w:t xml:space="preserve">$1,000,000,000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383790" cy="2927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3790" cy="2927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$500,000,000 5.050% Notes due 2029 </w:t>
      </w:r>
    </w:p>
    <w:p>
      <w:pPr>
        <w:pStyle w:val="TextBody"/>
        <w:bidi w:val="0"/>
        <w:spacing w:before="120" w:after="0"/>
        <w:jc w:val="center"/>
        <w:rPr>
          <w:rFonts w:ascii="Times New Roman" w:hAnsi="Times New Roman"/>
          <w:b/>
          <w:sz w:val="28"/>
        </w:rPr>
      </w:pPr>
      <w:r>
        <w:rPr>
          <w:rFonts w:ascii="Times New Roman" w:hAnsi="Times New Roman"/>
          <w:b/>
          <w:sz w:val="28"/>
        </w:rPr>
        <w:t xml:space="preserve">$500,000,000 5.650% Notes due 2033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9"/>
        </w:rPr>
      </w:pPr>
      <w:r>
        <w:rPr>
          <w:rFonts w:ascii="Times New Roman" w:hAnsi="Times New Roman"/>
          <w:sz w:val="19"/>
        </w:rPr>
        <w:t xml:space="preserve">Autodesk, Inc. is offering $500,000,000 principal amount of its 5.050% notes due September 15, 2029 (the “2029 notes”) and $500,000,000 principal amount of its 5.650% notes due September 15, 2033 (the “2033 notes” and, together with the 2029 notes, the “notes”). The 2029 notes will bear interest at a rate of 5.050% per annum and the 2033 notes will bear interest at a rate of 5.650% per annum. We will pay interest semi-annually in arrears on the 2029 notes on March 15 and September 15 of each year, beginning March 15, 2027, and we will pay interest semi-annually in arrears on the 2033 notes on March 15 and September 15 of each year, beginning March 15, 2027. The 2029 notes will mature on September 15, 2029 and the 2033 notes will mature on September 15, 2033. </w:t>
      </w:r>
    </w:p>
    <w:p>
      <w:pPr>
        <w:pStyle w:val="TextBody"/>
        <w:bidi w:val="0"/>
        <w:spacing w:before="240" w:after="0"/>
        <w:jc w:val="left"/>
        <w:rPr>
          <w:rFonts w:ascii="Times New Roman" w:hAnsi="Times New Roman"/>
          <w:sz w:val="20"/>
        </w:rPr>
      </w:pPr>
      <w:r>
        <w:rPr>
          <w:rFonts w:ascii="Times New Roman" w:hAnsi="Times New Roman"/>
          <w:sz w:val="20"/>
        </w:rPr>
        <w:t xml:space="preserve">We may redeem some or all of the notes at any time at the applicable redemption prices described under the heading “Description of Notes — Optional Redemption” in this prospectus supplement. Upon the occurrence of a “change of control repurchase event,” as defined under “Description of Notes — Purchase of Notes upon Change of Control Repurchase Event,” we will be required to make an offer to repurchase the notes at a price equal to 101% of their principal amount plus accrued and unpaid interest to, but not including, the date of repurchase. </w:t>
      </w:r>
    </w:p>
    <w:p>
      <w:pPr>
        <w:pStyle w:val="TextBody"/>
        <w:bidi w:val="0"/>
        <w:spacing w:before="240" w:after="0"/>
        <w:jc w:val="left"/>
        <w:rPr>
          <w:rFonts w:ascii="Times New Roman" w:hAnsi="Times New Roman"/>
          <w:sz w:val="20"/>
        </w:rPr>
      </w:pPr>
      <w:r>
        <w:rPr>
          <w:rFonts w:ascii="Times New Roman" w:hAnsi="Times New Roman"/>
          <w:sz w:val="20"/>
        </w:rPr>
        <w:t xml:space="preserve">The notes are our senior unsecured obligations and will rank equally with all of our other senior unsecured indebtedness from time to time outstanding. There is no sinking fund for the notes. The notes are not, and are not expected to be, listed on any securities exchange. Currently, there is no public market for the notes.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 notes involves risks. See “</w:t>
      </w:r>
      <w:hyperlink w:anchor="supptx110760_4">
        <w:r>
          <w:rPr>
            <w:rStyle w:val="InternetLink"/>
            <w:rFonts w:ascii="Times New Roman" w:hAnsi="Times New Roman"/>
            <w:b/>
            <w:sz w:val="24"/>
          </w:rPr>
          <w:t>Risk Factors</w:t>
        </w:r>
      </w:hyperlink>
      <w:r>
        <w:rPr>
          <w:rFonts w:ascii="Times New Roman" w:hAnsi="Times New Roman"/>
          <w:b/>
          <w:sz w:val="24"/>
        </w:rPr>
        <w:t xml:space="preserve">” beginning on page S-10 of this prospectus supplement.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357"/>
        <w:gridCol w:w="331"/>
        <w:gridCol w:w="140"/>
        <w:gridCol w:w="1360"/>
        <w:gridCol w:w="276"/>
        <w:gridCol w:w="241"/>
        <w:gridCol w:w="190"/>
        <w:gridCol w:w="1377"/>
        <w:gridCol w:w="276"/>
        <w:gridCol w:w="241"/>
        <w:gridCol w:w="140"/>
        <w:gridCol w:w="1360"/>
        <w:gridCol w:w="283"/>
      </w:tblGrid>
      <w:tr>
        <w:trPr/>
        <w:tc>
          <w:tcPr>
            <w:tcW w:w="2357"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357"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1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Price to</w:t>
              <w:br/>
              <w:t>Public(1)</w:t>
            </w:r>
          </w:p>
        </w:tc>
        <w:tc>
          <w:tcPr>
            <w:tcW w:w="27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5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w:t>
            </w:r>
          </w:p>
        </w:tc>
        <w:tc>
          <w:tcPr>
            <w:tcW w:w="27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Proceeds</w:t>
              <w:br/>
              <w:t>to Autodesk</w:t>
              <w:br/>
              <w:t>(before</w:t>
              <w:br/>
              <w:t>expenses)</w:t>
            </w:r>
          </w:p>
        </w:tc>
        <w:tc>
          <w:tcPr>
            <w:tcW w:w="283" w:type="dxa"/>
            <w:tcBorders/>
            <w:vAlign w:val="bottom"/>
          </w:tcPr>
          <w:p>
            <w:pPr>
              <w:pStyle w:val="TableContents"/>
              <w:bidi w:val="0"/>
              <w:spacing w:before="0" w:after="283"/>
              <w:jc w:val="left"/>
              <w:rPr/>
            </w:pPr>
            <w:r>
              <w:rPr/>
              <w:t> </w:t>
            </w:r>
          </w:p>
        </w:tc>
      </w:tr>
      <w:tr>
        <w:trPr/>
        <w:tc>
          <w:tcPr>
            <w:tcW w:w="2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2029 Note</w:t>
            </w:r>
          </w:p>
        </w:tc>
        <w:tc>
          <w:tcPr>
            <w:tcW w:w="3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99.869</w:t>
            </w:r>
          </w:p>
        </w:tc>
        <w:tc>
          <w:tcPr>
            <w:tcW w:w="27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0.450</w:t>
            </w:r>
          </w:p>
        </w:tc>
        <w:tc>
          <w:tcPr>
            <w:tcW w:w="27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99.419</w:t>
            </w:r>
          </w:p>
        </w:tc>
        <w:tc>
          <w:tcPr>
            <w:tcW w:w="283" w:type="dxa"/>
            <w:tcBorders/>
            <w:shd w:fill="CCEEFF" w:val="clear"/>
            <w:vAlign w:val="bottom"/>
          </w:tcPr>
          <w:p>
            <w:pPr>
              <w:pStyle w:val="TableContents"/>
              <w:bidi w:val="0"/>
              <w:spacing w:before="0" w:after="283"/>
              <w:jc w:val="left"/>
              <w:rPr/>
            </w:pPr>
            <w:r>
              <w:rPr/>
              <w:t>% </w:t>
            </w:r>
          </w:p>
        </w:tc>
      </w:tr>
      <w:tr>
        <w:trPr/>
        <w:tc>
          <w:tcPr>
            <w:tcW w:w="2357" w:type="dxa"/>
            <w:tcBorders/>
          </w:tcPr>
          <w:p>
            <w:pPr>
              <w:pStyle w:val="TableContents"/>
              <w:bidi w:val="0"/>
              <w:spacing w:before="0" w:after="0"/>
              <w:jc w:val="left"/>
              <w:rPr>
                <w:rFonts w:ascii="Times New Roman" w:hAnsi="Times New Roman"/>
                <w:sz w:val="20"/>
              </w:rPr>
            </w:pPr>
            <w:r>
              <w:rPr>
                <w:rFonts w:ascii="Times New Roman" w:hAnsi="Times New Roman"/>
                <w:sz w:val="20"/>
              </w:rPr>
              <w:t>2029 Notes Total</w:t>
            </w:r>
          </w:p>
        </w:tc>
        <w:tc>
          <w:tcPr>
            <w:tcW w:w="3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60" w:type="dxa"/>
            <w:tcBorders/>
            <w:vAlign w:val="bottom"/>
          </w:tcPr>
          <w:p>
            <w:pPr>
              <w:pStyle w:val="TableContents"/>
              <w:bidi w:val="0"/>
              <w:spacing w:before="0" w:after="283"/>
              <w:jc w:val="right"/>
              <w:rPr/>
            </w:pPr>
            <w:r>
              <w:rPr/>
              <w:t>499,345,000</w:t>
            </w:r>
          </w:p>
        </w:tc>
        <w:tc>
          <w:tcPr>
            <w:tcW w:w="27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377" w:type="dxa"/>
            <w:tcBorders/>
            <w:vAlign w:val="bottom"/>
          </w:tcPr>
          <w:p>
            <w:pPr>
              <w:pStyle w:val="TableContents"/>
              <w:bidi w:val="0"/>
              <w:spacing w:before="0" w:after="283"/>
              <w:jc w:val="right"/>
              <w:rPr/>
            </w:pPr>
            <w:r>
              <w:rPr/>
              <w:t>2,250,000</w:t>
            </w:r>
          </w:p>
        </w:tc>
        <w:tc>
          <w:tcPr>
            <w:tcW w:w="27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60" w:type="dxa"/>
            <w:tcBorders/>
            <w:vAlign w:val="bottom"/>
          </w:tcPr>
          <w:p>
            <w:pPr>
              <w:pStyle w:val="TableContents"/>
              <w:bidi w:val="0"/>
              <w:spacing w:before="0" w:after="283"/>
              <w:jc w:val="right"/>
              <w:rPr/>
            </w:pPr>
            <w:r>
              <w:rPr/>
              <w:t>497,095,000</w:t>
            </w:r>
          </w:p>
        </w:tc>
        <w:tc>
          <w:tcPr>
            <w:tcW w:w="283" w:type="dxa"/>
            <w:tcBorders/>
            <w:vAlign w:val="bottom"/>
          </w:tcPr>
          <w:p>
            <w:pPr>
              <w:pStyle w:val="TableContents"/>
              <w:bidi w:val="0"/>
              <w:spacing w:before="0" w:after="283"/>
              <w:jc w:val="left"/>
              <w:rPr/>
            </w:pPr>
            <w:r>
              <w:rPr/>
              <w:t> </w:t>
            </w:r>
          </w:p>
        </w:tc>
      </w:tr>
      <w:tr>
        <w:trPr/>
        <w:tc>
          <w:tcPr>
            <w:tcW w:w="2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2033 Note</w:t>
            </w:r>
          </w:p>
        </w:tc>
        <w:tc>
          <w:tcPr>
            <w:tcW w:w="3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99.844</w:t>
            </w:r>
          </w:p>
        </w:tc>
        <w:tc>
          <w:tcPr>
            <w:tcW w:w="27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0.625</w:t>
            </w:r>
          </w:p>
        </w:tc>
        <w:tc>
          <w:tcPr>
            <w:tcW w:w="27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99.219</w:t>
            </w:r>
          </w:p>
        </w:tc>
        <w:tc>
          <w:tcPr>
            <w:tcW w:w="283" w:type="dxa"/>
            <w:tcBorders/>
            <w:shd w:fill="CCEEFF" w:val="clear"/>
            <w:vAlign w:val="bottom"/>
          </w:tcPr>
          <w:p>
            <w:pPr>
              <w:pStyle w:val="TableContents"/>
              <w:bidi w:val="0"/>
              <w:spacing w:before="0" w:after="283"/>
              <w:jc w:val="left"/>
              <w:rPr/>
            </w:pPr>
            <w:r>
              <w:rPr/>
              <w:t>% </w:t>
            </w:r>
          </w:p>
        </w:tc>
      </w:tr>
      <w:tr>
        <w:trPr/>
        <w:tc>
          <w:tcPr>
            <w:tcW w:w="2357" w:type="dxa"/>
            <w:tcBorders/>
          </w:tcPr>
          <w:p>
            <w:pPr>
              <w:pStyle w:val="TableContents"/>
              <w:bidi w:val="0"/>
              <w:spacing w:before="0" w:after="0"/>
              <w:jc w:val="left"/>
              <w:rPr>
                <w:rFonts w:ascii="Times New Roman" w:hAnsi="Times New Roman"/>
                <w:sz w:val="20"/>
              </w:rPr>
            </w:pPr>
            <w:r>
              <w:rPr>
                <w:rFonts w:ascii="Times New Roman" w:hAnsi="Times New Roman"/>
                <w:sz w:val="20"/>
              </w:rPr>
              <w:t>2033 Notes Total</w:t>
            </w:r>
          </w:p>
        </w:tc>
        <w:tc>
          <w:tcPr>
            <w:tcW w:w="3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60" w:type="dxa"/>
            <w:tcBorders/>
            <w:vAlign w:val="bottom"/>
          </w:tcPr>
          <w:p>
            <w:pPr>
              <w:pStyle w:val="TableContents"/>
              <w:bidi w:val="0"/>
              <w:spacing w:before="0" w:after="283"/>
              <w:jc w:val="right"/>
              <w:rPr/>
            </w:pPr>
            <w:r>
              <w:rPr/>
              <w:t>499,220,000</w:t>
            </w:r>
          </w:p>
        </w:tc>
        <w:tc>
          <w:tcPr>
            <w:tcW w:w="27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377" w:type="dxa"/>
            <w:tcBorders/>
            <w:vAlign w:val="bottom"/>
          </w:tcPr>
          <w:p>
            <w:pPr>
              <w:pStyle w:val="TableContents"/>
              <w:bidi w:val="0"/>
              <w:spacing w:before="0" w:after="283"/>
              <w:jc w:val="right"/>
              <w:rPr/>
            </w:pPr>
            <w:r>
              <w:rPr/>
              <w:t>3,125,000</w:t>
            </w:r>
          </w:p>
        </w:tc>
        <w:tc>
          <w:tcPr>
            <w:tcW w:w="27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60" w:type="dxa"/>
            <w:tcBorders/>
            <w:vAlign w:val="bottom"/>
          </w:tcPr>
          <w:p>
            <w:pPr>
              <w:pStyle w:val="TableContents"/>
              <w:bidi w:val="0"/>
              <w:spacing w:before="0" w:after="283"/>
              <w:jc w:val="right"/>
              <w:rPr/>
            </w:pPr>
            <w:r>
              <w:rPr/>
              <w:t>496,095,000</w:t>
            </w:r>
          </w:p>
        </w:tc>
        <w:tc>
          <w:tcPr>
            <w:tcW w:w="283" w:type="dxa"/>
            <w:tcBorders/>
            <w:vAlign w:val="bottom"/>
          </w:tcPr>
          <w:p>
            <w:pPr>
              <w:pStyle w:val="TableContents"/>
              <w:bidi w:val="0"/>
              <w:spacing w:before="0" w:after="283"/>
              <w:jc w:val="left"/>
              <w:rPr/>
            </w:pPr>
            <w:r>
              <w:rPr/>
              <w:t> </w:t>
            </w:r>
          </w:p>
        </w:tc>
      </w:tr>
      <w:tr>
        <w:trPr/>
        <w:tc>
          <w:tcPr>
            <w:tcW w:w="2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60" w:type="dxa"/>
            <w:tcBorders/>
            <w:shd w:fill="CCEEFF" w:val="clear"/>
            <w:vAlign w:val="bottom"/>
          </w:tcPr>
          <w:p>
            <w:pPr>
              <w:pStyle w:val="TableContents"/>
              <w:bidi w:val="0"/>
              <w:spacing w:before="0" w:after="283"/>
              <w:jc w:val="right"/>
              <w:rPr/>
            </w:pPr>
            <w:r>
              <w:rPr/>
              <w:t>998,565,000</w:t>
            </w:r>
          </w:p>
        </w:tc>
        <w:tc>
          <w:tcPr>
            <w:tcW w:w="27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377" w:type="dxa"/>
            <w:tcBorders/>
            <w:shd w:fill="CCEEFF" w:val="clear"/>
            <w:vAlign w:val="bottom"/>
          </w:tcPr>
          <w:p>
            <w:pPr>
              <w:pStyle w:val="TableContents"/>
              <w:bidi w:val="0"/>
              <w:spacing w:before="0" w:after="283"/>
              <w:jc w:val="right"/>
              <w:rPr/>
            </w:pPr>
            <w:r>
              <w:rPr/>
              <w:t>5,375,000</w:t>
            </w:r>
          </w:p>
        </w:tc>
        <w:tc>
          <w:tcPr>
            <w:tcW w:w="27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60" w:type="dxa"/>
            <w:tcBorders/>
            <w:shd w:fill="CCEEFF" w:val="clear"/>
            <w:vAlign w:val="bottom"/>
          </w:tcPr>
          <w:p>
            <w:pPr>
              <w:pStyle w:val="TableContents"/>
              <w:bidi w:val="0"/>
              <w:spacing w:before="0" w:after="283"/>
              <w:jc w:val="right"/>
              <w:rPr/>
            </w:pPr>
            <w:r>
              <w:rPr/>
              <w:t>993,190,000</w:t>
            </w:r>
          </w:p>
        </w:tc>
        <w:tc>
          <w:tcPr>
            <w:tcW w:w="283"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9"/>
              </w:rPr>
            </w:pPr>
            <w:r>
              <w:rPr>
                <w:rFonts w:ascii="Times New Roman" w:hAnsi="Times New Roman"/>
                <w:sz w:val="19"/>
              </w:rPr>
              <w:t xml:space="preserve">Plus accrued interest, if any, from September 10, 2026, if settlement occurs after that date.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(“SEC”) nor any state securities commission has approved or disapproved of these securities or determined if this prospectus supplement or the accompanying prospectus to which it relates is truthful or complete. Any representation to the contrary is a criminal offense. </w:t>
      </w:r>
    </w:p>
    <w:p>
      <w:pPr>
        <w:pStyle w:val="TextBody"/>
        <w:bidi w:val="0"/>
        <w:spacing w:before="240" w:after="0"/>
        <w:jc w:val="left"/>
        <w:rPr>
          <w:rFonts w:ascii="Times New Roman" w:hAnsi="Times New Roman"/>
          <w:sz w:val="19"/>
        </w:rPr>
      </w:pPr>
      <w:r>
        <w:rPr>
          <w:rFonts w:ascii="Times New Roman" w:hAnsi="Times New Roman"/>
          <w:sz w:val="19"/>
        </w:rPr>
        <w:t xml:space="preserve">The underwriters expect to deliver the notes on or about September 10, 2026, which will be the second business day from the date of the pricing of the notes, only in book-entry form through the facilities of The Depository Trust Company for the accounts of its participants, including Euroclear Bank S.A./N.V., as operator of the Euroclear System, and Clearstream Banking S.A.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Morgan Stanley</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BNP PARIBAS</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Citigroup</w:t>
            </w:r>
          </w:p>
        </w:tc>
      </w:tr>
    </w:tbl>
    <w:tbl>
      <w:tblPr>
        <w:tblW w:w="5000" w:type="pct"/>
        <w:jc w:val="left"/>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center"/>
              <w:rPr/>
            </w:pPr>
            <w:r>
              <w:rPr/>
              <w:t> </w:t>
            </w:r>
            <w:r>
              <w:rPr>
                <w:b/>
              </w:rPr>
              <w:t>BofA Securities</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center"/>
              <w:rPr>
                <w:b/>
              </w:rPr>
            </w:pPr>
            <w:r>
              <w:rPr>
                <w:b/>
              </w:rPr>
              <w:t>US Bancorp</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Co-Managers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3"/>
        <w:gridCol w:w="101"/>
        <w:gridCol w:w="2042"/>
        <w:gridCol w:w="101"/>
        <w:gridCol w:w="3471"/>
        <w:gridCol w:w="101"/>
        <w:gridCol w:w="2756"/>
      </w:tblGrid>
      <w:tr>
        <w:trPr/>
        <w:tc>
          <w:tcPr>
            <w:tcW w:w="163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1633" w:type="dxa"/>
            <w:tcBorders/>
          </w:tcPr>
          <w:p>
            <w:pPr>
              <w:pStyle w:val="TableContents"/>
              <w:bidi w:val="0"/>
              <w:spacing w:before="0" w:after="283"/>
              <w:jc w:val="left"/>
              <w:rPr>
                <w:b/>
              </w:rPr>
            </w:pPr>
            <w:r>
              <w:rPr>
                <w:b/>
              </w:rPr>
              <w:t>J.P. Morgan</w:t>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center"/>
              <w:rPr>
                <w:b/>
              </w:rPr>
            </w:pPr>
            <w:r>
              <w:rPr>
                <w:b/>
              </w:rPr>
              <w:t>MUFG</w:t>
            </w:r>
          </w:p>
        </w:tc>
        <w:tc>
          <w:tcPr>
            <w:tcW w:w="101" w:type="dxa"/>
            <w:tcBorders/>
            <w:vAlign w:val="bottom"/>
          </w:tcPr>
          <w:p>
            <w:pPr>
              <w:pStyle w:val="TableContents"/>
              <w:bidi w:val="0"/>
              <w:spacing w:before="0" w:after="283"/>
              <w:jc w:val="left"/>
              <w:rPr/>
            </w:pPr>
            <w:r>
              <w:rPr/>
              <w:t> </w:t>
            </w:r>
          </w:p>
        </w:tc>
        <w:tc>
          <w:tcPr>
            <w:tcW w:w="3471" w:type="dxa"/>
            <w:tcBorders/>
          </w:tcPr>
          <w:p>
            <w:pPr>
              <w:pStyle w:val="TableContents"/>
              <w:bidi w:val="0"/>
              <w:spacing w:before="0" w:after="283"/>
              <w:jc w:val="center"/>
              <w:rPr>
                <w:b/>
              </w:rPr>
            </w:pPr>
            <w:r>
              <w:rPr>
                <w:b/>
              </w:rPr>
              <w:t>RBC Capital Markets</w:t>
            </w:r>
          </w:p>
        </w:tc>
        <w:tc>
          <w:tcPr>
            <w:tcW w:w="101" w:type="dxa"/>
            <w:tcBorders/>
            <w:vAlign w:val="bottom"/>
          </w:tcPr>
          <w:p>
            <w:pPr>
              <w:pStyle w:val="TableContents"/>
              <w:bidi w:val="0"/>
              <w:spacing w:before="0" w:after="283"/>
              <w:jc w:val="left"/>
              <w:rPr/>
            </w:pPr>
            <w:r>
              <w:rPr/>
              <w:t> </w:t>
            </w:r>
          </w:p>
        </w:tc>
        <w:tc>
          <w:tcPr>
            <w:tcW w:w="2756" w:type="dxa"/>
            <w:tcBorders/>
          </w:tcPr>
          <w:p>
            <w:pPr>
              <w:pStyle w:val="TableContents"/>
              <w:bidi w:val="0"/>
              <w:spacing w:before="0" w:after="283"/>
              <w:jc w:val="right"/>
              <w:rPr>
                <w:b/>
              </w:rPr>
            </w:pPr>
            <w:r>
              <w:rPr>
                <w:b/>
              </w:rPr>
              <w:t>Wells Fargo Securities</w:t>
            </w:r>
          </w:p>
        </w:tc>
      </w:tr>
    </w:tbl>
    <w:p>
      <w:pPr>
        <w:pStyle w:val="TextBody"/>
        <w:bidi w:val="0"/>
        <w:spacing w:before="240" w:after="0"/>
        <w:jc w:val="center"/>
        <w:rPr>
          <w:rFonts w:ascii="Times New Roman" w:hAnsi="Times New Roman"/>
          <w:b/>
          <w:sz w:val="19"/>
        </w:rPr>
      </w:pPr>
      <w:r>
        <w:rPr>
          <w:rFonts w:ascii="Times New Roman" w:hAnsi="Times New Roman"/>
          <w:b/>
          <w:sz w:val="19"/>
        </w:rPr>
        <w:t xml:space="preserve">The date of this Prospectus Supplement is September 8,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2">
              <w:r>
                <w:rPr>
                  <w:rStyle w:val="InternetLink"/>
                  <w:rFonts w:ascii="Times New Roman" w:hAnsi="Times New Roman"/>
                  <w:sz w:val="20"/>
                </w:rPr>
                <w:t>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3">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6">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7">
              <w:r>
                <w:rPr>
                  <w:rStyle w:val="InternetLink"/>
                  <w:rFonts w:ascii="Times New Roman" w:hAnsi="Times New Roman"/>
                  <w:sz w:val="20"/>
                </w:rPr>
                <w:t>DESCRIPTION OF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8">
              <w:r>
                <w:rPr>
                  <w:rStyle w:val="InternetLink"/>
                  <w:rFonts w:ascii="Times New Roman" w:hAnsi="Times New Roman"/>
                  <w:sz w:val="20"/>
                </w:rPr>
                <w:t>MATERIAL 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9">
              <w:r>
                <w:rPr>
                  <w:rStyle w:val="InternetLink"/>
                  <w:rFonts w:ascii="Times New Roman" w:hAnsi="Times New Roman"/>
                  <w:sz w:val="20"/>
                </w:rPr>
                <w:t>UNDERWRITING (CONFLICTS OF INTEREST)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10">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11">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12">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10760_13">
              <w:r>
                <w:rPr>
                  <w:rStyle w:val="InternetLink"/>
                  <w:rFonts w:ascii="Times New Roman" w:hAnsi="Times New Roman"/>
                  <w:sz w:val="20"/>
                </w:rPr>
                <w:t>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S-43</w:t>
            </w:r>
          </w:p>
        </w:tc>
        <w:tc>
          <w:tcPr>
            <w:tcW w:w="62" w:type="dxa"/>
            <w:tcBorders/>
            <w:vAlign w:val="bottom"/>
          </w:tcPr>
          <w:p>
            <w:pPr>
              <w:pStyle w:val="TableContents"/>
              <w:bidi w:val="0"/>
              <w:spacing w:before="0" w:after="283"/>
              <w:jc w:val="left"/>
              <w:rPr/>
            </w:pPr>
            <w:r>
              <w:rPr/>
              <w:t> </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vAlign w:val="bottom"/>
          </w:tcPr>
          <w:p>
            <w:pPr>
              <w:pStyle w:val="TableContents"/>
              <w:bidi w:val="0"/>
              <w:spacing w:before="0" w:after="283"/>
              <w:jc w:val="center"/>
              <w:rPr>
                <w:b/>
              </w:rPr>
            </w:pPr>
            <w:r>
              <w:rPr>
                <w:b/>
              </w:rPr>
              <w:t>PROSPECTUS</w:t>
            </w:r>
          </w:p>
        </w:tc>
        <w:tc>
          <w:tcPr>
            <w:tcW w:w="62" w:type="dxa"/>
            <w:tcBorders/>
            <w:vAlign w:val="bottom"/>
          </w:tcPr>
          <w:p>
            <w:pPr>
              <w:pStyle w:val="TableContents"/>
              <w:bidi w:val="0"/>
              <w:spacing w:before="0" w:after="0"/>
              <w:jc w:val="left"/>
              <w:rPr/>
            </w:pPr>
            <w:r>
              <w:rPr/>
              <w:t> </w:t>
            </w:r>
          </w:p>
        </w:tc>
      </w:tr>
      <w:tr>
        <w:trPr>
          <w:trHeight w:val="240" w:hRule="atLeast"/>
        </w:trPr>
        <w:tc>
          <w:tcPr>
            <w:tcW w:w="9460" w:type="dxa"/>
            <w:tcBorders/>
            <w:vAlign w:val="center"/>
          </w:tcPr>
          <w:p>
            <w:pPr>
              <w:pStyle w:val="TableContents"/>
              <w:bidi w:val="0"/>
              <w:spacing w:before="0" w:after="283"/>
              <w:jc w:val="left"/>
              <w:rPr>
                <w:sz w:val="4"/>
                <w:szCs w:val="4"/>
              </w:rPr>
            </w:pPr>
            <w:r>
              <w:rPr>
                <w:sz w:val="4"/>
                <w:szCs w:val="4"/>
              </w:rPr>
            </w:r>
          </w:p>
        </w:tc>
        <w:tc>
          <w:tcPr>
            <w:tcW w:w="745" w:type="dxa"/>
            <w:gridSpan w:val="4"/>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0"/>
              <w:jc w:val="left"/>
              <w:rPr/>
            </w:pPr>
            <w:hyperlink w:anchor="tx110760_1">
              <w:r>
                <w:rPr>
                  <w:rStyle w:val="InternetLink"/>
                  <w:rFonts w:ascii="Times New Roman" w:hAnsi="Times New Roman"/>
                  <w:sz w:val="20"/>
                </w:rPr>
                <w:t>ABOUT THIS PROSPECTUS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2">
              <w:r>
                <w:rPr>
                  <w:rStyle w:val="InternetLink"/>
                  <w:rFonts w:ascii="Times New Roman" w:hAnsi="Times New Roman"/>
                  <w:sz w:val="20"/>
                </w:rPr>
                <w:t>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3">
              <w:r>
                <w:rPr>
                  <w:rStyle w:val="InternetLink"/>
                  <w:rFonts w:ascii="Times New Roman" w:hAnsi="Times New Roman"/>
                  <w:sz w:val="20"/>
                </w:rPr>
                <w:t>OUR BUSINESS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6">
              <w:r>
                <w:rPr>
                  <w:rStyle w:val="InternetLink"/>
                  <w:rFonts w:ascii="Times New Roman" w:hAnsi="Times New Roman"/>
                  <w:sz w:val="20"/>
                </w:rPr>
                <w:t>DESCRIPTION OF SENIOR DEBT SECURITIES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7">
              <w:r>
                <w:rPr>
                  <w:rStyle w:val="InternetLink"/>
                  <w:rFonts w:ascii="Times New Roman" w:hAnsi="Times New Roman"/>
                  <w:sz w:val="20"/>
                </w:rPr>
                <w:t>FORMS OF SENIOR DEBT SECURITIES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8">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9">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10">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11">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x110760_12">
              <w:r>
                <w:rPr>
                  <w:rStyle w:val="InternetLink"/>
                  <w:rFonts w:ascii="Times New Roman" w:hAnsi="Times New Roman"/>
                  <w:sz w:val="20"/>
                </w:rPr>
                <w:t>INFORMATION INCORPORATED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supptx110760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the specific terms of this offering. The second part is the accompanying prospectus, which describes more general information, some of which may not apply to this offering. You should read both this prospectus supplement and the accompanying prospectus, together with the additional information described under the heading “Incorporation by Reference” of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supplement, except as otherwise indicated or unless the context otherwise requires, “Autodesk,” “the Company,” “we,” “us” and “our” refer to Autodesk, Inc. and its consolidated subsidiaries. If the information set forth in this prospectus supplement differs in any way from the information set forth in the accompanying prospectus, you should rely on the information set forth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Currency amounts in this prospectus supplement are stated in U.S. dollars.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may be used only for the purpose for which they have been prepared. We have not, and the underwriters have not, authorized any other person to provide you with information that is different from that contained or incorporated by reference in this prospectus supplement and the accompanying prospectus or any relevant free writing prospectus prepared by or on behalf of us or to which we have referred you. We and the underwriters take no responsibility for, and can provide no assurance as to the reliability of, any other information that others may give you.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consider any information in this prospectus supplement or the accompanying prospectus to be investment, legal or tax advice. You should consult your own counsel, accountants and other advisers for legal, tax, business, financial and related advice regarding the purchase of the notes offered by this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delivery of the notes will be made to investors on or about September 10, 2026, which will be the second business day following the date of this prospectus supplement (such settlement being referred to as T+2). Under Rule 15c6-1 under the Securities Exchange Act of 1934, as amended, trades in the secondary market are required to settle in one business day, unless the parties to any such trade expressly agree otherwise. Accordingly, purchasers who wish to trade notes more than one business day prior to September 10, 2026 will be required, by virtue of the fact that the notes initially settle in T+2, to specify an alternate settlement arrangement to prevent a failed settlement. Purchasers of the notes who wish to trade the notes more than one business day prior to September 10, 2026 should consult their advisors.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supptx110760_2"/>
      <w:bookmarkEnd w:id="4"/>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herein and therein include “forward-looking statements” within the meaning of Section 27A of the Securities Act of 1933, as amended (the “Securities Act”), and Section 21E of the Securities Exchange Act of 1934, as amended (the “Exchange Act”). Forward-looking statements are any statements that look to future events and consist of, among other things, our business strategies including our utilization of, and strategy regarding, artificial intelligence; the implementation of new transaction models, our transition to annual billings for multi-year contracts, and sales and marketing optimization; the effectiveness of our efforts to successfully manage transitions to new markets; our ability to increase our subscription base; future net revenue, operating expenses, recurring revenue, net revenue retention rate, cash flow, remaining performance obligations, and other future financial results (by product type and geography), operational and key metrics and subscriptions; the effects of global economic and political conditions, including the impact of economic volatility, global trade wars, and geopolitical activities in certain countries, particularly emerging economy countries, such as the Russian invasion of Ukraine and conflicts in the Middle East; the impact of past and planned acquisitions and investment activities, including our integration efforts and expected synergies; expected market trends and market opportunities, including the growth of cloud and mobile computing; our ability to successfully expand adoption of our products; our ability to gain market acceptance of new businesses and sales initiatives; the impact of restructuring activities; cybersecurity and privacy issues or incidents; the effect of competition; the availability of credit; the effects of revenue recognition; the effects of newly recently issued accounting standards; expected trends in certain financial metrics, including expenses; expectations regarding our cash needs and expenditures, including our financing arrangements; the effects of fluctuations in exchange rates and our hedging activities on our financial results; the effect of laws and regulations that we are subject to; the timing and amount of purchases under our stock repurchase plan; and the effects of potential non-cash charges on our financial results and the resulting effect on our financial results. In addition, forward-looking statements also consist of statements involving expectations regarding product capability and acceptance, anticipated benefits of our products,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speak only as of the date of this prospectus supplement, the accompanying prospectus and the documents incorporated by reference, as applicable, and are subject to business and economic risks. As such, our actual results could differ materially from those set forth in the forward-looking statements as a result of a number of factors, including those set forth below in the section entitled “Risk Factors,” and in our reports filed with the SEC. We assume no obligation to update the forward-looking statements to reflect events that occur or circumstances that exist after the date on which they were made,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5" w:name="supptx110760_3"/>
      <w:bookmarkEnd w:id="5"/>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highlights information contained elsewhere or incorporated by reference in this prospectus supplement and the accompanying prospectus. It does not contain all of the information that you should consider before investing in the notes. For a more complete discussion of the information you should consider before investing in the notes, you should carefully read this entire prospectus supplement, the accompanying prospectus, any related free writing prospectuses, the sections titled “Risk Factors,” and “Management’s Discussion and Analysis of Financial Condition and Results of Operations,” together with our consolidated financial statements and the related notes thereto, in our most recent Annual Report on Form 10-K for the fiscal year ended January 31, 2026 and our subsequent Quarterly Reports on Form 10-Q for the fiscal quarters ended April 30, 2026 and July 31, 2026, which are incorporated by reference in this prospectus supplement and the accompanying prospectus, and the other documents incorporated by reference in this prospectus supplement and the accompanying prospectus.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global leader in 3D design, engineering and entertainment technology solutions, spanning architecture, engineering, construction, product design, manufacturing, media, and entertainment. Our customers design, fabricate, manufacture, and build anything by visualizing, simulating, and analyzing real-world performance early in the design process. These capabilities allow our customers to foster innovation, optimize their designs, streamline their manufacturing and construction processes, save time and money, improve quality, deliver more sustainable outcomes, communicate plans, and collaborate with others. Our professional software products are sold globally through a combination of indirect and direct channels.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California in April 1982 and were reincorporated in Delaware in May 1994. Our principal executive office is located at One Market Street, Suite 400, San Francisco, California 94105, and the telephone number at that address is (415) 507-5000. Our internet address is www.autodesk.com. Information contained on or accessible through our website is not part of or incorporated by reference into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summary below describes the principal terms of the notes and this offering. Certain of the terms described below are subject to important limitations and exceptions. The “Description of Notes” section of this prospectus supplement and the “Description of Senior Debt Securities” section of the accompanying prospectus contain a more detailed description of the terms of the notes.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Autodesk,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Notes Offered </w:t>
            </w:r>
          </w:p>
        </w:tc>
        <w:tc>
          <w:tcPr>
            <w:tcW w:w="6326" w:type="dxa"/>
            <w:tcBorders/>
          </w:tcPr>
          <w:p>
            <w:pPr>
              <w:pStyle w:val="TableContents"/>
              <w:bidi w:val="0"/>
              <w:spacing w:before="0" w:after="283"/>
              <w:jc w:val="left"/>
              <w:rPr/>
            </w:pPr>
            <w:r>
              <w:rPr/>
              <w:t xml:space="preserve">$500,000,000 aggregate principal amount of our 5.050% notes due September 15, 2029 and $500,000,000 aggregate principal amount of our 5.650% notes due September 15, 2033.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Date </w:t>
            </w:r>
          </w:p>
        </w:tc>
        <w:tc>
          <w:tcPr>
            <w:tcW w:w="6326" w:type="dxa"/>
            <w:tcBorders/>
          </w:tcPr>
          <w:p>
            <w:pPr>
              <w:pStyle w:val="TableContents"/>
              <w:bidi w:val="0"/>
              <w:spacing w:before="0" w:after="283"/>
              <w:jc w:val="left"/>
              <w:rPr/>
            </w:pPr>
            <w:r>
              <w:rPr/>
              <w:t xml:space="preserve">The 2029 notes will mature on September 15, 2029 and the 2033 notes will mature on September 15, 2033.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Rate </w:t>
            </w:r>
          </w:p>
        </w:tc>
        <w:tc>
          <w:tcPr>
            <w:tcW w:w="6326" w:type="dxa"/>
            <w:tcBorders/>
          </w:tcPr>
          <w:p>
            <w:pPr>
              <w:pStyle w:val="TableContents"/>
              <w:bidi w:val="0"/>
              <w:spacing w:before="0" w:after="283"/>
              <w:jc w:val="left"/>
              <w:rPr/>
            </w:pPr>
            <w:r>
              <w:rPr/>
              <w:t xml:space="preserve">The 2029 notes will bear interest at a rate of 5.050% per annum and the 2033 notes will bear interest at a rate of 5.650% per annum.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Interest Payment Dates </w:t>
            </w:r>
          </w:p>
        </w:tc>
        <w:tc>
          <w:tcPr>
            <w:tcW w:w="6326" w:type="dxa"/>
            <w:tcBorders/>
          </w:tcPr>
          <w:p>
            <w:pPr>
              <w:pStyle w:val="TableContents"/>
              <w:bidi w:val="0"/>
              <w:spacing w:before="0" w:after="283"/>
              <w:jc w:val="left"/>
              <w:rPr/>
            </w:pPr>
            <w:r>
              <w:rPr/>
              <w:t xml:space="preserve">We will pay interest on the 2029 notes on March 15 and September 15 of each year, beginning on March 15, 2027 and we will pay interest on the 2033 notes on March 15 and September 15 of each year, beginning March 15, 2027.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8" w:type="dxa"/>
            <w:tcBorders/>
          </w:tcPr>
          <w:p>
            <w:pPr>
              <w:pStyle w:val="TableContents"/>
              <w:bidi w:val="0"/>
              <w:spacing w:before="0" w:after="283"/>
              <w:jc w:val="left"/>
              <w:rPr/>
            </w:pPr>
            <w:r>
              <w:rPr/>
              <w:t xml:space="preserve">The notes will be our senior unsecured obligations and will rank equally with all of our other senior unsecured indebtedness from time to time outstanding, including our outstanding 5.300% notes due 2035 (the “5.300% notes”), 2.400% notes due 2031 (the “2.400% notes”), 2.850% notes due 2030 (the “2.850% notes”) and 3.500% notes due 2027 (together with the 5.300% notes, the 2.400% notes and the 2.850% notes, the “existing senior notes”), our outstanding indebtedness under the term loan credit agreement (as defined below) and commercial paper program (as defined below), and any indebtedness we may incur from time to time under the revolving credit facility and commercial paper program. The notes will be structurally subordinated to all liabilities of our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29" w:type="dxa"/>
            <w:tcBorders/>
          </w:tcPr>
          <w:p>
            <w:pPr>
              <w:pStyle w:val="TableContents"/>
              <w:bidi w:val="0"/>
              <w:spacing w:before="0" w:after="283"/>
              <w:jc w:val="left"/>
              <w:rPr/>
            </w:pPr>
            <w:r>
              <w:rPr/>
              <w:t xml:space="preserve">We may, at our option, redeem the notes, in whole or in part, at any time at the applicable redemption prices determined as set forth under the heading “Description of Notes — 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Change of Control Repurchase Event </w:t>
            </w:r>
          </w:p>
        </w:tc>
        <w:tc>
          <w:tcPr>
            <w:tcW w:w="6328" w:type="dxa"/>
            <w:tcBorders/>
          </w:tcPr>
          <w:p>
            <w:pPr>
              <w:pStyle w:val="TableContents"/>
              <w:bidi w:val="0"/>
              <w:spacing w:before="0" w:after="283"/>
              <w:jc w:val="left"/>
              <w:rPr/>
            </w:pPr>
            <w:r>
              <w:rPr/>
              <w:t xml:space="preserve">Upon the occurrence of a “change of control repurchase event,” as defined under “Description of Notes — Purchase of Notes upon Change of Control Repurchase Event,” each holder will have the right to require us to repurchase all or any part of that holder’s notes at a price equal to 101% of their principal amount, plus accrued and unpaid interest to, but not including, the date of repurchase.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Certain Covenants </w:t>
            </w:r>
          </w:p>
        </w:tc>
        <w:tc>
          <w:tcPr>
            <w:tcW w:w="6328" w:type="dxa"/>
            <w:tcBorders/>
          </w:tcPr>
          <w:p>
            <w:pPr>
              <w:pStyle w:val="TableContents"/>
              <w:bidi w:val="0"/>
              <w:spacing w:before="0" w:after="283"/>
              <w:jc w:val="left"/>
              <w:rPr/>
            </w:pPr>
            <w:r>
              <w:rPr/>
              <w:t xml:space="preserve">The indenture governing the notes contains covenants limiting our ability and the ability of our restricted subsidiaries (as defined therein)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certain liens;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certain sale and leaseback transactions;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us, consolidate or merge with, or convey, transfer or lease all or substantially all our assets to, another person.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However, each of these covenants is subject to a number of significant qualifications and exceptions. You should read “Description of Notes — Certain Covenants” in this prospectus supplement and “Description of Senior Debt Securities — Certain Covenants” in the accompanying prospectus for a description of these covenants. Exceptions to these covenants will allow us and our subsidiaries to incur liens with respect to material assets owned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intend to use net proceeds from the sale of the notes, together with cash on hand, to repay $1.0 billion aggregate principal amount under our Term Loan Credit Agreement, dated as of June 15, 2026, among us, the lenders party thereto, and Citibank, N.A., as administrative agent (the “term loan credit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Denominations </w:t>
            </w:r>
          </w:p>
        </w:tc>
        <w:tc>
          <w:tcPr>
            <w:tcW w:w="6329" w:type="dxa"/>
            <w:tcBorders/>
          </w:tcPr>
          <w:p>
            <w:pPr>
              <w:pStyle w:val="TableContents"/>
              <w:bidi w:val="0"/>
              <w:spacing w:before="0" w:after="283"/>
              <w:jc w:val="left"/>
              <w:rPr/>
            </w:pPr>
            <w:r>
              <w:rPr/>
              <w:t xml:space="preserve">The notes will be issued in minimum denominations of $2,000 and multiples of $1,000 in excess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Form of Notes </w:t>
            </w:r>
          </w:p>
        </w:tc>
        <w:tc>
          <w:tcPr>
            <w:tcW w:w="6329" w:type="dxa"/>
            <w:tcBorders/>
          </w:tcPr>
          <w:p>
            <w:pPr>
              <w:pStyle w:val="TableContents"/>
              <w:bidi w:val="0"/>
              <w:spacing w:before="0" w:after="283"/>
              <w:jc w:val="left"/>
              <w:rPr/>
            </w:pPr>
            <w:r>
              <w:rPr/>
              <w:t xml:space="preserve">We will issue the notes in the form of one or more fully registered global notes registered in the name of the nominee of The Depository Trust Company (“DTC”). Investors may elect to hold the interests in the global notes through any of DTC, Euroclear Bank S.A./N.V., as operator of the Euroclear System, or Clearstream Banking S.A., as described under “Description of Notes — Book-Entry; Delivery and Form; Global Notes” and “Description of Notes — Euroclear and Clearstream, Luxembourg” in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Further Issuances </w:t>
            </w:r>
          </w:p>
        </w:tc>
        <w:tc>
          <w:tcPr>
            <w:tcW w:w="6329" w:type="dxa"/>
            <w:tcBorders/>
          </w:tcPr>
          <w:p>
            <w:pPr>
              <w:pStyle w:val="TableContents"/>
              <w:bidi w:val="0"/>
              <w:spacing w:before="0" w:after="283"/>
              <w:jc w:val="left"/>
              <w:rPr/>
            </w:pPr>
            <w:r>
              <w:rPr/>
              <w:t xml:space="preserve">We may, without the consent of existing holders, increase the principal amount of any series of notes by issuing additional notes of that series in the future, on the same terms and conditions (except for the issue date and, if applicable, the payment of interest accruing prior to the issue date of such additional notes and the first payment of interest following the issue date of such additional notes), and with the same CUSIP number as notes of that series (unless the additional notes of a series are not fungible for U.S. federal income tax purposes with such series, in which case the additional notes will have a separate CUSIP number), in each case, as the notes being offered by this prospectus supplement. We do not plan to inform the existing holders if we re-open any series of notes to issue and sell additional notes of that series in the future. Additional notes of a series issued in this manner will be consolidated with, and will form a single series with, the notes of that series being offered hereby.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should consider carefully all the information set forth and incorporated by reference in this prospectus supplement and the accompanying prospectus and, in particular, you should evaluate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specific factors set forth under the heading “Risk Factors” of this prospectus supplement, as well as the other information contained or incorporated by reference in this prospectus supplement and the accompanying prospectus, before investing in any of the notes offered hereby.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Conflicts of Interest </w:t>
            </w:r>
          </w:p>
        </w:tc>
        <w:tc>
          <w:tcPr>
            <w:tcW w:w="6329" w:type="dxa"/>
            <w:tcBorders/>
          </w:tcPr>
          <w:p>
            <w:pPr>
              <w:pStyle w:val="TableContents"/>
              <w:bidi w:val="0"/>
              <w:spacing w:before="0" w:after="283"/>
              <w:jc w:val="left"/>
              <w:rPr/>
            </w:pPr>
            <w:r>
              <w:rPr/>
              <w:t xml:space="preserve">As a result of our intended use of the net proceeds from this offering, certain of the underwriters and/or certain of their respective affiliates may receive more than 5% of the net proceeds of this offering, not including underwriting compensation, thus creating a conflict of interest within the meaning of Rule 5121 (Public Offerings of Securities with Conflicts of Interest) of the Financial Industry Regulatory Authority, Inc. (‘‘FINRA Rule 5121’’). Accordingly, this offering is being made in compliance with the requirements of FINRA Rule 5121. The appointment of a ‘‘qualified independent underwriter’’ is not necessary in connection with this offering as the notes are investment grade rated securities. See “Underwriting (Conflicts of Interest).”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Governing Law </w:t>
            </w:r>
          </w:p>
        </w:tc>
        <w:tc>
          <w:tcPr>
            <w:tcW w:w="6327" w:type="dxa"/>
            <w:tcBorders/>
          </w:tcPr>
          <w:p>
            <w:pPr>
              <w:pStyle w:val="TableContents"/>
              <w:bidi w:val="0"/>
              <w:spacing w:before="0" w:after="283"/>
              <w:jc w:val="left"/>
              <w:rPr/>
            </w:pPr>
            <w:r>
              <w:rPr/>
              <w:t xml:space="preserve">The indenture will provide that New York law will govern any action regarding the notes brought pursuant to the indenture.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w:t>
            </w:r>
          </w:p>
        </w:tc>
        <w:tc>
          <w:tcPr>
            <w:tcW w:w="6328" w:type="dxa"/>
            <w:tcBorders/>
          </w:tcPr>
          <w:p>
            <w:pPr>
              <w:pStyle w:val="TableContents"/>
              <w:bidi w:val="0"/>
              <w:spacing w:before="0" w:after="283"/>
              <w:jc w:val="left"/>
              <w:rPr/>
            </w:pPr>
            <w:r>
              <w:rPr/>
              <w:t xml:space="preserve">U.S. Bank Trust Company, National Association.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Consolidated Financial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present summary consolidated financial data as of and for the periods indicated. The statements of operations data for the fiscal years ended January 31, 2026, 2025 and 2024 and the balance sheet data as of January 31, 2026 and 2025 have been derived from the audited consolidated financial statements included in our Annual Report on Form 10-K for the fiscal year ended January 31, 2026 filed with the SEC, which is incorporated herein by reference. The statements of operations data for the six-month periods ended July 31, 2026 and 2025 and the balance sheet data as of July 31, 2026 have been derived from the unaudited condensed consolidated financial statements included in our Quarterly Report on Form 10-Q for the fiscal quarter ended July 31, 2026 filed with the SEC, which is incorporated herein by reference. In the opinion of management, our unaudited summary consolidated financial data reflect all adjustments of a normal recurring nature necessary for a fair statement of such financial data and our consolidated interim financial statements have been prepared on the same basis as our audited consolidated financial statements. The summary consolidated financial data is not necessarily indicative of the results that may be expected in any future period, and interim results are not necessarily indicative of results of operations for the full year. You should read the following tables in conjunction with our audited consolidated financial statements and related notes in our Annual Report on Form 10-K for the fiscal year ended January 31, 2026 and our unaudited condensed consolidated financial statements and related notes in our Quarterly Report on Form 10-Q for the fiscal quarter ended July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218"/>
        <w:gridCol w:w="195"/>
        <w:gridCol w:w="172"/>
        <w:gridCol w:w="696"/>
        <w:gridCol w:w="191"/>
        <w:gridCol w:w="159"/>
        <w:gridCol w:w="172"/>
        <w:gridCol w:w="696"/>
        <w:gridCol w:w="191"/>
        <w:gridCol w:w="159"/>
        <w:gridCol w:w="172"/>
        <w:gridCol w:w="701"/>
        <w:gridCol w:w="155"/>
        <w:gridCol w:w="147"/>
        <w:gridCol w:w="165"/>
        <w:gridCol w:w="673"/>
        <w:gridCol w:w="183"/>
        <w:gridCol w:w="156"/>
        <w:gridCol w:w="165"/>
        <w:gridCol w:w="676"/>
        <w:gridCol w:w="163"/>
      </w:tblGrid>
      <w:tr>
        <w:trPr/>
        <w:tc>
          <w:tcPr>
            <w:tcW w:w="4218"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1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330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Fiscal Year Ended January 31,</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2018"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 Ended</w:t>
            </w:r>
            <w:r>
              <w:rPr/>
              <w:br/>
            </w:r>
            <w:r>
              <w:rPr>
                <w:b/>
              </w:rPr>
              <w:t>July 31,</w:t>
            </w:r>
          </w:p>
        </w:tc>
        <w:tc>
          <w:tcPr>
            <w:tcW w:w="163" w:type="dxa"/>
            <w:tcBorders/>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8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5629" w:type="dxa"/>
            <w:gridSpan w:val="18"/>
            <w:tcBorders/>
            <w:vAlign w:val="bottom"/>
          </w:tcPr>
          <w:p>
            <w:pPr>
              <w:pStyle w:val="TableContents"/>
              <w:bidi w:val="0"/>
              <w:spacing w:before="0" w:after="283"/>
              <w:jc w:val="center"/>
              <w:rPr/>
            </w:pPr>
            <w:r>
              <w:rPr/>
              <w:t>(In millions, except per share amounts; annual results</w:t>
              <w:br/>
              <w:t>are derived from audited financial statements and</w:t>
              <w:br/>
              <w:t>six-month results are unaudited)</w:t>
            </w:r>
          </w:p>
        </w:tc>
        <w:tc>
          <w:tcPr>
            <w:tcW w:w="163" w:type="dxa"/>
            <w:tcBorders/>
            <w:vAlign w:val="bottom"/>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Statements of Operations:</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5457" w:type="dxa"/>
            <w:gridSpan w:val="17"/>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Net revenue:</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5457" w:type="dxa"/>
            <w:gridSpan w:val="17"/>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Subscription(1)</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6,776</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5,758</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701" w:type="dxa"/>
            <w:tcBorders/>
            <w:shd w:fill="CCEEFF" w:val="clear"/>
            <w:vAlign w:val="bottom"/>
          </w:tcPr>
          <w:p>
            <w:pPr>
              <w:pStyle w:val="TableContents"/>
              <w:bidi w:val="0"/>
              <w:spacing w:before="0" w:after="283"/>
              <w:jc w:val="right"/>
              <w:rPr/>
            </w:pPr>
            <w:r>
              <w:rPr/>
              <w:t>5,170</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3,788</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676" w:type="dxa"/>
            <w:tcBorders/>
            <w:shd w:fill="CCEEFF" w:val="clear"/>
            <w:vAlign w:val="bottom"/>
          </w:tcPr>
          <w:p>
            <w:pPr>
              <w:pStyle w:val="TableContents"/>
              <w:bidi w:val="0"/>
              <w:spacing w:before="0" w:after="283"/>
              <w:jc w:val="right"/>
              <w:rPr/>
            </w:pPr>
            <w:r>
              <w:rPr/>
              <w:t>3,207</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430</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373</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327</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192</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189</w:t>
            </w:r>
          </w:p>
        </w:tc>
        <w:tc>
          <w:tcPr>
            <w:tcW w:w="163" w:type="dxa"/>
            <w:tcBorders/>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net revenue</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7,206</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6,131</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5,497</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3,980</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3,396</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676"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subscription revenue(1)</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463</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413</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381</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259</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225</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Cost of other revenue</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90</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80</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43</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46</w:t>
            </w:r>
          </w:p>
        </w:tc>
        <w:tc>
          <w:tcPr>
            <w:tcW w:w="163" w:type="dxa"/>
            <w:tcBorders/>
            <w:vAlign w:val="bottom"/>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developed technologies</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97</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85</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49</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48</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Total cost of revenue</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650</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578</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511</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351</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319</w:t>
            </w:r>
          </w:p>
        </w:tc>
        <w:tc>
          <w:tcPr>
            <w:tcW w:w="163" w:type="dxa"/>
            <w:tcBorders/>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6,556</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5,553</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4,986</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3,629</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3,077</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96"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676"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Marketing and sales</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2,373</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2,000</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1,823</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1,209</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1,125</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1,643</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1,485</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1,373</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885</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807</w:t>
            </w:r>
          </w:p>
        </w:tc>
        <w:tc>
          <w:tcPr>
            <w:tcW w:w="163" w:type="dxa"/>
            <w:tcBorders/>
            <w:vAlign w:val="bottom"/>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693</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650</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620</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341</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330</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intangibles</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53</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49</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25</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27</w:t>
            </w:r>
          </w:p>
        </w:tc>
        <w:tc>
          <w:tcPr>
            <w:tcW w:w="163" w:type="dxa"/>
            <w:tcBorders/>
            <w:vAlign w:val="bottom"/>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Restructuring, other exit costs, and facility </w:t>
              <w:br/>
              <w:t>reductions</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216</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15</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29</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111</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4,978</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4,199</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3,858</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2,489</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2,400</w:t>
            </w:r>
          </w:p>
        </w:tc>
        <w:tc>
          <w:tcPr>
            <w:tcW w:w="163" w:type="dxa"/>
            <w:tcBorders/>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1,578</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1,354</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1,128</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1,140</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677</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income, net</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25</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30</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52</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13</w:t>
            </w:r>
          </w:p>
        </w:tc>
        <w:tc>
          <w:tcPr>
            <w:tcW w:w="163" w:type="dxa"/>
            <w:tcBorders/>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1,603</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1,384</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1,136</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1,192</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690</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(479</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(272</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(230</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(209</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(225</w:t>
            </w:r>
          </w:p>
        </w:tc>
        <w:tc>
          <w:tcPr>
            <w:tcW w:w="163" w:type="dxa"/>
            <w:tcBorders/>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1,124</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1,112</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701" w:type="dxa"/>
            <w:tcBorders/>
            <w:shd w:fill="CCEEFF" w:val="clear"/>
            <w:vAlign w:val="bottom"/>
          </w:tcPr>
          <w:p>
            <w:pPr>
              <w:pStyle w:val="TableContents"/>
              <w:bidi w:val="0"/>
              <w:spacing w:before="0" w:after="283"/>
              <w:jc w:val="right"/>
              <w:rPr/>
            </w:pPr>
            <w:r>
              <w:rPr/>
              <w:t>906</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983</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676" w:type="dxa"/>
            <w:tcBorders/>
            <w:shd w:fill="CCEEFF" w:val="clear"/>
            <w:vAlign w:val="bottom"/>
          </w:tcPr>
          <w:p>
            <w:pPr>
              <w:pStyle w:val="TableContents"/>
              <w:bidi w:val="0"/>
              <w:spacing w:before="0" w:after="283"/>
              <w:jc w:val="right"/>
              <w:rPr/>
            </w:pPr>
            <w:r>
              <w:rPr/>
              <w:t>465</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7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7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Basic net income per share</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6" w:type="dxa"/>
            <w:tcBorders/>
            <w:vAlign w:val="bottom"/>
          </w:tcPr>
          <w:p>
            <w:pPr>
              <w:pStyle w:val="TableContents"/>
              <w:bidi w:val="0"/>
              <w:spacing w:before="0" w:after="283"/>
              <w:jc w:val="right"/>
              <w:rPr/>
            </w:pPr>
            <w:r>
              <w:rPr/>
              <w:t>5.28</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6" w:type="dxa"/>
            <w:tcBorders/>
            <w:vAlign w:val="bottom"/>
          </w:tcPr>
          <w:p>
            <w:pPr>
              <w:pStyle w:val="TableContents"/>
              <w:bidi w:val="0"/>
              <w:spacing w:before="0" w:after="283"/>
              <w:jc w:val="right"/>
              <w:rPr/>
            </w:pPr>
            <w:r>
              <w:rPr/>
              <w:t>5.17</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701" w:type="dxa"/>
            <w:tcBorders/>
            <w:vAlign w:val="bottom"/>
          </w:tcPr>
          <w:p>
            <w:pPr>
              <w:pStyle w:val="TableContents"/>
              <w:bidi w:val="0"/>
              <w:spacing w:before="0" w:after="283"/>
              <w:jc w:val="right"/>
              <w:rPr/>
            </w:pPr>
            <w:r>
              <w:rPr/>
              <w:t>4.23</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673" w:type="dxa"/>
            <w:tcBorders/>
            <w:vAlign w:val="bottom"/>
          </w:tcPr>
          <w:p>
            <w:pPr>
              <w:pStyle w:val="TableContents"/>
              <w:bidi w:val="0"/>
              <w:spacing w:before="0" w:after="283"/>
              <w:jc w:val="right"/>
              <w:rPr/>
            </w:pPr>
            <w:r>
              <w:rPr/>
              <w:t>4.66</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676" w:type="dxa"/>
            <w:tcBorders/>
            <w:vAlign w:val="bottom"/>
          </w:tcPr>
          <w:p>
            <w:pPr>
              <w:pStyle w:val="TableContents"/>
              <w:bidi w:val="0"/>
              <w:spacing w:before="0" w:after="283"/>
              <w:jc w:val="right"/>
              <w:rPr/>
            </w:pPr>
            <w:r>
              <w:rPr/>
              <w:t>2.17</w:t>
            </w:r>
          </w:p>
        </w:tc>
        <w:tc>
          <w:tcPr>
            <w:tcW w:w="163" w:type="dxa"/>
            <w:tcBorders/>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7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7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net income per share</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5.23</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6" w:type="dxa"/>
            <w:tcBorders/>
            <w:shd w:fill="CCEEFF" w:val="clear"/>
            <w:vAlign w:val="bottom"/>
          </w:tcPr>
          <w:p>
            <w:pPr>
              <w:pStyle w:val="TableContents"/>
              <w:bidi w:val="0"/>
              <w:spacing w:before="0" w:after="283"/>
              <w:jc w:val="right"/>
              <w:rPr/>
            </w:pPr>
            <w:r>
              <w:rPr/>
              <w:t>5.12</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701" w:type="dxa"/>
            <w:tcBorders/>
            <w:shd w:fill="CCEEFF" w:val="clear"/>
            <w:vAlign w:val="bottom"/>
          </w:tcPr>
          <w:p>
            <w:pPr>
              <w:pStyle w:val="TableContents"/>
              <w:bidi w:val="0"/>
              <w:spacing w:before="0" w:after="283"/>
              <w:jc w:val="right"/>
              <w:rPr/>
            </w:pPr>
            <w:r>
              <w:rPr/>
              <w:t>4.19</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4.64</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676" w:type="dxa"/>
            <w:tcBorders/>
            <w:shd w:fill="CCEEFF" w:val="clear"/>
            <w:vAlign w:val="bottom"/>
          </w:tcPr>
          <w:p>
            <w:pPr>
              <w:pStyle w:val="TableContents"/>
              <w:bidi w:val="0"/>
              <w:spacing w:before="0" w:after="283"/>
              <w:jc w:val="right"/>
              <w:rPr/>
            </w:pPr>
            <w:r>
              <w:rPr/>
              <w:t>2.15</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7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7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computing basic net income per share</w:t>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213</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215</w:t>
            </w:r>
          </w:p>
        </w:tc>
        <w:tc>
          <w:tcPr>
            <w:tcW w:w="19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211</w:t>
            </w:r>
          </w:p>
        </w:tc>
        <w:tc>
          <w:tcPr>
            <w:tcW w:w="18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214</w:t>
            </w:r>
          </w:p>
        </w:tc>
        <w:tc>
          <w:tcPr>
            <w:tcW w:w="163" w:type="dxa"/>
            <w:tcBorders/>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7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7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computing diluted net income per share</w:t>
            </w:r>
          </w:p>
        </w:tc>
        <w:tc>
          <w:tcPr>
            <w:tcW w:w="19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215</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217</w:t>
            </w:r>
          </w:p>
        </w:tc>
        <w:tc>
          <w:tcPr>
            <w:tcW w:w="19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01" w:type="dxa"/>
            <w:tcBorders/>
            <w:shd w:fill="CCEEFF" w:val="clear"/>
            <w:vAlign w:val="bottom"/>
          </w:tcPr>
          <w:p>
            <w:pPr>
              <w:pStyle w:val="TableContents"/>
              <w:bidi w:val="0"/>
              <w:spacing w:before="0" w:after="283"/>
              <w:jc w:val="right"/>
              <w:rPr/>
            </w:pPr>
            <w:r>
              <w:rPr/>
              <w:t>216</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212</w:t>
            </w:r>
          </w:p>
        </w:tc>
        <w:tc>
          <w:tcPr>
            <w:tcW w:w="18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216</w:t>
            </w:r>
          </w:p>
        </w:tc>
        <w:tc>
          <w:tcPr>
            <w:tcW w:w="163" w:type="dxa"/>
            <w:tcBorders/>
            <w:shd w:fill="CCEEFF" w:val="clear"/>
            <w:vAlign w:val="bottom"/>
          </w:tcPr>
          <w:p>
            <w:pPr>
              <w:pStyle w:val="TableContents"/>
              <w:bidi w:val="0"/>
              <w:spacing w:before="0" w:after="283"/>
              <w:jc w:val="left"/>
              <w:rPr/>
            </w:pPr>
            <w:r>
              <w:rPr/>
              <w:t> </w:t>
            </w:r>
          </w:p>
        </w:tc>
      </w:tr>
      <w:tr>
        <w:trPr/>
        <w:tc>
          <w:tcPr>
            <w:tcW w:w="421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191"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7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76"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fiscal year 2027, the Company began classifying maintenance revenue within “Subscription revenue”. Prior period amounts have been reclassified to conform to the current period presentation. The reclassification did not impact total net revenue.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tbl>
      <w:tblPr>
        <w:tblW w:w="4200" w:type="pct"/>
        <w:jc w:val="center"/>
        <w:tblInd w:w="0" w:type="dxa"/>
        <w:tblLayout w:type="fixed"/>
        <w:tblCellMar>
          <w:top w:w="0" w:type="dxa"/>
          <w:left w:w="0" w:type="dxa"/>
          <w:bottom w:w="0" w:type="dxa"/>
          <w:right w:w="0" w:type="dxa"/>
        </w:tblCellMar>
      </w:tblPr>
      <w:tblGrid>
        <w:gridCol w:w="3266"/>
        <w:gridCol w:w="420"/>
        <w:gridCol w:w="235"/>
        <w:gridCol w:w="1151"/>
        <w:gridCol w:w="60"/>
        <w:gridCol w:w="420"/>
        <w:gridCol w:w="210"/>
        <w:gridCol w:w="1028"/>
        <w:gridCol w:w="60"/>
        <w:gridCol w:w="420"/>
        <w:gridCol w:w="210"/>
        <w:gridCol w:w="1028"/>
        <w:gridCol w:w="64"/>
      </w:tblGrid>
      <w:tr>
        <w:trPr/>
        <w:tc>
          <w:tcPr>
            <w:tcW w:w="3266"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2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482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4" w:type="dxa"/>
            <w:tcBorders/>
            <w:vAlign w:val="bottom"/>
          </w:tcPr>
          <w:p>
            <w:pPr>
              <w:pStyle w:val="TableContents"/>
              <w:bidi w:val="0"/>
              <w:spacing w:before="0" w:after="283"/>
              <w:jc w:val="left"/>
              <w:rPr/>
            </w:pPr>
            <w:r>
              <w:rPr/>
              <w:t> </w:t>
            </w:r>
          </w:p>
        </w:tc>
      </w:tr>
      <w:tr>
        <w:trPr/>
        <w:tc>
          <w:tcPr>
            <w:tcW w:w="32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July 31, 2026</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31,</w:t>
              <w:br/>
              <w:t>2026</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31,</w:t>
              <w:br/>
              <w:t>2025</w:t>
            </w:r>
          </w:p>
        </w:tc>
        <w:tc>
          <w:tcPr>
            <w:tcW w:w="64" w:type="dxa"/>
            <w:tcBorders/>
            <w:vAlign w:val="bottom"/>
          </w:tcPr>
          <w:p>
            <w:pPr>
              <w:pStyle w:val="TableContents"/>
              <w:bidi w:val="0"/>
              <w:spacing w:before="0" w:after="283"/>
              <w:jc w:val="left"/>
              <w:rPr/>
            </w:pPr>
            <w:r>
              <w:rPr/>
              <w:t> </w:t>
            </w:r>
          </w:p>
        </w:tc>
      </w:tr>
      <w:tr>
        <w:trPr/>
        <w:tc>
          <w:tcPr>
            <w:tcW w:w="326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386"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38" w:type="dxa"/>
            <w:gridSpan w:val="2"/>
            <w:tcBorders/>
            <w:vAlign w:val="bottom"/>
          </w:tcPr>
          <w:p>
            <w:pPr>
              <w:pStyle w:val="TableContents"/>
              <w:bidi w:val="0"/>
              <w:spacing w:before="0" w:after="283"/>
              <w:jc w:val="center"/>
              <w:rPr/>
            </w:pPr>
            <w:r>
              <w:rPr/>
              <w:t>(In millions)</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1238"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32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Balance Sheet Data:</w:t>
            </w:r>
          </w:p>
        </w:tc>
        <w:tc>
          <w:tcPr>
            <w:tcW w:w="4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1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1151" w:type="dxa"/>
            <w:tcBorders/>
            <w:vAlign w:val="bottom"/>
          </w:tcPr>
          <w:p>
            <w:pPr>
              <w:pStyle w:val="TableContents"/>
              <w:bidi w:val="0"/>
              <w:spacing w:before="0" w:after="283"/>
              <w:jc w:val="right"/>
              <w:rPr/>
            </w:pPr>
            <w:r>
              <w:rPr/>
              <w:t>4,098</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2,249</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1,599</w:t>
            </w:r>
          </w:p>
        </w:tc>
        <w:tc>
          <w:tcPr>
            <w:tcW w:w="64" w:type="dxa"/>
            <w:tcBorders/>
            <w:vAlign w:val="bottom"/>
          </w:tcPr>
          <w:p>
            <w:pPr>
              <w:pStyle w:val="TableContents"/>
              <w:bidi w:val="0"/>
              <w:spacing w:before="0" w:after="283"/>
              <w:jc w:val="left"/>
              <w:rPr/>
            </w:pPr>
            <w:r>
              <w:rPr/>
              <w:t> </w:t>
            </w:r>
          </w:p>
        </w:tc>
      </w:tr>
      <w:tr>
        <w:trPr/>
        <w:tc>
          <w:tcPr>
            <w:tcW w:w="3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marketable securities</w:t>
            </w:r>
          </w:p>
        </w:tc>
        <w:tc>
          <w:tcPr>
            <w:tcW w:w="4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348</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287</w:t>
            </w:r>
          </w:p>
        </w:tc>
        <w:tc>
          <w:tcPr>
            <w:tcW w:w="64" w:type="dxa"/>
            <w:tcBorders/>
            <w:shd w:fill="CCEEFF" w:val="clear"/>
            <w:vAlign w:val="bottom"/>
          </w:tcPr>
          <w:p>
            <w:pPr>
              <w:pStyle w:val="TableContents"/>
              <w:bidi w:val="0"/>
              <w:spacing w:before="0" w:after="283"/>
              <w:jc w:val="left"/>
              <w:rPr/>
            </w:pPr>
            <w:r>
              <w:rPr/>
              <w:t> </w:t>
            </w:r>
          </w:p>
        </w:tc>
      </w:tr>
      <w:tr>
        <w:trPr/>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4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684</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1,439</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1,008</w:t>
            </w:r>
          </w:p>
        </w:tc>
        <w:tc>
          <w:tcPr>
            <w:tcW w:w="64" w:type="dxa"/>
            <w:tcBorders/>
            <w:vAlign w:val="bottom"/>
          </w:tcPr>
          <w:p>
            <w:pPr>
              <w:pStyle w:val="TableContents"/>
              <w:bidi w:val="0"/>
              <w:spacing w:before="0" w:after="283"/>
              <w:jc w:val="left"/>
              <w:rPr/>
            </w:pPr>
            <w:r>
              <w:rPr/>
              <w:t> </w:t>
            </w:r>
          </w:p>
        </w:tc>
      </w:tr>
      <w:tr>
        <w:trPr/>
        <w:tc>
          <w:tcPr>
            <w:tcW w:w="3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4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831</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906</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588</w:t>
            </w:r>
          </w:p>
        </w:tc>
        <w:tc>
          <w:tcPr>
            <w:tcW w:w="64" w:type="dxa"/>
            <w:tcBorders/>
            <w:shd w:fill="CCEEFF" w:val="clear"/>
            <w:vAlign w:val="bottom"/>
          </w:tcPr>
          <w:p>
            <w:pPr>
              <w:pStyle w:val="TableContents"/>
              <w:bidi w:val="0"/>
              <w:spacing w:before="0" w:after="283"/>
              <w:jc w:val="left"/>
              <w:rPr/>
            </w:pPr>
            <w:r>
              <w:rPr/>
              <w:t> </w:t>
            </w:r>
          </w:p>
        </w:tc>
      </w:tr>
      <w:tr>
        <w:trPr/>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12,983</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12,467</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10,833</w:t>
            </w:r>
          </w:p>
        </w:tc>
        <w:tc>
          <w:tcPr>
            <w:tcW w:w="64" w:type="dxa"/>
            <w:tcBorders/>
            <w:vAlign w:val="bottom"/>
          </w:tcPr>
          <w:p>
            <w:pPr>
              <w:pStyle w:val="TableContents"/>
              <w:bidi w:val="0"/>
              <w:spacing w:before="0" w:after="283"/>
              <w:jc w:val="left"/>
              <w:rPr/>
            </w:pPr>
            <w:r>
              <w:rPr/>
              <w:t> </w:t>
            </w:r>
          </w:p>
        </w:tc>
      </w:tr>
      <w:tr>
        <w:trPr/>
        <w:tc>
          <w:tcPr>
            <w:tcW w:w="3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debt, net</w:t>
            </w:r>
          </w:p>
        </w:tc>
        <w:tc>
          <w:tcPr>
            <w:tcW w:w="4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994</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notes payable, net</w:t>
            </w:r>
          </w:p>
        </w:tc>
        <w:tc>
          <w:tcPr>
            <w:tcW w:w="4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499</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300</w:t>
            </w:r>
          </w:p>
        </w:tc>
        <w:tc>
          <w:tcPr>
            <w:tcW w:w="64" w:type="dxa"/>
            <w:tcBorders/>
            <w:vAlign w:val="bottom"/>
          </w:tcPr>
          <w:p>
            <w:pPr>
              <w:pStyle w:val="TableContents"/>
              <w:bidi w:val="0"/>
              <w:spacing w:before="0" w:after="283"/>
              <w:jc w:val="left"/>
              <w:rPr/>
            </w:pPr>
            <w:r>
              <w:rPr/>
              <w:t> </w:t>
            </w:r>
          </w:p>
        </w:tc>
      </w:tr>
      <w:tr>
        <w:trPr/>
        <w:tc>
          <w:tcPr>
            <w:tcW w:w="32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notes payable, net</w:t>
            </w:r>
          </w:p>
        </w:tc>
        <w:tc>
          <w:tcPr>
            <w:tcW w:w="4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1,985</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2,483</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1,987</w:t>
            </w:r>
          </w:p>
        </w:tc>
        <w:tc>
          <w:tcPr>
            <w:tcW w:w="64" w:type="dxa"/>
            <w:tcBorders/>
            <w:shd w:fill="CCEEFF" w:val="clear"/>
            <w:vAlign w:val="bottom"/>
          </w:tcPr>
          <w:p>
            <w:pPr>
              <w:pStyle w:val="TableContents"/>
              <w:bidi w:val="0"/>
              <w:spacing w:before="0" w:after="283"/>
              <w:jc w:val="left"/>
              <w:rPr/>
            </w:pPr>
            <w:r>
              <w:rPr/>
              <w:t> </w:t>
            </w:r>
          </w:p>
        </w:tc>
      </w:tr>
      <w:tr>
        <w:trPr/>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4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3,383</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3,045</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2,621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supptx110760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the notes involves certain risks. In addition to the other information contained in, or incorporated by reference into, this prospectus supplement and the accompanying prospectus, you should carefully consider the risk factors in our Quarterly Report on Form 10-Q for the fiscal quarter ended July 31, 2026 as well as risk factors described below, which are not exhaustive. Additional risks and uncertainties not now known to us or that we now deem immaterial may also adversely affect our business or financial performance. Our business, financial condition, results of operations or cash flows could be materially adversely affected by any of these risks. The market or trading price of the notes could decline due to any of these risks or other factors, and you may lose all or part of your investment.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Risks Relating to Our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notes will be structurally subordinated to the indebtedness and other liabilities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obligations exclusively of Autodesk, Inc. and not of any of our subsidiaries. A portion of our operations is conducted through our subsidiaries. Our subsidiaries are separate legal entities that have no obligation to pay any amounts due under the notes or to make any funds available therefor, whether by dividends, loans or other payments. Except to the extent we are a creditor with recognized claims against our subsidiaries, all claims of creditors (including trade creditors) of our subsidiaries will have priority with respect to the assets of such subsidiaries over our claims (and therefore the claims of our creditors, including holders of the notes). Consequently, the notes will be effectively subordinated to all liabilities of our subsidiaries and any subsidiaries that we may in the future acquire or establish. As of July 31, 2026, our subsidiaries had approximately $3.1 billion of outstanding liabilities, including trade payables but excluding inter-company liabilities and liabilities of a type not required to be reflected on a balance sheet in accordance with GAAP (as defined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be subject to prior claims of any secured creditors, and if a default occurs, we may not have sufficient funds to fulfill our obligations under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unsecured general obligations, ranking equally with other outstanding senior unsecured indebtedness, including our outstanding senior notes and any indebtedness we may incur from time to time under our credit facility. The indenture governing the notes permits us and our subsidiaries to incur additional indebtedness, including secured debt. If we incur any secured debt, our assets will be subject to prior claims by our secured creditors to the extent of the value of the assets securing such indebtedness. In the event of our bankruptcy, liquidation, reorganization or other winding up, assets that secure debt will be available to pay obligations on the notes only after all debt secured by those assets has been repaid in full. Holders of the notes will participate in our remaining assets ratably with all of our unsecured and unsubordinated creditors, including our trade creditors. If we incur any additional obligations that rank equally with the notes, including trade payables, the holders of those obligations will be entitled to share ratably with the holders of the notes and the previously issued notes in any proceeds distributed upon our insolvency, liquidation, reorganization, dissolution or other winding up. This may have the effect of reducing the amount of proceeds paid to you. If there are not sufficient assets remaining to pay all these creditors, all or a portion of the notes then outstanding would remain unpaid.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debt service obligations, including the notes being offered pursuant to this prospectus supplement and the accompanying prospectus, may adversely affect our financial condition and cash flows from operations. </w:t>
      </w:r>
    </w:p>
    <w:p>
      <w:pPr>
        <w:pStyle w:val="TextBody"/>
        <w:bidi w:val="0"/>
        <w:spacing w:before="120" w:after="0"/>
        <w:jc w:val="left"/>
        <w:rPr>
          <w:rFonts w:ascii="Times New Roman" w:hAnsi="Times New Roman"/>
          <w:sz w:val="20"/>
        </w:rPr>
      </w:pPr>
      <w:r>
        <w:rPr>
          <w:rFonts w:ascii="Times New Roman" w:hAnsi="Times New Roman"/>
          <w:sz w:val="20"/>
        </w:rPr>
        <w:t xml:space="preserve">We have $2.5 billion aggregate principal amount of existing senior notes outstanding as of July 31, 2026. As each series of existing senior notes matures and each series of notes offered hereby matures, we will have to expend significant resources to either repay or refinance these notes. If we decide to refinance the notes of a series, we may be required to do so on different or less favorable terms or we may be unable to refinance the notes at all, both of which may adversely affect our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entered into a credit agreement on May 8, 2025, as amended on June 15, 2026, that provides for a revolving credit facility in the aggregate principal amount of $2.0 billion (the “revolving credit facility”, and together with the term loan credit agreement, the “credit facilities”). As of July 31, 2026, we had no outstanding borrowings under the revolving credit facility. We may use the proceeds of any future borrowing under the revolving credit facility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We entered into the term loan credit agreement on June 15, 2026, which provides for a delayed draw term loan credit facility in the aggregate principal amount of $1.0 billion. As of July 31, 2026, we had no outstanding borrowings under the term loan credit agreement, however on August 3, 2026, we borrowed $1.0 billion under the term loan credit agreement to fund a portion of the consideration for our acquisition of MaintainX Inc. and to pay related fees, costs and expenses. Borrowings under the term loan credit agreement are limited to loans funded on the closing date of our acquisition of MaintainX Inc. and are also subject to certain mandatory prepayment events including by an amount equal to the net cash proceeds received by the Company from certain debt issuances (including this offering), equity issuances or asset sales (in each case,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We established an unsecured commercial paper program on July 13, 2026 (the “commercial paper program”), under which we may issue short-term, unsecured commercial paper notes in amounts up to a maximum aggregate face amount of $2.0 billion outstanding at any time, with maturities of up to 365 days from the date of issuance. As of July 31, 2026, we had $1.0 billion of short-term outstanding borrowings under the commercial paper program. The commercial paper program is backed by our revolving credit facility and reduces what we can borrow under the revolving credit facility by the amount of commercial paper outstanding. </w:t>
      </w:r>
    </w:p>
    <w:p>
      <w:pPr>
        <w:pStyle w:val="TextBody"/>
        <w:bidi w:val="0"/>
        <w:spacing w:before="240" w:after="0"/>
        <w:jc w:val="left"/>
        <w:rPr>
          <w:rFonts w:ascii="Times New Roman" w:hAnsi="Times New Roman"/>
          <w:sz w:val="20"/>
        </w:rPr>
      </w:pPr>
      <w:r>
        <w:rPr>
          <w:rFonts w:ascii="Times New Roman" w:hAnsi="Times New Roman"/>
          <w:sz w:val="20"/>
        </w:rPr>
        <w:t xml:space="preserve">Maintenance of our indebtedness, contractual restrictions, and additional issuances of indebtedness could: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us to dedicate a substantial portion of our cash flows from operations towards debt service obligations and principal repayments;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our vulnerability to adverse changes in general economic, industry and competitive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flexibility in planning for, or reacting to, changes in our business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our ability to obtain future financing for working capital, capital expenditures, acquisitions, general corporate or other purposes;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to limitations within the debt instruments, restrict our ability to grant liens on property, enter into certain mergers, dispose of all or substantially all of the assets of us and our subsidiaries, taken as a whole, materially change our business or incur subsidiary indebtedness, subject to customary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comply with the covenants set forth in our indenture and credit agreements. Our ability to comply with these covenants may be affected by events beyond our control. If we breach any of the covenants and do not obtain a waiver from the note holders or lenders, then, subject to applicable cure periods,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able to incur substantially more indebtedness.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indenture governing each series of notes will not prohibit us from incurring indebtedness in the future. We may also incur additional indebtedness under the terms, and subject to the covenants,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revolving credit facility and term loan credit facility, as applicable. If we incur any additional indebtedness that ranks equally with the notes or amounts due under our credit facilities or the commercial paper program, the holders of that indebtedness will be entitled to share ratably with the holders of the notes, and the outstanding existing senior notes in any proceeds distributed in connection with any insolvency, liquidation, reorganization, dissolution or other winding up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limited covenants in the indenture governing each series of notes and the terms of such notes do not provide protection against some types of important corporate events and may not protect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indenture governing each series of notes does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maintain any financial ratios or specific levels of net worth, revenues, income, cash flow or liquidity and, accordingly, does not protect holders of the notes in the event that we experience significant adverse changes in our financial condition or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subsidiaries’ ability to issue securities or otherwise incur indebtedness that would be senior to our equity interests in our subsidiaries and therefore would be structurally senior to such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limitations under the indenture, limit our ability to incur secured indebtedness that would effectively rank senior to the notes to the extent of the value of the assets securing the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incur indebtedness that is equal in right of payment to such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repurchase or prepay our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make investments or to repurchase or pay dividends or make other payments in respect of our common stock or other securities ranking junior to such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enter into highly leveraged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limitation on liens and limitation on sale and lease-back transactions covenants with respect to principal property contain exceptions that will allow us to create, grant or incur liens or security interests with respect to our facilities in a number of circumstances. As of the date of this prospectus supplement, neither we nor any of our restricted subsidiaries own any Principal Property (as defined in the indenture governing each series of notes).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foregoing, when evaluating the terms of a series of notes, you should be aware that the terms of the indenture and the notes of such series do not restrict our ability to engage in, or to otherwise be a party to, a variety of corporate transactions, circumstances and events, such as certain acquisitions, refinancings or recapitalizations that could substantially and adversely affect our capital structure and the value of the notes. For these reasons, you should not consider the covenants in the indenture as a significant factor in evaluating whether to invest in the notes of such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our credit ratings may adversely affect your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major debt rating agencies routinely evaluate our debt. These ratings are not recommendations to purchase, hold or sell the notes, inasmuch as the ratings do not comment as to market price or suitability for a particular investor, are limited in scope, and do not address all material risks relating to an investment in the notes, but rather reflect only the view of each rating agency at the time the rating is issued. The ratings are based on current information furnished to the ratings agencies by us and information obtained by the ratings agencies from other sources. An explanation of the significance of such rating may be obtained from such rating agency. There can be no assurance that such credit ratings will remain in effect for any given period of time or that such ratings will not be lowered, suspended or withdrawn entirely by the rating agencies, if, in each rating agency’s judgment, circumstances so warrant. Actual or anticipated changes or downgrades in our credit ratings, including any announcement that our ratings are under further review for a downgrade, could affect the market value and liquidity of the notes and increase our corporate borrowing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There may not be an active trading market for the notes. </w:t>
      </w:r>
    </w:p>
    <w:p>
      <w:pPr>
        <w:pStyle w:val="TextBody"/>
        <w:bidi w:val="0"/>
        <w:spacing w:before="120" w:after="0"/>
        <w:jc w:val="left"/>
        <w:rPr>
          <w:rFonts w:ascii="Times New Roman" w:hAnsi="Times New Roman"/>
          <w:sz w:val="20"/>
        </w:rPr>
      </w:pPr>
      <w:r>
        <w:rPr>
          <w:rFonts w:ascii="Times New Roman" w:hAnsi="Times New Roman"/>
          <w:sz w:val="20"/>
        </w:rPr>
        <w:t xml:space="preserve">We cannot assure you that an active trading market for the notes will ever develop or be maintained. Further, there can be no assurance as to the liquidity of any market that may develop for the notes, your ability to sell your notes or the price at which you will be able to sell your notes. The future trading price of the notes will depend on many factors, including prevailing interest rates, our financial condition and results of operations, the then-current ratings assigned to the notes and the market for similar securities. Any trading market that develops would be affected by many factors independent of and in addition to the foregoing, including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propensity of existing holders to trade their positions in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 remaining to the maturity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amount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of the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direction and volatility of market interest rates generally.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Redemption may adversely affect your return on the notes. </w:t>
      </w:r>
    </w:p>
    <w:p>
      <w:pPr>
        <w:pStyle w:val="TextBody"/>
        <w:bidi w:val="0"/>
        <w:spacing w:before="120" w:after="0"/>
        <w:jc w:val="left"/>
        <w:rPr>
          <w:rFonts w:ascii="Times New Roman" w:hAnsi="Times New Roman"/>
          <w:sz w:val="20"/>
        </w:rPr>
      </w:pPr>
      <w:r>
        <w:rPr>
          <w:rFonts w:ascii="Times New Roman" w:hAnsi="Times New Roman"/>
          <w:sz w:val="20"/>
        </w:rPr>
        <w:t xml:space="preserve">We have the right to redeem some or all of the notes of a series prior to their maturity. We may redeem the notes of a series at times when prevailing interest rates may be relatively low. Accordingly, you may not be able to reinvest the redemption proceeds in a comparable security at an effective interest rate as high as that of the notes of such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provisions in the indenture governing each series of notes relating to change of control transactions will not necessarily protect you in the event of a highly leveraged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in the indenture governing each series of notes will not necessarily afford you protection in the event of a highly leveraged transaction that may adversely affect you, including a reorganization, restructuring, merger or other similar transaction involving us. These transactions may not involve a change in voting power or beneficial ownership or, even if they do, may not involve a change of the magnitude required under the definition of change of control repurchase event in the indenture to trigger these provisions, notably that the transactions are accompanied or followed within 60 days by a downgrade in the rating of the notes, following which the notes are no longer rated “investment grade.” Except as described under “Description of Notes — Purchase of Notes upon Change of Control Repurchase Event,” the indenture does not contain provisions that permit the holders of the notes to require us to repurchase the notes in the event of a takeover, recapitalization or similar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repurchase all of the notes upon a change of control repurchase event, which would result in a default under the notes. </w:t>
      </w:r>
    </w:p>
    <w:p>
      <w:pPr>
        <w:pStyle w:val="TextBody"/>
        <w:bidi w:val="0"/>
        <w:spacing w:before="120" w:after="0"/>
        <w:jc w:val="left"/>
        <w:rPr>
          <w:rFonts w:ascii="Times New Roman" w:hAnsi="Times New Roman"/>
          <w:sz w:val="20"/>
        </w:rPr>
      </w:pPr>
      <w:r>
        <w:rPr>
          <w:rFonts w:ascii="Times New Roman" w:hAnsi="Times New Roman"/>
          <w:sz w:val="20"/>
        </w:rPr>
        <w:t xml:space="preserve">We will be required to repurchase the notes at the option of each holder upon the occurrence of a change of control repurchase event as provided in the indenture governing each series of notes. However, we may not have sufficient funds to repurchase the notes in cash at the time of any change of control repurchase event. In addition, our ability to repurchase the notes for cash may be limited by law or the terms or other agreements relating to our indebtedness outstanding at the time. Accordingly, we may not be able to satisfy our obligations to repurchase your notes unless we are able to refinance or obtain consents from the holders of such indebtedness. Our failure to repurchase your notes upon a change of control repurchase event would be an event of default under the indenture and could cause a cross-default or acceleration under certain agreements governing our other indebtedness, if any, including our credit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not be able to determine when a change of control repurchase event has occurred. </w:t>
      </w:r>
    </w:p>
    <w:p>
      <w:pPr>
        <w:pStyle w:val="TextBody"/>
        <w:bidi w:val="0"/>
        <w:spacing w:before="120" w:after="0"/>
        <w:jc w:val="left"/>
        <w:rPr>
          <w:rFonts w:ascii="Times New Roman" w:hAnsi="Times New Roman"/>
          <w:sz w:val="20"/>
        </w:rPr>
      </w:pPr>
      <w:r>
        <w:rPr>
          <w:rFonts w:ascii="Times New Roman" w:hAnsi="Times New Roman"/>
          <w:sz w:val="20"/>
        </w:rPr>
        <w:t xml:space="preserve">The definition of change of control, which is a condition precedent to a change of control repurchase event, includes a phrase relating to the sale, lease or transfer of “all or substantially all” of our assets. There is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precisely established definition of the phrase “substantially all” under applicable law. Accordingly, your ability to require us to repurchase your notes as a result of a sale, lease or transfer of less than all of our assets to another individual, group or entity may be uncertain.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negative covenants in the indenture governing each series of notes may have a limited effect. </w:t>
      </w:r>
    </w:p>
    <w:p>
      <w:pPr>
        <w:pStyle w:val="TextBody"/>
        <w:bidi w:val="0"/>
        <w:spacing w:before="120" w:after="0"/>
        <w:jc w:val="left"/>
        <w:rPr>
          <w:rFonts w:ascii="Times New Roman" w:hAnsi="Times New Roman"/>
          <w:sz w:val="20"/>
        </w:rPr>
      </w:pPr>
      <w:r>
        <w:rPr>
          <w:rFonts w:ascii="Times New Roman" w:hAnsi="Times New Roman"/>
          <w:sz w:val="20"/>
        </w:rPr>
        <w:t xml:space="preserve">The indenture governing each series of notes contains covenants limiting our ability and the ability of our restricted subsidiaries to create certain liens on principal property or the capital stock of restricted subsidiaries, enter into certain sale and leaseback transactions with respect to principal property, and consolidate or merge with, or convey, transfer or lease all or substantially all our assets, taken as a whole, to, another person. The covenants limiting liens and sale and leaseback transactions contain exceptions that will allow us and our restricted subsidiaries to incur liens with respect to material assets. See “Description of Notes — Certain Covenants” in this prospectus supplement and “Description of Senior Debt Securities — Certain Covenants” in the accompanying prospectus. In light of these exceptions and other factors described above, holders of the notes may be structurally or contractually subordinated to new lenders. As of the date of this prospectus supplement, neither we nor any of our restricted subsidiaries own any principal property.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prices at which you will be able to sell your notes prior to maturity will depend on a number of factors and may be substantially less than the amount you originally invest.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the value of the notes in any secondary market will be affected by interest rates, supply and demand for the notes and a number of other factors. Some of these factors are interrelated in complex ways. As a result, the impact of any one factor on the market value of the notes may be offset or magnified by the effect of another factor. An offsetting negative factor could, for example, entirely eliminate a positive impact attributable to another factor. We expect that the market value of the notes will be affected by changes in U.S. interest rates. In general, assuming all other conditions remain constant, if U.S. interest rates increase, the market value of the notes may decrease. The following factors also may have an impact on the market value of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our credit ratings;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our financial condition or results of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tx110760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from the sale of the notes are estimated to be approximately $991 million, after deducting the underwriting discounts and the estimated offering expenses payable by us. We intend to use net proceeds from the sale of the notes, together with cash on hand, to repay $1.0 billion aggregate principal amount under our term loan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Amounts borrowed under the term loan credit agreement bear interest, at our option, at a rate equal to either (i) the Base Rate (as defined in term loan credit agreement) plus a margin ranging from 0.0% to 0.125%, depending on our public debt rating, or (ii) a SOFR rate plus a margin ranging from 0.625% to 1.125% depending on our public debt rating. As of August 3, 2026, the weighted-average interest rate on the borrowings under the term loan credit agreement was 4.58%. The term loan credit agreement matures on August 2, 2027. We borrowed under the term loan credit agreement to fund a portion of the consideration for our acquisition of MaintainX Inc. and to pay related fees,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our intended use of the net proceeds from this offering, certain of the underwriters and/or certain of their respective affiliates may receive more than 5% of the net proceeds of this offering, not including underwriting compensation, thus creating a conflict of interest within the meaning of FINRA Rule 5121. Accordingly, this offering is being made in compliance with the requirements of FINRA Rule 5121. The appointment of a ‘‘qualified independent underwriter’’ is not necessary in connection with this offering as the notes are investment grade rated securities. See “Underwriting (Conflicts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tx110760_6"/>
      <w:bookmarkEnd w:id="8"/>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our unaudited cash, cash equivalents, and marketable securities, short-term debt, and capitalization as of July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adjusted to give effect to the borrowing of $1.0 billion aggregate principal amount under the term loan credit agreement on August 3, 2026, the use of proceeds therefrom to fund a portion of the consideration for the acquisition of MaintainX Inc., the issuance of the notes offered hereby, after deducting the underwriting discounts and estimated offering expenses payable by us, and the use of the net proceeds from this offering, together with cash on hand, to repay $1.0 billion aggregate principal amount of outstanding borrowings under the term loan credit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this table in conjunction with the information contained in our “Management’s Discussion and Analysis of Financial Condition and Results of Operations” and our condensed consolidated financial statements and related notes in our Quarterly Report on Form 10-Q for the fiscal quarter ended July 31, 2026, which are incorporated by reference into this prospectus supplement and the accompanying prospectus.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47"/>
        <w:gridCol w:w="499"/>
        <w:gridCol w:w="140"/>
        <w:gridCol w:w="605"/>
        <w:gridCol w:w="60"/>
        <w:gridCol w:w="499"/>
        <w:gridCol w:w="258"/>
        <w:gridCol w:w="1083"/>
        <w:gridCol w:w="64"/>
      </w:tblGrid>
      <w:tr>
        <w:trPr/>
        <w:tc>
          <w:tcPr>
            <w:tcW w:w="4547"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547"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6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July 31, 2026</w:t>
            </w:r>
          </w:p>
        </w:tc>
        <w:tc>
          <w:tcPr>
            <w:tcW w:w="64" w:type="dxa"/>
            <w:tcBorders/>
            <w:vAlign w:val="bottom"/>
          </w:tcPr>
          <w:p>
            <w:pPr>
              <w:pStyle w:val="TableContents"/>
              <w:bidi w:val="0"/>
              <w:spacing w:before="0" w:after="283"/>
              <w:jc w:val="left"/>
              <w:rPr/>
            </w:pPr>
            <w:r>
              <w:rPr/>
              <w:t> </w:t>
            </w:r>
          </w:p>
        </w:tc>
      </w:tr>
      <w:tr>
        <w:trPr/>
        <w:tc>
          <w:tcPr>
            <w:tcW w:w="4547"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7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13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64" w:type="dxa"/>
            <w:tcBorders/>
            <w:vAlign w:val="bottom"/>
          </w:tcPr>
          <w:p>
            <w:pPr>
              <w:pStyle w:val="TableContents"/>
              <w:bidi w:val="0"/>
              <w:spacing w:before="0" w:after="283"/>
              <w:jc w:val="left"/>
              <w:rPr/>
            </w:pPr>
            <w:r>
              <w:rPr/>
              <w:t> </w:t>
            </w:r>
          </w:p>
        </w:tc>
      </w:tr>
      <w:tr>
        <w:trPr/>
        <w:tc>
          <w:tcPr>
            <w:tcW w:w="4547"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645" w:type="dxa"/>
            <w:gridSpan w:val="6"/>
            <w:tcBorders/>
            <w:vAlign w:val="bottom"/>
          </w:tcPr>
          <w:p>
            <w:pPr>
              <w:pStyle w:val="TableContents"/>
              <w:bidi w:val="0"/>
              <w:spacing w:before="0" w:after="283"/>
              <w:jc w:val="center"/>
              <w:rPr/>
            </w:pPr>
            <w:r>
              <w:rPr/>
              <w:t>(Unaudited)</w:t>
              <w:br/>
              <w:t>(In millions)</w:t>
            </w:r>
          </w:p>
        </w:tc>
        <w:tc>
          <w:tcPr>
            <w:tcW w:w="64" w:type="dxa"/>
            <w:tcBorders/>
            <w:vAlign w:val="bottom"/>
          </w:tcPr>
          <w:p>
            <w:pPr>
              <w:pStyle w:val="TableContents"/>
              <w:bidi w:val="0"/>
              <w:spacing w:before="0" w:after="283"/>
              <w:jc w:val="left"/>
              <w:rPr/>
            </w:pPr>
            <w:r>
              <w:rPr/>
              <w:t> </w:t>
            </w:r>
          </w:p>
        </w:tc>
      </w:tr>
      <w:tr>
        <w:trPr/>
        <w:tc>
          <w:tcPr>
            <w:tcW w:w="45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marketable securities</w:t>
            </w:r>
          </w:p>
        </w:tc>
        <w:tc>
          <w:tcPr>
            <w:tcW w:w="4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5" w:type="dxa"/>
            <w:tcBorders/>
            <w:shd w:fill="CCEEFF" w:val="clear"/>
            <w:vAlign w:val="bottom"/>
          </w:tcPr>
          <w:p>
            <w:pPr>
              <w:pStyle w:val="TableContents"/>
              <w:bidi w:val="0"/>
              <w:spacing w:before="0" w:after="283"/>
              <w:jc w:val="right"/>
              <w:rPr/>
            </w:pPr>
            <w:r>
              <w:rPr/>
              <w:t>4,357</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1083" w:type="dxa"/>
            <w:tcBorders/>
            <w:shd w:fill="CCEEFF" w:val="clear"/>
            <w:vAlign w:val="bottom"/>
          </w:tcPr>
          <w:p>
            <w:pPr>
              <w:pStyle w:val="TableContents"/>
              <w:bidi w:val="0"/>
              <w:spacing w:before="0" w:after="283"/>
              <w:jc w:val="right"/>
              <w:rPr/>
            </w:pPr>
            <w:r>
              <w:rPr/>
              <w:t>4,348</w:t>
            </w:r>
          </w:p>
        </w:tc>
        <w:tc>
          <w:tcPr>
            <w:tcW w:w="64" w:type="dxa"/>
            <w:tcBorders/>
            <w:shd w:fill="CCEEFF" w:val="clear"/>
            <w:vAlign w:val="bottom"/>
          </w:tcPr>
          <w:p>
            <w:pPr>
              <w:pStyle w:val="TableContents"/>
              <w:bidi w:val="0"/>
              <w:spacing w:before="0" w:after="283"/>
              <w:jc w:val="left"/>
              <w:rPr/>
            </w:pPr>
            <w:r>
              <w:rPr/>
              <w:t> </w:t>
            </w:r>
          </w:p>
        </w:tc>
      </w:tr>
      <w:tr>
        <w:trPr/>
        <w:tc>
          <w:tcPr>
            <w:tcW w:w="4547"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108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47" w:type="dxa"/>
            <w:tcBorders/>
          </w:tcPr>
          <w:p>
            <w:pPr>
              <w:pStyle w:val="TableContents"/>
              <w:bidi w:val="0"/>
              <w:spacing w:before="0" w:after="0"/>
              <w:jc w:val="left"/>
              <w:rPr>
                <w:rFonts w:ascii="Times New Roman" w:hAnsi="Times New Roman"/>
                <w:sz w:val="20"/>
              </w:rPr>
            </w:pPr>
            <w:r>
              <w:rPr>
                <w:rFonts w:ascii="Times New Roman" w:hAnsi="Times New Roman"/>
                <w:sz w:val="20"/>
              </w:rPr>
              <w:t>Short-term debt:</w:t>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5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paper program</w:t>
            </w:r>
          </w:p>
        </w:tc>
        <w:tc>
          <w:tcPr>
            <w:tcW w:w="4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5" w:type="dxa"/>
            <w:tcBorders/>
            <w:shd w:fill="CCEEFF" w:val="clear"/>
            <w:vAlign w:val="bottom"/>
          </w:tcPr>
          <w:p>
            <w:pPr>
              <w:pStyle w:val="TableContents"/>
              <w:bidi w:val="0"/>
              <w:spacing w:before="0" w:after="283"/>
              <w:jc w:val="right"/>
              <w:rPr/>
            </w:pPr>
            <w:r>
              <w:rPr/>
              <w:t>994</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w:t>
            </w:r>
          </w:p>
        </w:tc>
        <w:tc>
          <w:tcPr>
            <w:tcW w:w="1083" w:type="dxa"/>
            <w:tcBorders/>
            <w:shd w:fill="CCEEFF" w:val="clear"/>
            <w:vAlign w:val="bottom"/>
          </w:tcPr>
          <w:p>
            <w:pPr>
              <w:pStyle w:val="TableContents"/>
              <w:bidi w:val="0"/>
              <w:spacing w:before="0" w:after="283"/>
              <w:jc w:val="right"/>
              <w:rPr/>
            </w:pPr>
            <w:r>
              <w:rPr/>
              <w:t>994</w:t>
            </w:r>
          </w:p>
        </w:tc>
        <w:tc>
          <w:tcPr>
            <w:tcW w:w="64" w:type="dxa"/>
            <w:tcBorders/>
            <w:shd w:fill="CCEEFF" w:val="clear"/>
            <w:vAlign w:val="bottom"/>
          </w:tcPr>
          <w:p>
            <w:pPr>
              <w:pStyle w:val="TableContents"/>
              <w:bidi w:val="0"/>
              <w:spacing w:before="0" w:after="283"/>
              <w:jc w:val="left"/>
              <w:rPr/>
            </w:pPr>
            <w:r>
              <w:rPr/>
              <w:t> </w:t>
            </w:r>
          </w:p>
        </w:tc>
      </w:tr>
      <w:tr>
        <w:trPr/>
        <w:tc>
          <w:tcPr>
            <w:tcW w:w="4547" w:type="dxa"/>
            <w:tcBorders/>
          </w:tcPr>
          <w:p>
            <w:pPr>
              <w:pStyle w:val="TableContents"/>
              <w:bidi w:val="0"/>
              <w:spacing w:before="0" w:after="0"/>
              <w:jc w:val="left"/>
              <w:rPr>
                <w:rFonts w:ascii="Times New Roman" w:hAnsi="Times New Roman"/>
                <w:sz w:val="20"/>
              </w:rPr>
            </w:pPr>
            <w:r>
              <w:rPr>
                <w:rFonts w:ascii="Times New Roman" w:hAnsi="Times New Roman"/>
                <w:sz w:val="20"/>
              </w:rPr>
              <w:t>Term loan credit agreement(1)</w:t>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5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long-term notes payable, net</w:t>
            </w:r>
          </w:p>
        </w:tc>
        <w:tc>
          <w:tcPr>
            <w:tcW w:w="4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499</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499</w:t>
            </w:r>
          </w:p>
        </w:tc>
        <w:tc>
          <w:tcPr>
            <w:tcW w:w="64" w:type="dxa"/>
            <w:tcBorders/>
            <w:shd w:fill="CCEEFF" w:val="clear"/>
            <w:vAlign w:val="bottom"/>
          </w:tcPr>
          <w:p>
            <w:pPr>
              <w:pStyle w:val="TableContents"/>
              <w:bidi w:val="0"/>
              <w:spacing w:before="0" w:after="283"/>
              <w:jc w:val="left"/>
              <w:rPr/>
            </w:pPr>
            <w:r>
              <w:rPr/>
              <w:t> </w:t>
            </w:r>
          </w:p>
        </w:tc>
      </w:tr>
      <w:tr>
        <w:trPr/>
        <w:tc>
          <w:tcPr>
            <w:tcW w:w="4547"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47" w:type="dxa"/>
            <w:tcBorders/>
          </w:tcPr>
          <w:p>
            <w:pPr>
              <w:pStyle w:val="TableContents"/>
              <w:bidi w:val="0"/>
              <w:spacing w:before="0" w:after="0"/>
              <w:jc w:val="left"/>
              <w:rPr>
                <w:rFonts w:ascii="Times New Roman" w:hAnsi="Times New Roman"/>
                <w:sz w:val="20"/>
              </w:rPr>
            </w:pPr>
            <w:r>
              <w:rPr>
                <w:rFonts w:ascii="Times New Roman" w:hAnsi="Times New Roman"/>
                <w:sz w:val="20"/>
              </w:rPr>
              <w:t>Total short-term debt</w:t>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5" w:type="dxa"/>
            <w:tcBorders/>
            <w:vAlign w:val="bottom"/>
          </w:tcPr>
          <w:p>
            <w:pPr>
              <w:pStyle w:val="TableContents"/>
              <w:bidi w:val="0"/>
              <w:spacing w:before="0" w:after="283"/>
              <w:jc w:val="right"/>
              <w:rPr/>
            </w:pPr>
            <w:r>
              <w:rPr/>
              <w:t>1,493</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1083" w:type="dxa"/>
            <w:tcBorders/>
            <w:vAlign w:val="bottom"/>
          </w:tcPr>
          <w:p>
            <w:pPr>
              <w:pStyle w:val="TableContents"/>
              <w:bidi w:val="0"/>
              <w:spacing w:before="0" w:after="283"/>
              <w:jc w:val="right"/>
              <w:rPr/>
            </w:pPr>
            <w:r>
              <w:rPr/>
              <w:t>1,493</w:t>
            </w:r>
          </w:p>
        </w:tc>
        <w:tc>
          <w:tcPr>
            <w:tcW w:w="64" w:type="dxa"/>
            <w:tcBorders/>
            <w:vAlign w:val="bottom"/>
          </w:tcPr>
          <w:p>
            <w:pPr>
              <w:pStyle w:val="TableContents"/>
              <w:bidi w:val="0"/>
              <w:spacing w:before="0" w:after="283"/>
              <w:jc w:val="left"/>
              <w:rPr/>
            </w:pPr>
            <w:r>
              <w:rPr/>
              <w:t> </w:t>
            </w:r>
          </w:p>
        </w:tc>
      </w:tr>
      <w:tr>
        <w:trPr/>
        <w:tc>
          <w:tcPr>
            <w:tcW w:w="4547"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108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4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47"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facility(2)</w:t>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1083"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5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2.850% notes due 2030</w:t>
            </w:r>
          </w:p>
        </w:tc>
        <w:tc>
          <w:tcPr>
            <w:tcW w:w="4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498</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498</w:t>
            </w:r>
          </w:p>
        </w:tc>
        <w:tc>
          <w:tcPr>
            <w:tcW w:w="64" w:type="dxa"/>
            <w:tcBorders/>
            <w:shd w:fill="CCEEFF" w:val="clear"/>
            <w:vAlign w:val="bottom"/>
          </w:tcPr>
          <w:p>
            <w:pPr>
              <w:pStyle w:val="TableContents"/>
              <w:bidi w:val="0"/>
              <w:spacing w:before="0" w:after="283"/>
              <w:jc w:val="left"/>
              <w:rPr/>
            </w:pPr>
            <w:r>
              <w:rPr/>
              <w:t> </w:t>
            </w:r>
          </w:p>
        </w:tc>
      </w:tr>
      <w:tr>
        <w:trPr/>
        <w:tc>
          <w:tcPr>
            <w:tcW w:w="4547" w:type="dxa"/>
            <w:tcBorders/>
          </w:tcPr>
          <w:p>
            <w:pPr>
              <w:pStyle w:val="TableContents"/>
              <w:bidi w:val="0"/>
              <w:spacing w:before="0" w:after="0"/>
              <w:jc w:val="left"/>
              <w:rPr>
                <w:rFonts w:ascii="Times New Roman" w:hAnsi="Times New Roman"/>
                <w:sz w:val="20"/>
              </w:rPr>
            </w:pPr>
            <w:r>
              <w:rPr>
                <w:rFonts w:ascii="Times New Roman" w:hAnsi="Times New Roman"/>
                <w:sz w:val="20"/>
              </w:rPr>
              <w:t>2.400% notes due 2031</w:t>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993</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993</w:t>
            </w:r>
          </w:p>
        </w:tc>
        <w:tc>
          <w:tcPr>
            <w:tcW w:w="64" w:type="dxa"/>
            <w:tcBorders/>
            <w:vAlign w:val="bottom"/>
          </w:tcPr>
          <w:p>
            <w:pPr>
              <w:pStyle w:val="TableContents"/>
              <w:bidi w:val="0"/>
              <w:spacing w:before="0" w:after="283"/>
              <w:jc w:val="left"/>
              <w:rPr/>
            </w:pPr>
            <w:r>
              <w:rPr/>
              <w:t> </w:t>
            </w:r>
          </w:p>
        </w:tc>
      </w:tr>
      <w:tr>
        <w:trPr/>
        <w:tc>
          <w:tcPr>
            <w:tcW w:w="45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5.300% notes due 2035</w:t>
            </w:r>
          </w:p>
        </w:tc>
        <w:tc>
          <w:tcPr>
            <w:tcW w:w="4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494</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494</w:t>
            </w:r>
          </w:p>
        </w:tc>
        <w:tc>
          <w:tcPr>
            <w:tcW w:w="64" w:type="dxa"/>
            <w:tcBorders/>
            <w:shd w:fill="CCEEFF" w:val="clear"/>
            <w:vAlign w:val="bottom"/>
          </w:tcPr>
          <w:p>
            <w:pPr>
              <w:pStyle w:val="TableContents"/>
              <w:bidi w:val="0"/>
              <w:spacing w:before="0" w:after="283"/>
              <w:jc w:val="left"/>
              <w:rPr/>
            </w:pPr>
            <w:r>
              <w:rPr/>
              <w:t> </w:t>
            </w:r>
          </w:p>
        </w:tc>
      </w:tr>
      <w:tr>
        <w:trPr/>
        <w:tc>
          <w:tcPr>
            <w:tcW w:w="4547" w:type="dxa"/>
            <w:tcBorders/>
          </w:tcPr>
          <w:p>
            <w:pPr>
              <w:pStyle w:val="TableContents"/>
              <w:bidi w:val="0"/>
              <w:spacing w:before="0" w:after="0"/>
              <w:jc w:val="left"/>
              <w:rPr>
                <w:rFonts w:ascii="Times New Roman" w:hAnsi="Times New Roman"/>
                <w:sz w:val="20"/>
              </w:rPr>
            </w:pPr>
            <w:r>
              <w:rPr>
                <w:rFonts w:ascii="Times New Roman" w:hAnsi="Times New Roman"/>
                <w:sz w:val="20"/>
              </w:rPr>
              <w:t>5.050% notes due 2029 offered hereby</w:t>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496</w:t>
            </w:r>
          </w:p>
        </w:tc>
        <w:tc>
          <w:tcPr>
            <w:tcW w:w="64" w:type="dxa"/>
            <w:tcBorders/>
            <w:vAlign w:val="bottom"/>
          </w:tcPr>
          <w:p>
            <w:pPr>
              <w:pStyle w:val="TableContents"/>
              <w:bidi w:val="0"/>
              <w:spacing w:before="0" w:after="283"/>
              <w:jc w:val="left"/>
              <w:rPr/>
            </w:pPr>
            <w:r>
              <w:rPr/>
              <w:t> </w:t>
            </w:r>
          </w:p>
        </w:tc>
      </w:tr>
      <w:tr>
        <w:trPr/>
        <w:tc>
          <w:tcPr>
            <w:tcW w:w="45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5.650% notes due 2033 offered hereby</w:t>
            </w:r>
          </w:p>
        </w:tc>
        <w:tc>
          <w:tcPr>
            <w:tcW w:w="4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495</w:t>
            </w:r>
          </w:p>
        </w:tc>
        <w:tc>
          <w:tcPr>
            <w:tcW w:w="64" w:type="dxa"/>
            <w:tcBorders/>
            <w:shd w:fill="CCEEFF" w:val="clear"/>
            <w:vAlign w:val="bottom"/>
          </w:tcPr>
          <w:p>
            <w:pPr>
              <w:pStyle w:val="TableContents"/>
              <w:bidi w:val="0"/>
              <w:spacing w:before="0" w:after="283"/>
              <w:jc w:val="left"/>
              <w:rPr/>
            </w:pPr>
            <w:r>
              <w:rPr/>
              <w:t> </w:t>
            </w:r>
          </w:p>
        </w:tc>
      </w:tr>
      <w:tr>
        <w:trPr/>
        <w:tc>
          <w:tcPr>
            <w:tcW w:w="4547"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47"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w:t>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1,985</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2,976</w:t>
            </w:r>
          </w:p>
        </w:tc>
        <w:tc>
          <w:tcPr>
            <w:tcW w:w="64" w:type="dxa"/>
            <w:tcBorders/>
            <w:vAlign w:val="bottom"/>
          </w:tcPr>
          <w:p>
            <w:pPr>
              <w:pStyle w:val="TableContents"/>
              <w:bidi w:val="0"/>
              <w:spacing w:before="0" w:after="283"/>
              <w:jc w:val="left"/>
              <w:rPr/>
            </w:pPr>
            <w:r>
              <w:rPr/>
              <w:t> </w:t>
            </w:r>
          </w:p>
        </w:tc>
      </w:tr>
      <w:tr>
        <w:trPr/>
        <w:tc>
          <w:tcPr>
            <w:tcW w:w="45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4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3,383</w:t>
            </w:r>
          </w:p>
        </w:tc>
        <w:tc>
          <w:tcPr>
            <w:tcW w:w="60"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3,383</w:t>
            </w:r>
          </w:p>
        </w:tc>
        <w:tc>
          <w:tcPr>
            <w:tcW w:w="64" w:type="dxa"/>
            <w:tcBorders/>
            <w:shd w:fill="CCEEFF" w:val="clear"/>
            <w:vAlign w:val="bottom"/>
          </w:tcPr>
          <w:p>
            <w:pPr>
              <w:pStyle w:val="TableContents"/>
              <w:bidi w:val="0"/>
              <w:spacing w:before="0" w:after="283"/>
              <w:jc w:val="left"/>
              <w:rPr/>
            </w:pPr>
            <w:r>
              <w:rPr/>
              <w:t> </w:t>
            </w:r>
          </w:p>
        </w:tc>
      </w:tr>
      <w:tr>
        <w:trPr/>
        <w:tc>
          <w:tcPr>
            <w:tcW w:w="4547"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547"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5" w:type="dxa"/>
            <w:tcBorders/>
            <w:vAlign w:val="bottom"/>
          </w:tcPr>
          <w:p>
            <w:pPr>
              <w:pStyle w:val="TableContents"/>
              <w:bidi w:val="0"/>
              <w:spacing w:before="0" w:after="283"/>
              <w:jc w:val="right"/>
              <w:rPr/>
            </w:pPr>
            <w:r>
              <w:rPr/>
              <w:t>5,368</w:t>
            </w:r>
          </w:p>
        </w:tc>
        <w:tc>
          <w:tcPr>
            <w:tcW w:w="60"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w:t>
            </w:r>
          </w:p>
        </w:tc>
        <w:tc>
          <w:tcPr>
            <w:tcW w:w="1083" w:type="dxa"/>
            <w:tcBorders/>
            <w:vAlign w:val="bottom"/>
          </w:tcPr>
          <w:p>
            <w:pPr>
              <w:pStyle w:val="TableContents"/>
              <w:bidi w:val="0"/>
              <w:spacing w:before="0" w:after="283"/>
              <w:jc w:val="right"/>
              <w:rPr/>
            </w:pPr>
            <w:r>
              <w:rPr/>
              <w:t>6,359</w:t>
            </w:r>
          </w:p>
        </w:tc>
        <w:tc>
          <w:tcPr>
            <w:tcW w:w="64" w:type="dxa"/>
            <w:tcBorders/>
            <w:vAlign w:val="bottom"/>
          </w:tcPr>
          <w:p>
            <w:pPr>
              <w:pStyle w:val="TableContents"/>
              <w:bidi w:val="0"/>
              <w:spacing w:before="0" w:after="283"/>
              <w:jc w:val="left"/>
              <w:rPr/>
            </w:pPr>
            <w:r>
              <w:rPr/>
              <w:t> </w:t>
            </w:r>
          </w:p>
        </w:tc>
      </w:tr>
      <w:tr>
        <w:trPr/>
        <w:tc>
          <w:tcPr>
            <w:tcW w:w="4547"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pPr>
            <w:r>
              <w:rPr/>
              <w:t>  </w:t>
            </w:r>
          </w:p>
        </w:tc>
        <w:tc>
          <w:tcPr>
            <w:tcW w:w="258" w:type="dxa"/>
            <w:tcBorders/>
            <w:vAlign w:val="bottom"/>
          </w:tcPr>
          <w:p>
            <w:pPr>
              <w:pStyle w:val="TableContents"/>
              <w:pBdr>
                <w:top w:val="double" w:sz="6" w:space="1" w:color="000000"/>
              </w:pBdr>
              <w:bidi w:val="0"/>
              <w:spacing w:before="0" w:after="0"/>
              <w:jc w:val="left"/>
              <w:rPr/>
            </w:pPr>
            <w:r>
              <w:rPr/>
              <w:t> </w:t>
            </w:r>
          </w:p>
        </w:tc>
        <w:tc>
          <w:tcPr>
            <w:tcW w:w="108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August 3, 2026, Autodesk borrowed $1.0 billion aggregate principal amount under the term loan credit agreement.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July 31, 2026, Autodesk had no outstanding borrowings under its revolving credit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tx110760_7"/>
      <w:bookmarkEnd w:id="9"/>
      <w:r>
        <w:rPr>
          <w:rFonts w:ascii="Times New Roman" w:hAnsi="Times New Roman"/>
          <w:b/>
          <w:sz w:val="20"/>
        </w:rPr>
        <w:t xml:space="preserve">DESCRIPTION OF NOTES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the particular terms of the notes offered by this prospectus supplement should be read in conjunction with the description of the general terms and provisions of the debt securities under the caption “Description of Senior Debt Securities” of the accompanying prospectus. </w:t>
      </w:r>
    </w:p>
    <w:p>
      <w:pPr>
        <w:pStyle w:val="TextBody"/>
        <w:bidi w:val="0"/>
        <w:spacing w:before="240" w:after="0"/>
        <w:jc w:val="left"/>
        <w:rPr>
          <w:rFonts w:ascii="Times New Roman" w:hAnsi="Times New Roman"/>
          <w:i/>
          <w:sz w:val="20"/>
        </w:rPr>
      </w:pPr>
      <w:r>
        <w:rPr>
          <w:rFonts w:ascii="Times New Roman" w:hAnsi="Times New Roman"/>
          <w:i/>
          <w:sz w:val="20"/>
        </w:rPr>
        <w:t xml:space="preserve">Each series of notes will be issued as a separate series of debt securities under an indenture, dated December 13, 2012, between Autodesk and U.S. Bank Trust Company, National Association (as successor in interest to U.S. Bank National Association), as trustee (the “trustee”), as supplemented by the seventh supplemental indenture to be entered into concurrently with the delivery of the notes (as so supplemented, the “indenture”). The following summary of provisions of the indenture and the notes does not purport to be complete and is subject to, and qualified in its entirety by reference to, all of the provisions of the indenture, including definitions therein of certain terms and provisions made a part of the indenture by reference to the Trust Indenture Act of 1939, as amended (the “Trust Indenture Act”). This summary may not contain all information that you may find useful. You should read the indenture and the notes, copies of which are available from Autodesk upon request. Capitalized terms used and not defined in this summary have the meanings specified in the indenture. References to “Autodesk” in this section of this prospectus supplement are only to Autodesk, Inc. and not to any of its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have the following basic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senior unsecured obligations of Autodesk and will rank equally with all other existing and future unsecured and unsubordinated debt obligations of Autodesk, including the outstanding existing senior notes, outstanding indebtedness under the term loan credit agreement and commercial paper program, and any indebtedness it may incur from time to time under the revolving credit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effectively subordinated in right of payment to all existing and future secured indebtedness of Autodesk to the extent of the value of the assets securing such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senior in right of payment to any existing and future indebtedness of Autodesk that is subordinated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structurally subordinated to all liabilities of Autodesk’s subsidiaries. As of July 31, 2026, Autodesk’s subsidiaries had approximately $3.1 billion of outstanding liabilities, including trade payables but excluding inter-company liabilities and liabilities of a type not required to be reflected on a balance sheet in accordance with GAAP;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2029 notes initially will be limited to $500,000,000 aggregate principal amount and the 2033 notes initially will be limited to $500,000,000 aggregate principal amount (subject to the rights of Autodesk to issue additional notes as described under “— Further Issuances”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2029 notes will accrue interest at a rate of 5.050% per year and the 2033 notes will accrue interest at a rate of 5.650% per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2029 notes will mature on September 15, 2029 unless redeemed or repurchased prior to that date and the 2033 notes will mature on September 15, 2033 unless redeemed or repurchased prior to that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will accrue on each series of notes from the most recent interest payment date to or for which interest has been paid or duly provided for (or if no interest has been paid or duly provided for, from the issue date of the notes), payable semi-annually in arrears on March 15 and September 15 of each year, beginning on March 15,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Autodesk may redeem each series of notes prior to maturity, in whole or in part, as described under “— Optional Redemption” below;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Autodesk may be required to repurchase the notes of a series in whole or in part at your option in connection with the occurrence of a “change of control repurchase event” as described under “— Purchase of Notes upon Change of Control Repurchase Event”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issued in registered form in minimum denominations of $2,000 and integral multiples of $1,000 in excess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represented by one or more global notes registered in the name of a nominee of The Depository Trust Company (“DTC”), but in certain limited circumstances may be represented by notes in definitive form (see “— Book-Entry; Delivery and Form; Global Notes”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be exchangeable and transferable at the office or agency of Autodesk maintained for such purposes (which initially will be the corporate trust office of the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Interest on each series of notes will be paid to the person in whose name such notes are registered at the close of business on March 1 or September 1, as the case may be, immediately preceding the relevant interest payment date. Interest on the notes will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If any interest or other payment date for an applicable series of notes falls on a day that is not a business day, the required payment of principal, premium, if any, or interest will be due on the next succeeding business day as if made on the date that the payment was due, and no interest will accrue on that payment for the period from and after that interest or other payment date, as the case may be, to the date of that payment on the next succeeding business day. The term “business day” when used with respect to a note of any series, means each Monday, Tuesday, Wednesday, Thursday and Friday which is not a day on which banking institutions in New York, New York (or such other place of payment as may be subsequently specified by Autodesk) are authorized or obligated by law or executive order to close. </w:t>
      </w:r>
    </w:p>
    <w:p>
      <w:pPr>
        <w:pStyle w:val="TextBody"/>
        <w:bidi w:val="0"/>
        <w:spacing w:before="240" w:after="0"/>
        <w:jc w:val="left"/>
        <w:rPr>
          <w:rFonts w:ascii="Times New Roman" w:hAnsi="Times New Roman"/>
          <w:sz w:val="20"/>
        </w:rPr>
      </w:pPr>
      <w:r>
        <w:rPr>
          <w:rFonts w:ascii="Times New Roman" w:hAnsi="Times New Roman"/>
          <w:sz w:val="20"/>
        </w:rPr>
        <w:t xml:space="preserve">Autodesk does not intend to list the notes on any securities exchange or include the notes in any automated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be subject to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Autodesk may, subject to compliance with applicable law, at any time purchase notes in the open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provisions that would limit Autodesk’s ability to incur additional unsecured indebtedness or require the maintenance of financial ratios or specified levels of net worth or liquidity.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Transfer or Exchange </w:t>
      </w:r>
    </w:p>
    <w:p>
      <w:pPr>
        <w:pStyle w:val="TextBody"/>
        <w:bidi w:val="0"/>
        <w:spacing w:before="120" w:after="0"/>
        <w:jc w:val="left"/>
        <w:rPr>
          <w:rFonts w:ascii="Times New Roman" w:hAnsi="Times New Roman"/>
          <w:sz w:val="20"/>
        </w:rPr>
      </w:pPr>
      <w:r>
        <w:rPr>
          <w:rFonts w:ascii="Times New Roman" w:hAnsi="Times New Roman"/>
          <w:sz w:val="20"/>
        </w:rPr>
        <w:t xml:space="preserve">Principal of and premium, if any, and interest on each series of notes will be payable, and such notes may be exchanged or transferred, at the office or agency maintained by Autodesk for such purpose (which initially will be the corporate trust office of the trustee). Payment of principal of and premium, if any, and interest on a global note registered in the name of or held by DTC or its nominee will be made in immediately available funds to DTC or its nominee, as the case may be, as the registered holder of such global note. If the notes are no longer represented by a global note, payment of interest on certificated notes in definitive form may, at the option of Autodesk, be made by (i) check mailed directly to holders at their registered addresses or (ii) upon request of any holder of at least $5,000,000 principal amount of a series of notes, wire transfer to an account located in the United States maintained by the payee. See “— Book-Entry; Delivery and Form; Global Notes” below. </w:t>
      </w:r>
    </w:p>
    <w:p>
      <w:pPr>
        <w:pStyle w:val="TextBody"/>
        <w:bidi w:val="0"/>
        <w:spacing w:before="240" w:after="0"/>
        <w:jc w:val="left"/>
        <w:rPr>
          <w:rFonts w:ascii="Times New Roman" w:hAnsi="Times New Roman"/>
          <w:sz w:val="20"/>
        </w:rPr>
      </w:pPr>
      <w:r>
        <w:rPr>
          <w:rFonts w:ascii="Times New Roman" w:hAnsi="Times New Roman"/>
          <w:sz w:val="20"/>
        </w:rPr>
        <w:t xml:space="preserve">A holder may transfer or exchange any certificated notes in definitive form at the same location set forth in the preceding paragraph. No service charge will be made for any registration of transfer or exchange of notes, but Autodesk may require payment of a sum sufficient to cover any transfer tax or other similar governmental charge payable in connection therewith. Autodesk is not required to transfer or exchange any note selected for redemption during a period of 15 days before mailing of a notice of redemption of notes to be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registered holder of a note will be treated as the owner of that note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All amounts of principal of and premium, if any, and interest on the notes paid by Autodesk that remain unclaimed two years after such payment was due and payable will be repaid to Autodesk, and the holders of such notes will thereafter look solely to Autodesk for payment.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senior unsecured obligations and will rank equally with all of our other senior unsecured indebtedness from time to time outstanding, including our outstanding 5.300% notes due 2035, 2.400% notes due 2031, 2.850% notes due 2030 and 3.500% notes due 2027, our outstanding indebtedness under the term loan credit agreement and commercial paper program, and any indebtedness we may incur from time to time under the revolving credit facility and commercial paper program.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effectively rank junior to all existing and future secured indebtedness of Autodesk to the extent of the assets securing such indebtedness, and to all liabilities of its subsidiaries. As of July 31, 2026, Autodesk did not have any outstanding secured indebtedness. Autodesk derives a portion of its operating income and cash flow from its subsidiaries. Therefore, Autodesk’s ability to make payments when due to the holders of the notes is, in large part, dependent upon the receipt of sufficient funds from its subsidiaries. As of July 31, 2026, Autodesk’s subsidiaries had approximately $3.1 billion of outstanding liabilities, including trade payables but excluding inter-company liabilities and liabilities of a type not required to be reflected on a balance sheet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Claims of creditors of Autodesk’s subsidiaries generally will have priority with respect to the assets and earnings of such subsidiaries over the claims of Autodesk’s creditors, including holders of the notes. Accordingly, the notes will be effectively subordinated to creditors, including trade creditors and preferred stockholders, if any, of Autodesk’s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Prior to the applicable Par Call Date, Autodesk may redeem each series of notes at its option, in whole or in part, at any time 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sum of the present values of the remaining scheduled payments of principal and interest thereon discounted to the redemption date (assuming the notes matured on the applicable Par Call Date) on a semi-annual basis (assuming a 360-day year consisting of twelve 30-day months) at the Treasury Rate plus (a) 10 basis points in the case of the 2029 notes or (b) 15 basis points in the case of the 2033 notes, less (ii) interest accrued to the date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applicable series of notes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if any, on the amount being redeemed to, but excluding, the date of redemption.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applicable Par Call Date, Autodesk may, at its option, redeem each series of notes, in whole or in part, at any time and from time to time, at a redemption price equal to 100% of the principal amount of the notes redeemed, plus accrued and unpaid interest thereon, if any, to, but excluding, the date of redemption. </w:t>
      </w:r>
    </w:p>
    <w:p>
      <w:pPr>
        <w:pStyle w:val="TextBody"/>
        <w:bidi w:val="0"/>
        <w:spacing w:before="240" w:after="0"/>
        <w:jc w:val="left"/>
        <w:rPr/>
      </w:pPr>
      <w:r>
        <w:rPr/>
        <w:t>“</w:t>
      </w:r>
      <w:r>
        <w:rPr>
          <w:rFonts w:ascii="Times New Roman" w:hAnsi="Times New Roman"/>
          <w:sz w:val="20"/>
        </w:rPr>
        <w:t xml:space="preserve">Par Call Date” means with respect to the 2029 notes, August 15, 2029 (one month prior to the maturity date of the 2029 notes); with respect to the 2033 notes, July 15, 2033 (two months prior to the maturity date of the 2033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Treasury Rate” means, with respect to any redemption date, the yield determined by Autodesk in accordance with the following two paragraphs: </w:t>
      </w:r>
    </w:p>
    <w:p>
      <w:pPr>
        <w:pStyle w:val="TextBody"/>
        <w:bidi w:val="0"/>
        <w:spacing w:before="120" w:after="0"/>
        <w:jc w:val="left"/>
        <w:rPr>
          <w:rFonts w:ascii="Times New Roman" w:hAnsi="Times New Roman"/>
          <w:sz w:val="20"/>
        </w:rPr>
      </w:pPr>
      <w:r>
        <w:rPr>
          <w:rFonts w:ascii="Times New Roman" w:hAnsi="Times New Roman"/>
          <w:sz w:val="20"/>
        </w:rPr>
        <w:t xml:space="preserve">The Treasury Rate shall be determined by Autodesk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Autodesk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Autodesk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Autodesk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Autodesk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Autodesk’s actions and determinations in determining the redemption price shall be conclusive and binding for all purposes, absent manifest error. The trustee shall not be responsible or liable for any determination, calculation, or verification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(with a copy to the trustee). Unless Autodesk defaults in payment of the redemption price, on and after the redemption date, interest will cease to accrue on the applicable series of notes or portions thereof called for redemption. On or before 12:00 p.m., New York City Time, on a redemption date for the notes, Autodesk will deposit with a paying agent (or the trustee) money sufficient to pay the redemption price of and accrued interest on the notes to be redeemed on that date. In the case of a partial redemption of a series of notes, selection of the notes for redemption will be made pro rata, by lot or by such other method as the trustee deems fair and appropriate. No notes of a principal amount of $2,000 or less will be redeemed in part.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note of a series is to be redeemed in part only, the notice of redemption that relates to the note will state the portion of the principal amount of the note to be redeemed. A new note in a principal amount equal to the unredeemed portion of the note will be issued in the name of the holder of such note upon surrender for cancellation of the original note. For so long as the notes are held by DTC, Euroclear or Clearstream (or another depositary), the redemption of the notes shall be done in accordance with the policies and procedures of the depositary. Any redemption or notice of redemption may, at the Company’s discretion, be subject to one or more conditions precedent. </w:t>
      </w:r>
    </w:p>
    <w:p>
      <w:pPr>
        <w:pStyle w:val="TextBody"/>
        <w:bidi w:val="0"/>
        <w:spacing w:before="360" w:after="0"/>
        <w:jc w:val="left"/>
        <w:rPr>
          <w:rFonts w:ascii="Times New Roman" w:hAnsi="Times New Roman"/>
          <w:b/>
          <w:sz w:val="20"/>
        </w:rPr>
      </w:pPr>
      <w:r>
        <w:rPr>
          <w:rFonts w:ascii="Times New Roman" w:hAnsi="Times New Roman"/>
          <w:b/>
          <w:sz w:val="20"/>
        </w:rPr>
        <w:t xml:space="preserve">Purchase of Notes upon 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repurchase event occurs with respect to a series of notes, unless Autodesk has exercised its right to redeem the notes of such series as described above or Autodesk has defeased the notes or satisfied and discharged the notes, each holder of the notes of such series will have the right to require Autodesk to repurchase all or any part (in excess of $2,000 and in integral multiples of $1,000) of that holder’s notes at a repurchase price in cash equal to 101% of the aggregate principal amount of the notes repurchased plus any accrued and unpaid interest on the notes repurchased to, but excluding, the date of repurchase. Within 30 days following any change of control repurchase event or, at the option of Autodesk, prior to any change of control, but after the public announcement of the change of control or event that may constitute the change of control, Autodesk will deliver a notice to each holder of the applicable series of notes, with a copy to the trustee, describing the transaction or transactions that constitute or may constitute the change of control repurchase event and Autodesk’s obligation to repurchase the notes of such series on the payment date specified in the notice, which date will be no earlier than 30 days and no later than 60 days from the date such notice is delivered (a “change of control notice”). The notice shall, if delivered prior to the date of consummation of the change of control, state that Autodesk’s obligation to repurchase the notes of such series is conditioned on a change of control repurchase event occurring on or prior to the payment date specified in the notice. Autodesk will comply with the requirements of Rule 14e-1 under the Exchange Act and any other securities laws and regulations thereunder to the extent those laws and regulations are applicable in connection with the repurchase of the notes of such series as a result of a change of control repurchase event. To the extent that the provisions of any securities laws or regulations conflict with the change of control repurchase event provisions of the applicable series of notes, Autodesk will comply with the applicable securities laws and regulations and will not be deemed to have breached its obligations under the change of control repurchase event provisions of the notes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the repurchase date following a change of control repurchase event, Autodesk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of the applicable series or portions of notes of the applicable series properly tendered pursuant to its change of control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aggregate repurchase price in respect of all notes of the applicable series or portions of the notes of the applicable series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notes of the applicable series properly accepted, together with an officers’ certificate stating the aggregate principal amount of notes of the applicable series being repurchased by Autodesk.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deliver to each holder of notes of the applicable series properly tendered the repurchase price for such notes, and the trustee will promptly authenticate and mail (or cause to be transferred by book-entry) to each holder a new note equal in principal amount to any unpurchased portion of any notes surrendered. </w:t>
      </w:r>
    </w:p>
    <w:p>
      <w:pPr>
        <w:pStyle w:val="TextBody"/>
        <w:bidi w:val="0"/>
        <w:spacing w:before="240" w:after="0"/>
        <w:jc w:val="left"/>
        <w:rPr>
          <w:rFonts w:ascii="Times New Roman" w:hAnsi="Times New Roman"/>
          <w:sz w:val="20"/>
        </w:rPr>
      </w:pPr>
      <w:r>
        <w:rPr>
          <w:rFonts w:ascii="Times New Roman" w:hAnsi="Times New Roman"/>
          <w:sz w:val="20"/>
        </w:rPr>
        <w:t xml:space="preserve">Autodesk will not be required to repurchase the notes of a series upon a change of control repurchase event if a third party agrees to repurchase such notes in the manner, at the times and otherwise in compliance with the requirements for Autodesk pursuant to the indenture with respect to all notes of such series and such third party repurchases all notes properly tendered and not withdrawn by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change of control repurchase event feature of the notes of a series may in certain circumstances make more difficult or discourage a sale or takeover of Autodesk and, thus, the removal of incumbent management. The change of control repurchase event feature is a result of negotiations between Autodesk and the underwriters. Autodesk has no present intention to engage in a transaction involving a change of control, although it is possible that Autodesk could decide to do so in the future. Subject to the limitations discussed below, Autodesk could, in the future, enter into certain transactions, including acquisitions, refinancings or other recapitalizations, that would not constitute a change of control under the indenture governing each series of notes, but that could increase the amount of indebtedness outstanding at such time or otherwise affect the capital structure of Autodesk or credit ratings of such notes. Restrictions on the ability of Autodesk to incur liens and enter into sale and leaseback transactions are contained in the covenants as described under “— Certain Covenants — Limitation on Liens” and “— Certain Covenants — Limitation on Sale and Leaseback Transactions.” Except for the limitations contained in such covenants and the covenant relating to repurchases upon the occurrence of a change of control repurchase event, however, the indenture governing each series of notes will not contain any covenants or provisions that may afford holders of such notes protection in the event of a highly leveraged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phrase “all or substantially all,” as used with respect to the assets of Autodesk and its subsidiaries in the definition of “change of control,” is subject to interpretation under applicable state law, and its applicability in a given instance would depend upon the facts and circumstances. As a result, there may be a degree of uncertainty in ascertaining whether a sale or transfer of “all or substantially all” the assets of Autodesk and its subsidiaries has occurred in a particular instance, in which case a holder’s ability to obtain the benefit of these provisions could be unclear. </w:t>
      </w:r>
    </w:p>
    <w:p>
      <w:pPr>
        <w:pStyle w:val="TextBody"/>
        <w:bidi w:val="0"/>
        <w:spacing w:before="240" w:after="0"/>
        <w:jc w:val="left"/>
        <w:rPr>
          <w:rFonts w:ascii="Times New Roman" w:hAnsi="Times New Roman"/>
          <w:sz w:val="20"/>
        </w:rPr>
      </w:pPr>
      <w:r>
        <w:rPr>
          <w:rFonts w:ascii="Times New Roman" w:hAnsi="Times New Roman"/>
          <w:sz w:val="20"/>
        </w:rPr>
        <w:t xml:space="preserve">Autodesk may not have sufficient funds to repurchase all the notes of a series upon a change of control repurchase event. In addition, even if it has sufficient funds, Autodesk may be prohibited from repurchasing such notes under the terms of its future debt instruments. Furthermore, a change of control could constitute an event of default under its credit facilities. See “Risk Factors — Risks Related to the Notes — We may not be able to repurchase all of the notes upon a change of control repurchase event.”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discussion of a repurchase at the option of holders, the following definitions are applicable: </w:t>
      </w:r>
    </w:p>
    <w:p>
      <w:pPr>
        <w:pStyle w:val="TextBody"/>
        <w:bidi w:val="0"/>
        <w:spacing w:before="120" w:after="0"/>
        <w:jc w:val="left"/>
        <w:rPr/>
      </w:pPr>
      <w:r>
        <w:rPr/>
        <w:t>“</w:t>
      </w:r>
      <w:r>
        <w:rPr>
          <w:rFonts w:ascii="Times New Roman" w:hAnsi="Times New Roman"/>
          <w:i/>
          <w:sz w:val="20"/>
        </w:rPr>
        <w:t>change of control</w:t>
      </w:r>
      <w:r>
        <w:rPr>
          <w:rFonts w:ascii="Times New Roman" w:hAnsi="Times New Roman"/>
          <w:sz w:val="20"/>
        </w:rPr>
        <w:t xml:space="preserve">” means the occurrence of any of the following: (1) the direct or indirect sale, transfer, conveyance or other disposition (other than by way of merger or consolidation), in one or a series of related transactions, of all or substantially all of the properties or assets of Autodesk and its subsidiaries taken as a whole to any “person” (as that term is used in Section 13(d)(3) of the Exchange Act) other than Autodesk or one of its subsidiaries; (2) the adoption of a plan by Autodesk’s board of directors relating to Autodesk’s liquidation or dissolution; (3) the consummation of any transaction (including, without limitation, any merger or consolidation) the result of which is that any “person” (as defined above) becomes the beneficial owner, directly or indirectly, of more than 50% of the aggregate of the total voting power of the voting stock of Autodesk or other voting stock into which Autodesk’s voting stock is reclassified, consolidated, exchanged or changed, measured by voting power rather than number of shares; provided, however, that a person shall not be deemed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or (4) Autodesk consolidates with, or merges with or into, any person, or any person consolidates with, or merges with or into, Autodesk, in any such event pursuant to a transaction in which any of the outstanding voting stock of Autodesk or the outstanding voting stock of such other person is converted into or exchanged for cash, securities or other property, other than any such transaction where the shares of Autodesk’s voting stock outstanding immediately prior to such transaction constitute, or are converted into or exchanged for, a majority of the voting stock of the surviving person or any direct or indirect parent company of any surviving person immediately after giving effect to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 transaction will not be deemed to involve a change of control if (a) Autodesk becomes a direct or indirect wholly owned subsidiary of a holding company and (b)(i) the holders of the voting stock of such holding company immediately following that transaction are substantially the same as the holders of Autodesk’s voting stock immediately prior to that transaction or (ii) no “person” (as that term is used in Section 13(d)(3) of the Exchange Act) (other than a holding company satisfying the requirements of this sentence) becomes the “beneficial owner” (as defined in Rules 13d-3 and 13d-5 under the Exchange Act), directly or indirectly, of more than 50% of the voting power of the voting stock of such holding company immediately following such transaction. </w:t>
      </w:r>
    </w:p>
    <w:p>
      <w:pPr>
        <w:pStyle w:val="TextBody"/>
        <w:bidi w:val="0"/>
        <w:spacing w:before="240" w:after="0"/>
        <w:jc w:val="left"/>
        <w:rPr/>
      </w:pPr>
      <w:r>
        <w:rPr/>
        <w:t>“</w:t>
      </w:r>
      <w:r>
        <w:rPr>
          <w:rFonts w:ascii="Times New Roman" w:hAnsi="Times New Roman"/>
          <w:i/>
          <w:sz w:val="20"/>
        </w:rPr>
        <w:t>change of control repurchase event</w:t>
      </w:r>
      <w:r>
        <w:rPr>
          <w:rFonts w:ascii="Times New Roman" w:hAnsi="Times New Roman"/>
          <w:sz w:val="20"/>
        </w:rPr>
        <w:t xml:space="preserve">” means the occurrence of both a change of control and a ratings event. </w:t>
      </w:r>
    </w:p>
    <w:p>
      <w:pPr>
        <w:pStyle w:val="TextBody"/>
        <w:bidi w:val="0"/>
        <w:spacing w:before="240" w:after="0"/>
        <w:jc w:val="left"/>
        <w:rPr/>
      </w:pPr>
      <w:r>
        <w:rPr/>
        <w:t>“</w:t>
      </w:r>
      <w:r>
        <w:rPr>
          <w:rFonts w:ascii="Times New Roman" w:hAnsi="Times New Roman"/>
          <w:i/>
          <w:sz w:val="20"/>
        </w:rPr>
        <w:t>investment grade</w:t>
      </w:r>
      <w:r>
        <w:rPr>
          <w:rFonts w:ascii="Times New Roman" w:hAnsi="Times New Roman"/>
          <w:sz w:val="20"/>
        </w:rPr>
        <w:t xml:space="preserve">” means a rating of Baa3 or better by Moody’s (or its equivalent under any successor rating categories of Moody’s); a rating of BBB- or better by S&amp;P (or its equivalent under any successor rating categories of S&amp;P); or, if applicable, the equivalent investment grade credit rating from any substitute rating agency.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 Inc. </w:t>
      </w:r>
    </w:p>
    <w:p>
      <w:pPr>
        <w:pStyle w:val="TextBody"/>
        <w:bidi w:val="0"/>
        <w:spacing w:before="240" w:after="0"/>
        <w:jc w:val="left"/>
        <w:rPr/>
      </w:pPr>
      <w:r>
        <w:rPr/>
        <w:t>“</w:t>
      </w:r>
      <w:r>
        <w:rPr>
          <w:rFonts w:ascii="Times New Roman" w:hAnsi="Times New Roman"/>
          <w:i/>
          <w:sz w:val="20"/>
        </w:rPr>
        <w:t>rating agency</w:t>
      </w:r>
      <w:r>
        <w:rPr>
          <w:rFonts w:ascii="Times New Roman" w:hAnsi="Times New Roman"/>
          <w:sz w:val="20"/>
        </w:rPr>
        <w:t xml:space="preserve">” means (1) each of Moody’s and S&amp;P; and (2) if either of Moody’s or S&amp;P ceases to rate the notes or fails to make a rating of the notes publicly available for reasons outside of the control of Autodesk, a substitute rating agency. </w:t>
      </w:r>
    </w:p>
    <w:p>
      <w:pPr>
        <w:pStyle w:val="TextBody"/>
        <w:bidi w:val="0"/>
        <w:spacing w:before="240" w:after="0"/>
        <w:jc w:val="left"/>
        <w:rPr/>
      </w:pPr>
      <w:r>
        <w:rPr/>
        <w:t>“</w:t>
      </w:r>
      <w:r>
        <w:rPr>
          <w:rFonts w:ascii="Times New Roman" w:hAnsi="Times New Roman"/>
          <w:i/>
          <w:sz w:val="20"/>
        </w:rPr>
        <w:t>rating category</w:t>
      </w:r>
      <w:r>
        <w:rPr>
          <w:rFonts w:ascii="Times New Roman" w:hAnsi="Times New Roman"/>
          <w:sz w:val="20"/>
        </w:rPr>
        <w:t xml:space="preserve">” means (i) with respect to S&amp;P, any of the following categories: BBB, BB, B, CCC, CC, C and D (or equivalent successor categories); (ii) with respect to Moody’s, any of the following categories: Baa, Ba, B, Caa, Ca, C and D (or equivalent successor categories); and (iii) the equivalent of any such category of S&amp;P or Moody’s used by another rating agency. In determining whether the rating of the notes has decreased by one or more gradations, gradations within rating categories (+ and – for S&amp;P; 1, 2 and 3 for Moody’s; or the equivalent gradations for another rating agency) shall be taken into account (e.g., with respect to S&amp;P, a decline in a rating from BB+ to BB, as well as from BB– to B+, will constitute a decrease of one gradation). </w:t>
      </w:r>
    </w:p>
    <w:p>
      <w:pPr>
        <w:pStyle w:val="TextBody"/>
        <w:bidi w:val="0"/>
        <w:spacing w:before="240" w:after="0"/>
        <w:jc w:val="left"/>
        <w:rPr/>
      </w:pPr>
      <w:r>
        <w:rPr/>
        <w:t>“</w:t>
      </w:r>
      <w:r>
        <w:rPr>
          <w:rFonts w:ascii="Times New Roman" w:hAnsi="Times New Roman"/>
          <w:i/>
          <w:sz w:val="20"/>
        </w:rPr>
        <w:t>ratings event</w:t>
      </w:r>
      <w:r>
        <w:rPr>
          <w:rFonts w:ascii="Times New Roman" w:hAnsi="Times New Roman"/>
          <w:sz w:val="20"/>
        </w:rPr>
        <w:t xml:space="preserve">” means, with respect to a series of notes, that such notes cease to be rated investment grade by both rating agencies on any day during the period (the “trigger period”) commencing on the earlier of (a) the first public notice of the occurrence of a change of control or (b) the public announcement by Autodesk of its intention to effect a change of control, and ending 60 days following consummation of such change of control (which period shall be extended so long as the rating of such notes is under publicly announced consideration for a possible rating downgrade by either of the rating agencies on such 60th day, such extension to last with respect to each such rating agency until the date on which such rating agency considering such possible downgrade either (x) rates such notes below investment grade or (y) publicly announces that it is no longer considering such notes for possible downgrade, provided that no such extension will occur if on such 60th day such notes are rated investment grade by at least one of such rating agencies in question and are not subject to review for possible downgrade by such rating agency). If either rating agency is not providing a rating of such notes on any day during the trigger period for any reason, the rating of such rating agency shall be deemed to have ceased to be rated investment grade during the trigger period.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means Standard &amp; Poor’s Ratings Services, a division of The McGraw-Hill Companies, Inc. </w:t>
      </w:r>
    </w:p>
    <w:p>
      <w:pPr>
        <w:pStyle w:val="TextBody"/>
        <w:bidi w:val="0"/>
        <w:spacing w:before="240" w:after="0"/>
        <w:jc w:val="left"/>
        <w:rPr/>
      </w:pPr>
      <w:r>
        <w:rPr/>
        <w:t>“</w:t>
      </w:r>
      <w:r>
        <w:rPr>
          <w:rFonts w:ascii="Times New Roman" w:hAnsi="Times New Roman"/>
          <w:i/>
          <w:sz w:val="20"/>
        </w:rPr>
        <w:t>substitute rating agency</w:t>
      </w:r>
      <w:r>
        <w:rPr>
          <w:rFonts w:ascii="Times New Roman" w:hAnsi="Times New Roman"/>
          <w:sz w:val="20"/>
        </w:rPr>
        <w:t xml:space="preserve">” means a “nationally recognized statistical rating organization” within the meaning of Section 3(a)(62) of the Exchange Act, selected by us (as certified by a resolution of Autodesk’s board of directors or a committee thereof) as a replacement agency for Moody’s or S&amp;P, or both of them, as the case may be.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specified “person” (as that term is used in Section 13(d)(3) of the Exchange Act) as of any date means the capital stock of such person that is at the time entitled to vote generally in the election of the board of directors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Further Issuances </w:t>
      </w:r>
    </w:p>
    <w:p>
      <w:pPr>
        <w:pStyle w:val="TextBody"/>
        <w:bidi w:val="0"/>
        <w:spacing w:before="120" w:after="0"/>
        <w:jc w:val="left"/>
        <w:rPr>
          <w:rFonts w:ascii="Times New Roman" w:hAnsi="Times New Roman"/>
          <w:sz w:val="20"/>
        </w:rPr>
      </w:pPr>
      <w:r>
        <w:rPr>
          <w:rFonts w:ascii="Times New Roman" w:hAnsi="Times New Roman"/>
          <w:sz w:val="20"/>
        </w:rPr>
        <w:t xml:space="preserve">Autodesk may from time to time, without notice to or the consent of the holders of the notes of any series, create and issue additional notes of any such series having the same terms as, and ranking equally and ratably with, the notes in all respects (except for the issue date and, if applicable, the payment of interest accruing prior to the issue date of such additional notes and the first payment of interest following the issue date of such additional notes). Such additional notes may be consolidated and form a single series with, and will have the same terms as to ranking, redemption, waivers, amendments or otherwise, as the applicable series of notes and will vote together as one class on all matters with respect to the applicable series of notes, as the case may be; provided that if the additional notes of such series are not fungible with the outstanding notes for U.S. federal income tax purposes, the additional notes of such series will have a separate CUSIP number.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Except as set forth below, neither Autodesk nor any of its subsidiaries will be restricted by the indenture governing each series of notes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incurring any indebtedness or other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dividends or making distributions on the capital stock of Autodesk or of such subsidiaries,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purchasing or redeeming capital stock of Autodesk or such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Autodesk will not be required to maintain any financial ratios or specified levels of net worth or liquidity or to repurchase or redeem or otherwise modify the terms of the notes of a series upon a change of control or other events involving Autodesk or any of its subsidiaries which may adversely affect the creditworthiness of such notes, except to the limited extent provided under “— Purchase of Notes upon Change of Control Repurchase Event.” Among other things, the indenture will not contain covenants designed to afford holders of a series of notes any protections in the event of a highly leveraged or other transaction involving Autodesk that may adversely affect holders of such notes, except to the limited extent provided under “— Purchase of Notes upon Change of Control Repurchase Event.”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contain the following principal covenants: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Liens </w:t>
      </w:r>
    </w:p>
    <w:p>
      <w:pPr>
        <w:pStyle w:val="TextBody"/>
        <w:bidi w:val="0"/>
        <w:spacing w:before="120" w:after="0"/>
        <w:jc w:val="left"/>
        <w:rPr>
          <w:rFonts w:ascii="Times New Roman" w:hAnsi="Times New Roman"/>
          <w:sz w:val="20"/>
        </w:rPr>
      </w:pPr>
      <w:r>
        <w:rPr>
          <w:rFonts w:ascii="Times New Roman" w:hAnsi="Times New Roman"/>
          <w:sz w:val="20"/>
        </w:rPr>
        <w:t xml:space="preserve">Autodesk will not incur, and will not permit any of its restricted subsidiaries to incur, any indebtedness secured by a mortgage, security interest, pledge, lien, charge or other similar encumbrance (collectively, “Liens”) upon (a) any Principal Property of Autodesk or any of its restricted subsidiaries or (b) any shares of stock or indebtedness of any of its restricted subsidiaries (whether such Principal Property or shares or indebtedness of any restricted subsidiary are now existing or owned or hereafter created or acquired), in each case, unless prior to or at the same time, the notes (together with, at the option of Autodesk, any other indebtedness or guarantees of Autodesk or any of its subsidiaries ranking equally in right of payment with the notes or such guarantee) are equally and ratably secured with or, at the option of Autodesk, prior to, such secured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restriction does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shares of stock or indebtedness existing with respect to any person at the time such person becomes a subsidiary of Autodesk or a subsidiary of any subsidiary of Autodesk, provided that such Lien was not incurred in anticipation of such person becoming a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shares of stock or indebtedness existing at the time of acquisition by Autodesk or any of its subsidiaries or a subsidiary of any subsidiary of Autodesk of such property, shares of stock or indebtedness or Liens on property, shares of stock or indebtedness to secure the payment of all or any part of the purchase price of such property, shares of stock or indebtedness, or Liens on property,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shares of stock or indebtedness to secure any indebtedness for borrowed money incurred prior to, at the time of, or within 18 months after, the latest of the acquisition of such property, shares of stock or indebtedness or, in the case of property, the completion of construction, the completion of improvements or the commencement of substantial commercial operation of such property for the purpose of financing all or any part of the purchase price of the property and related costs and expenses, the construction or the making of the improvements;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indebtedness of Autodesk or any of Autodesk’s subsidiaries owing to Autodesk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existing on the date of the initial issuance of the notes (other than any additional notes of a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on property or assets of a person existing at the time such person is merged into or consolidated with Autodesk or any of its subsidiaries, at the time such person becomes a subsidiary of Autodesk, or at the time of a sale, lease or other disposition of all or substantially all of the properties or assets of a person to Autodesk or any of its subsidiaries, provided that such Lien was not incurred in anticipation of the merger, consolidation, or sale, lease, other disposition or other such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created in connection with a project financed with, and created to secure, a Non-recourse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created to secure any series of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imposed by law, such as materialmens’, workmen or repairmen, carriers’, warehousemen’s and mechanic’s Liens and other similar Liens, in each case for sums not yet overdue by more than 30 calendar days or being contested in good faith by appropriate proceedings or other Liens arising out of judgments or awards against such Person with respect to which such Person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for taxes, assessments or other governmental charges not yet due or payable or subject to penalties for non-payment or which are being contested in good faith by appropriate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to secure the performance of bids, trade contracts, leases, statutory obligations, surety and appeal bonds, performance bonds and other obligations of a like 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pledges or deposits under workmen’s compensation, unemployment insurance, or similar legislation and liens of judgments thereunder which are not currently dischargeable, or deposits to secure public or statutory obligations, or deposits in connection with obtaining or maintaining self-insurance or to obtain the benefits of any law, regulation or arrangement pertaining to workmen’s compensation, unemployment insurance, old age pensions, social security or similar matters, or deposits of cash or obligations of the U.S. to secure surety, appeal or customs bonds, or deposits in litigation or other proceedings such as, but not limited to, interpleader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consisting of easements, rights-of-way, zoning restrictions, restrictions on the use of real property, and defects and irregularities in the title thereto, landlords’ Liens and other similar Liens none of which interfere materially with the use of the property covered thereby in the ordinary course of business and which do not, in Autodesk’s opinion, materially detract from the value of such properties;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extensions, renewals or replacements of any Lien referred to in clauses (1) through (13) without increase of the aggregate principal amount of the indebtedness secured by such Lien (except to the extent of any fees or other costs associated with any such extension, renewal or replacement); provided, however, that any Liens permitted by any of clauses (1) through (13) shall not extend to or cover any property of Autodesk or any of its subsidiaries, as the case may be, other than the property specified in such clauses and improvements to such property.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restrictions set forth in the preceding paragraph, Autodesk and its restricted subsidiaries will be permitted to incur indebtedness secured by Liens which would otherwise be subject to the foregoing restrictions without equally and ratably securing the notes of a series, provided that, after giving effect to such indebtedness, the aggregate amount of all indebtedness secured by Liens (not including Liens permitted under clauses (1) through (14) above), together with all attributable debt outstanding pursuant to the second paragraph of the “— Limitation on Sale and Leaseback Transactions” covenant described below, does not exceed the greater of $500 million and 15% of the Consolidated Net Tangible Assets of Autodesk. Autodesk and its restricted subsidiaries also may, without equally and ratably securing the notes of a series, create or incur Liens that extend, renew, substitute or replace (including successive extensions, renewals, substitutions or replacements), in whole or in part, any Lien permitted pursuant to the preceding sentence.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Sale and 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Autodesk will not, and will not permit any of its restricted subsidiaries to, enter into any sale and leaseback transaction for the sale and leasing back of any Principal Property, whether now owned or hereafter acquired,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was entered into prior to the date of the initial issuance of the notes (other than any additional notes of a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was for the sale and leasing back to Autodesk or any of its wholly owned subsidiaries of any Principal Property by one of its restricted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involves a lease for not more than three years (or which may be terminated by Autodesk or its subsidiaries within a period of not more than three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Autodesk would be entitled to incur indebtedness secured by a Lien with respect to such sale and leaseback transaction without equally and ratably securing the notes pursuant to the second paragraph of the “—Limitation on Liens” covenant described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Autodesk or any restricted subsidiary applies an amount equal to the net proceeds from the sale of such Principal Property to the purchase of other property or assets used or useful in its business (including the purchase or development of other Principal Property) or to the retirement of indebtedness that is pari passu with the notes (including the notes) within 365 days before or after the effective date of any such sale and leaseback transaction, provided that, in lieu of applying such amount to the retirement of pari passu indebtedness, Autodesk may deliver notes to the trustee for cancellation, such notes to be credited at the cost thereof to 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restrictions set forth in the preceding paragraph, Autodesk and its restricted subsidiaries may enter into any sale and leaseback transaction which would otherwise be subject to the foregoing restrictions, if after giving effect thereto the aggregate amount of all attributable debt with respect to such transactions, together with all indebtedness outstanding pursuant to the third paragraph of the “—Limitation on Liens” covenant described above, does not exceed the greater of $500 million and 15% of the Consolidated Net Tangible Assets of Autodesk. As of the date of this prospectus, neither we nor any of our restricted subsidiaries own any Principal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Definitions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contains the following defined terms: </w:t>
      </w:r>
    </w:p>
    <w:p>
      <w:pPr>
        <w:pStyle w:val="TextBody"/>
        <w:bidi w:val="0"/>
        <w:spacing w:before="120" w:after="0"/>
        <w:jc w:val="left"/>
        <w:rPr/>
      </w:pPr>
      <w:r>
        <w:rPr/>
        <w:t>“</w:t>
      </w:r>
      <w:r>
        <w:rPr>
          <w:rFonts w:ascii="Times New Roman" w:hAnsi="Times New Roman"/>
          <w:i/>
          <w:sz w:val="20"/>
        </w:rPr>
        <w:t>attributable debt</w:t>
      </w:r>
      <w:r>
        <w:rPr>
          <w:rFonts w:ascii="Times New Roman" w:hAnsi="Times New Roman"/>
          <w:sz w:val="20"/>
        </w:rPr>
        <w:t xml:space="preserve">” means, with respect to any sale and leaseback transaction, at the time of determination, the lesser of (1) the fair market value of such Principal Property as determined in good faith by Autodesk’s board of directors,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w:t>
      </w:r>
    </w:p>
    <w:p>
      <w:pPr>
        <w:pStyle w:val="TextBody"/>
        <w:bidi w:val="0"/>
        <w:spacing w:before="240" w:after="0"/>
        <w:jc w:val="left"/>
        <w:rPr/>
      </w:pPr>
      <w:r>
        <w:rPr/>
        <w:t>“</w:t>
      </w:r>
      <w:r>
        <w:rPr>
          <w:rFonts w:ascii="Times New Roman" w:hAnsi="Times New Roman"/>
          <w:i/>
          <w:sz w:val="20"/>
        </w:rPr>
        <w:t>Consolidated Net Tangible Assets</w:t>
      </w:r>
      <w:r>
        <w:rPr>
          <w:rFonts w:ascii="Times New Roman" w:hAnsi="Times New Roman"/>
          <w:sz w:val="20"/>
        </w:rPr>
        <w:t xml:space="preserve">” means, as of the time of determination, the aggregate amount of the assets of Autodesk and the assets of its consolidated subsidiaries after deducting (1) all goodwill, trade names, trademarks, service marks, patents, unamortized debt discount and expense and other intangible assets and (2) all current liabilities, as reflected on the most recent consolidated balance sheet prepared by Autodesk in accordance with GAAP contained in an annual report on Form 10-K or a quarterly report on Form 10-Q filed or any amendment thereto (and not subsequently disclaimed as not being reliable by Autodesk) pursuant to the Exchange Act by Autodesk prior to the time as of which “Consolidated Net Tangible Assets” is being determined or, if Autodesk is not required to so file, as reflected on its most recent consolidated balance sheet prepared by Autodesk in accordance with GAAP.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generally accepted accounting principles in the United States of America in effect from time to time. </w:t>
      </w:r>
    </w:p>
    <w:p>
      <w:pPr>
        <w:pStyle w:val="TextBody"/>
        <w:bidi w:val="0"/>
        <w:spacing w:before="240" w:after="0"/>
        <w:jc w:val="left"/>
        <w:rPr/>
      </w:pPr>
      <w:r>
        <w:rPr/>
        <w:t>“</w:t>
      </w:r>
      <w:r>
        <w:rPr>
          <w:rFonts w:ascii="Times New Roman" w:hAnsi="Times New Roman"/>
          <w:i/>
          <w:sz w:val="20"/>
        </w:rPr>
        <w:t>guarantee</w:t>
      </w:r>
      <w:r>
        <w:rPr>
          <w:rFonts w:ascii="Times New Roman" w:hAnsi="Times New Roman"/>
          <w:sz w:val="20"/>
        </w:rPr>
        <w:t xml:space="preserve">” means any obligation, contingent or otherwise, of any person directly or indirectly guaranteeing any indebtedness of any other person and any obligation, direct or indirect, contingent or otherwise, of such person (1) 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 (2) entered into for purposes of assuring in any other manner the obligee of such indebtedness of the payment thereof or to protect such obligee against loss in respect thereof (in whole or in part); provided, however, that the term “guarantee” will not include endorsements for collection or deposit in the ordinary course of business. The term “guarantee,” when used as a verb, has a correlative meaning. </w:t>
      </w:r>
    </w:p>
    <w:p>
      <w:pPr>
        <w:pStyle w:val="TextBody"/>
        <w:bidi w:val="0"/>
        <w:spacing w:before="240" w:after="0"/>
        <w:jc w:val="left"/>
        <w:rPr/>
      </w:pPr>
      <w:r>
        <w:rPr/>
        <w:t>“</w:t>
      </w:r>
      <w:r>
        <w:rPr>
          <w:rFonts w:ascii="Times New Roman" w:hAnsi="Times New Roman"/>
          <w:i/>
          <w:sz w:val="20"/>
        </w:rPr>
        <w:t>incur</w:t>
      </w:r>
      <w:r>
        <w:rPr>
          <w:rFonts w:ascii="Times New Roman" w:hAnsi="Times New Roman"/>
          <w:sz w:val="20"/>
        </w:rPr>
        <w:t xml:space="preserve">” means issue, assume, guarantee or otherwise become liable for. </w:t>
      </w:r>
    </w:p>
    <w:p>
      <w:pPr>
        <w:pStyle w:val="TextBody"/>
        <w:bidi w:val="0"/>
        <w:spacing w:before="240" w:after="0"/>
        <w:jc w:val="left"/>
        <w:rPr/>
      </w:pPr>
      <w:r>
        <w:rPr/>
        <w:t>“</w:t>
      </w:r>
      <w:r>
        <w:rPr>
          <w:rFonts w:ascii="Times New Roman" w:hAnsi="Times New Roman"/>
          <w:i/>
          <w:sz w:val="20"/>
        </w:rPr>
        <w:t>indebtedness</w:t>
      </w:r>
      <w:r>
        <w:rPr>
          <w:rFonts w:ascii="Times New Roman" w:hAnsi="Times New Roman"/>
          <w:sz w:val="20"/>
        </w:rPr>
        <w:t xml:space="preserve">” means, with respect to any person, indebtedness of such person for borrowed money (including, without limitation, indebtedness for borrowed money evidenced by notes, bonds, debentures or similar instruments). </w:t>
      </w:r>
    </w:p>
    <w:p>
      <w:pPr>
        <w:pStyle w:val="TextBody"/>
        <w:bidi w:val="0"/>
        <w:spacing w:before="240" w:after="0"/>
        <w:jc w:val="left"/>
        <w:rPr/>
      </w:pPr>
      <w:r>
        <w:rPr/>
        <w:t>“</w:t>
      </w:r>
      <w:r>
        <w:rPr>
          <w:rFonts w:ascii="Times New Roman" w:hAnsi="Times New Roman"/>
          <w:i/>
          <w:sz w:val="20"/>
        </w:rPr>
        <w:t>Non-recourse Obligation</w:t>
      </w:r>
      <w:r>
        <w:rPr>
          <w:rFonts w:ascii="Times New Roman" w:hAnsi="Times New Roman"/>
          <w:sz w:val="20"/>
        </w:rPr>
        <w:t xml:space="preserve">” means indebtedness or other obligations substantially related to (1) the acquisition of assets not previously owned by Autodesk or any direct or indirect subsidiaries of Autodesk or (2) the financing of a project involving the development or expansion of properties of Autodesk or any direct or indirect subsidiaries of Autodesk, as to which the obligee with respect to such indebtedness or obligation has no recourse to Autodesk or any direct or indirect subsidiary of Autodesk or such subsidiary’s assets other than the assets which were acquired with the proceeds of such transaction or the project financed with the proceeds of such transaction (and the proceeds thereof).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partnership, limited liability company, joint venture, association, joint-stock company, trust, unincorporated organization or government or political subdivision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Principal Property</w:t>
      </w:r>
      <w:r>
        <w:rPr>
          <w:rFonts w:ascii="Times New Roman" w:hAnsi="Times New Roman"/>
          <w:sz w:val="20"/>
        </w:rPr>
        <w:t xml:space="preserve">” means the land, improvements, buildings and fixtures owned by Autodesk or any of its wholly-owned domestic subsidiaries that constitutes Autodesk’s principal offices in San Francisco, California, any research and development facility and any service and support facility (in each case including associated office facilities) located within the territorial limits of the States of the United States of America, except such as Autodesk’s board of directors (or authorized committee thereof) by resolution determines in good faith (taking into account, among other things, the importance of such property to the business, financial condition and earnings of Autodesk and its subsidiaries taken as a whole) not to be of material importance to Autodesk’s and its subsidiaries’ business, taken as a whole. </w:t>
      </w:r>
    </w:p>
    <w:p>
      <w:pPr>
        <w:pStyle w:val="TextBody"/>
        <w:bidi w:val="0"/>
        <w:spacing w:before="240" w:after="0"/>
        <w:jc w:val="left"/>
        <w:rPr/>
      </w:pPr>
      <w:r>
        <w:rPr/>
        <w:t>“</w:t>
      </w:r>
      <w:r>
        <w:rPr>
          <w:rFonts w:ascii="Times New Roman" w:hAnsi="Times New Roman"/>
          <w:i/>
          <w:sz w:val="20"/>
        </w:rPr>
        <w:t>restricted subsidiary</w:t>
      </w:r>
      <w:r>
        <w:rPr>
          <w:rFonts w:ascii="Times New Roman" w:hAnsi="Times New Roman"/>
          <w:sz w:val="20"/>
        </w:rPr>
        <w:t xml:space="preserve">” means any domestic subsidiary that owns any Principal Property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subsidiary primarily engaged in financing receivables or in the finance business;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our less than 80%-owned subsidiaries if the common stock of such subsidiary is traded on any national securities exchange or on the over-the-counter markets. </w:t>
            </w:r>
          </w:p>
        </w:tc>
      </w:tr>
    </w:tbl>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that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that date, owned, controlled or held by the parent or one or more subsidiaries of the parent or by the parent and one or more subsidiaries of the parent.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in addition to the events of default described in the accompanying prospectus, is an “event of default” under the indenture for each series of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failure to pay principal of or premium, if any, on any note of that series when due at its stated maturity date, upon optional redemption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failure by Autodesk to repurchase notes of that series tendered for repurchase following the occurrence of a change of control repurchase event in conformity with the covenant set forth under “Purchase of Notes upon Change of Control Repurchase Event”;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a failure to make any payment at maturity, including any applicable grace period, on any indebtedness of Autodesk (other than indebtedness of Autodesk owing to any of its subsidiaries) outstanding in an amount in excess of $200 million and continuance of this failure to pay or (b) a default on any indebtedness of Autodesk (other than indebtedness owing to any of its subsidiaries), which default results in the acceleration of such indebtedness in an amount in excess of $200 million without such indebtedness having been discharged or the acceleration having been cured, waived, rescinded or annulled, in the case of clause (a) or (b) above, for a period of 30 days after written notice thereof to Autodesk by the trustee or to Autodesk and the trustee by the holders of not less than 25% in principal amount of outstanding notes of that series (including any additional notes of that series); provided, however, that if any failure, default or acceleration referred to in clause (a) or (b) above ceases or is cured, waived, rescinded or annulled, then the event of default will be deemed cured.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Same-Day Settlement and Payment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trade in the same-day funds settlement system of DTC until maturity or until Autodesk issues the notes in certificated form. DTC will therefore require secondary market trading activity in the notes to settle in immediately available funds. Autodesk can give no assurance as to the effect, if any, of settlement in immediately available funds on trading activity in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Book-Entry; Delivery and Form; Global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of each series will be represented by one or more global notes in definitive, fully registered form without interest coupons. Each global note will be deposited with the trustee as custodian for DTC and registered in the name of a nominee of DTC in New York, New York for the accounts of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Investors may hold their interests in a global note directly through DTC if they are DTC participants, or indirectly through organizations that are DTC participants. Except in the limited circumstances described below, holders of notes represented by interests in a global note will not be entitled to receive their notes in fully registered 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as follows: DTC is a limited-purpose trust company organized under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initial purchasers), banks, trust companies, clearing corporations and certain other organizations. Access to DTC’s book-entry system is also available to others such as banks, brokers, dealers and trust companies that clear through or maintain a custodial relationship with a participant, whether directly or indirectly. </w:t>
      </w:r>
    </w:p>
    <w:p>
      <w:pPr>
        <w:pStyle w:val="TextBody"/>
        <w:bidi w:val="0"/>
        <w:spacing w:before="360" w:after="0"/>
        <w:jc w:val="left"/>
        <w:rPr>
          <w:rFonts w:ascii="Times New Roman" w:hAnsi="Times New Roman"/>
          <w:b/>
          <w:sz w:val="20"/>
        </w:rPr>
      </w:pPr>
      <w:r>
        <w:rPr>
          <w:rFonts w:ascii="Times New Roman" w:hAnsi="Times New Roman"/>
          <w:b/>
          <w:sz w:val="20"/>
        </w:rPr>
        <w:t xml:space="preserve">Ownership of Beneficial Interests </w:t>
      </w:r>
    </w:p>
    <w:p>
      <w:pPr>
        <w:pStyle w:val="TextBody"/>
        <w:bidi w:val="0"/>
        <w:spacing w:before="120" w:after="0"/>
        <w:jc w:val="left"/>
        <w:rPr>
          <w:rFonts w:ascii="Times New Roman" w:hAnsi="Times New Roman"/>
          <w:sz w:val="20"/>
        </w:rPr>
      </w:pPr>
      <w:r>
        <w:rPr>
          <w:rFonts w:ascii="Times New Roman" w:hAnsi="Times New Roman"/>
          <w:sz w:val="20"/>
        </w:rPr>
        <w:t xml:space="preserve">Upon the issuance of each global note, DTC will credit, on its book-entry registration and transfer system, the respective principal amount of the individual beneficial interests represented by the global note to the accounts of participants. Ownership of beneficial interests in each global note will be limited to participants or persons that may hold interests through participants. Ownership of beneficial interests in each global note will be shown on, and the transfer of those ownership interests will be effected only through, records maintained by DTC (with respect to participants’ interests) and such participants (with respect to the owners of beneficial interests in the global note other than participants). </w:t>
      </w:r>
    </w:p>
    <w:p>
      <w:pPr>
        <w:pStyle w:val="TextBody"/>
        <w:bidi w:val="0"/>
        <w:spacing w:before="240" w:after="0"/>
        <w:jc w:val="left"/>
        <w:rPr>
          <w:rFonts w:ascii="Times New Roman" w:hAnsi="Times New Roman"/>
          <w:sz w:val="20"/>
        </w:rPr>
      </w:pPr>
      <w:r>
        <w:rPr>
          <w:rFonts w:ascii="Times New Roman" w:hAnsi="Times New Roman"/>
          <w:sz w:val="20"/>
        </w:rPr>
        <w:t xml:space="preserve">So long as DTC or its nominee is the registered holder and owner of a global note, DTC or such nominee, as the case may be, will be considered the sole legal owner of the notes represented by the global note for all purposes under the indenture, the notes and applicable law. Except as set forth below, owners of beneficial interests in a global note will not be entitled to receive certificated notes and will not be considered to be the owners or holders of any notes under the global note. Autodesk understands that under existing industry practice, in the event an owner of a beneficial interest in a global note desires to take any actions that DTC, as the holder of the global note, is entitled to take, DTC would authorize the participants to take such action, and that participants would authorize beneficial owners owning through such participants to take such action or would otherwise act upon the instructions of beneficial owners owning through them. No beneficial owner of an interest in a global note will be able to transfer the interest except in accordance with DTC’s applicable procedures, in addition to those provided for under the indenture. Because DTC can only act on behalf of participants, who in turn act on behalf of others, the ability of a person having a beneficial interest in a global note to pledge that interest to persons that do not participate in the DTC system, or otherwise to take actions in respect of that interest, may be impaired by the lack of physical certificate of that interest. </w:t>
      </w:r>
    </w:p>
    <w:p>
      <w:pPr>
        <w:pStyle w:val="TextBody"/>
        <w:bidi w:val="0"/>
        <w:spacing w:before="240" w:after="0"/>
        <w:jc w:val="left"/>
        <w:rPr>
          <w:rFonts w:ascii="Times New Roman" w:hAnsi="Times New Roman"/>
          <w:sz w:val="20"/>
        </w:rPr>
      </w:pPr>
      <w:r>
        <w:rPr>
          <w:rFonts w:ascii="Times New Roman" w:hAnsi="Times New Roman"/>
          <w:sz w:val="20"/>
        </w:rPr>
        <w:t xml:space="preserve">All payments on the notes represented by a global note registered in the name of and held by DTC or its nominee will be made to DTC or its nominee, as the case may be, as the registered owner and holder of the global note. </w:t>
      </w:r>
    </w:p>
    <w:p>
      <w:pPr>
        <w:pStyle w:val="TextBody"/>
        <w:bidi w:val="0"/>
        <w:spacing w:before="240" w:after="0"/>
        <w:jc w:val="left"/>
        <w:rPr>
          <w:rFonts w:ascii="Times New Roman" w:hAnsi="Times New Roman"/>
          <w:sz w:val="20"/>
        </w:rPr>
      </w:pPr>
      <w:r>
        <w:rPr>
          <w:rFonts w:ascii="Times New Roman" w:hAnsi="Times New Roman"/>
          <w:sz w:val="20"/>
        </w:rPr>
        <w:t xml:space="preserve">Autodesk expects that DTC or its nominee, upon receipt of any payment of principal, premium, if any, or interest in respect of a global note, will credit participants’ accounts with payments in amounts proportionate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their respective beneficial interests in the principal amount of the global note as shown on the records of DTC or its nominee. Autodesk also expects that payments by participants to owners of beneficial interests in the global note held through such participants will be governed by standing instructions and customary practices as is now the case with securities held for accounts for customers registered in the names of nominees for such customers. These payments, however, will be the responsibility of such participants and indirect participants, and neither Autodesk, the underwriters, the trustee nor any paying agent will have any responsibility or liability for any aspect of the records relating to, or payments made on account of beneficial ownership interests in any global note or for maintaining, supervising or reviewing any records relating to such beneficial ownership interests or for any other aspect of the relationship between DTC and its participants or the relationship between such participants and the owners of beneficial interests in the global note. </w:t>
      </w:r>
    </w:p>
    <w:p>
      <w:pPr>
        <w:pStyle w:val="TextBody"/>
        <w:bidi w:val="0"/>
        <w:spacing w:before="240" w:after="0"/>
        <w:jc w:val="left"/>
        <w:rPr>
          <w:rFonts w:ascii="Times New Roman" w:hAnsi="Times New Roman"/>
          <w:sz w:val="20"/>
        </w:rPr>
      </w:pPr>
      <w:r>
        <w:rPr>
          <w:rFonts w:ascii="Times New Roman" w:hAnsi="Times New Roman"/>
          <w:sz w:val="20"/>
        </w:rPr>
        <w:t xml:space="preserve">Unless and until it is exchanged in whole or in part for certificated notes, each global note may not be transferred except as a whole by DTC to a nominee of DTC or by a nominee of DTC to DTC or another nominee of DTC. Transfers between participants in DTC will be effected in the ordinary way in accordance with DTC rules and will be settled in same-day funds. </w:t>
      </w:r>
    </w:p>
    <w:p>
      <w:pPr>
        <w:pStyle w:val="TextBody"/>
        <w:bidi w:val="0"/>
        <w:spacing w:before="240" w:after="0"/>
        <w:jc w:val="left"/>
        <w:rPr>
          <w:rFonts w:ascii="Times New Roman" w:hAnsi="Times New Roman"/>
          <w:sz w:val="20"/>
        </w:rPr>
      </w:pPr>
      <w:r>
        <w:rPr>
          <w:rFonts w:ascii="Times New Roman" w:hAnsi="Times New Roman"/>
          <w:sz w:val="20"/>
        </w:rPr>
        <w:t xml:space="preserve">Autodesk expects that DTC will take any action permitted to be taken by a holder of notes (including the presentation of notes for exchange as described below) only at the direction of one or more participants to whose account the DTC interests in a global note are credited and only in respect of such portion of the aggregate principal amount of the notes as to which such participant or participants has or have given such direction. </w:t>
      </w:r>
    </w:p>
    <w:p>
      <w:pPr>
        <w:pStyle w:val="TextBody"/>
        <w:bidi w:val="0"/>
        <w:spacing w:before="240" w:after="0"/>
        <w:jc w:val="left"/>
        <w:rPr>
          <w:rFonts w:ascii="Times New Roman" w:hAnsi="Times New Roman"/>
          <w:sz w:val="20"/>
        </w:rPr>
      </w:pPr>
      <w:r>
        <w:rPr>
          <w:rFonts w:ascii="Times New Roman" w:hAnsi="Times New Roman"/>
          <w:sz w:val="20"/>
        </w:rPr>
        <w:t xml:space="preserve">Although Autodesk expects that DTC will agree to the foregoing procedures in order to facilitate transfers of interests in each global note among participants of DTC, DTC is under no obligation to perform or continue to perform such procedures, and such procedures may be discontinued at any time. Neither Autodesk, the underwriters, nor the trustee will have any responsibility for the performance or nonperformance by DTC or their participants or indirect participants of their respective obligations under the rules and procedures governing their operations.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described in the accompanying prospectus, DTC may exchange the global notes for notes in certificated form of like tenor and of an equal principal amount, in authorized denominations. These certificated notes will be registered in such name or names as DTC shall instruct the trustee. It is expected that such instructions may be based upon directions received by DTC from participants with respect to ownership of beneficial interests in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and DTC’s book-entry system has been obtained from sources that Autodesk believes to be reliable, but Autodesk does not take responsibility for its accuracy. </w:t>
      </w:r>
    </w:p>
    <w:p>
      <w:pPr>
        <w:pStyle w:val="TextBody"/>
        <w:bidi w:val="0"/>
        <w:spacing w:before="360" w:after="0"/>
        <w:jc w:val="left"/>
        <w:rPr>
          <w:rFonts w:ascii="Times New Roman" w:hAnsi="Times New Roman"/>
          <w:b/>
          <w:sz w:val="20"/>
        </w:rPr>
      </w:pPr>
      <w:r>
        <w:rPr>
          <w:rFonts w:ascii="Times New Roman" w:hAnsi="Times New Roman"/>
          <w:b/>
          <w:sz w:val="20"/>
        </w:rPr>
        <w:t xml:space="preserve">Euroclear and Clearstream, Luxembourg </w:t>
      </w:r>
    </w:p>
    <w:p>
      <w:pPr>
        <w:pStyle w:val="TextBody"/>
        <w:bidi w:val="0"/>
        <w:spacing w:before="120" w:after="0"/>
        <w:jc w:val="left"/>
        <w:rPr>
          <w:rFonts w:ascii="Times New Roman" w:hAnsi="Times New Roman"/>
          <w:sz w:val="20"/>
        </w:rPr>
      </w:pPr>
      <w:r>
        <w:rPr>
          <w:rFonts w:ascii="Times New Roman" w:hAnsi="Times New Roman"/>
          <w:sz w:val="20"/>
        </w:rPr>
        <w:t xml:space="preserve">If the depositary for a global security is DTC, you may hold interests in the global notes through Clearstream Banking S.A., which is referred to as “Clearstream, Luxembourg,” or Euroclear Bank S.A./N.V., as operator of the Euroclear System, which is referred to as “Euroclear,” in each case, as a participant in DTC. Euroclear and Clearstream, Luxembourg will hold interests, in each case, on behalf of their participants through customers’ securities accounts in the names of Euroclear and Clearstream, Luxembourg on the books of their respective depositaries, which in turn will hold such interests in customers’ securities in the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the notes made through Euroclear or Clearstream, Luxembourg must comply with the rules and procedures of those systems. Those systems could change their rules and procedures at any time. Autodesk has no control over those systems or their participants, and it takes no responsibility for their activities. Transactions between participants in Euroclear or Clearstream, Luxembourg, on the one hand, and other participants in DTC, on the other hand, would also be subject to DTC’s rules and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Investors will be able to make and receive through Euroclear and Clearstream, Luxembourg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of time-zone differences, U.S. investors who hold their interests in the notes through these systems and wish, on a particular day, to transfer their interests, or to receive or make a payment or delivery or exercise any other right with respect to their interests,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Luxembourg may need to make special arrangements to finance any purchase or sales of their interests between the U.S. and European clearing systems, and those transactions may settle later than transactions within one clearing system.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Regarding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is the trustee under the indenture and has also been appointed by Autodesk to act as registrar, transfer agent and paying agent for the notes. Autodesk and its affiliates maintain various commercial and service relationships with the trustee and its affiliates in the ordinary course of business, including asset and investment management and insurance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tx110760_8"/>
      <w:bookmarkEnd w:id="10"/>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material U.S. federal income tax considerations generally applicable to holders that acquire notes pursuant to this offering. The information provided below is based on the Internal Revenue Code of 1986, as amended, or the Code, and U.S. Treasury Regulations, rulings and judicial decisions as of the date hereof, all of which are subject to change or differing interpretations, possibly with retroactive effect. There can be no assurances that the Internal Revenue Service, or the IRS, will not challenge one or more of the tax consequences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generally applies only to beneficial owners of the notes that purchase their notes in this offering for cash equal to their original issue price, which is the first price at which a substantial amount of the notes of the applicable series is sold for money to investors (not including sales to bond houses, brokers or similar persons or organizations acting in the capacity of underwriters, placement agents or wholesalers), and that hold the notes as “capital assets” within the meaning of Section 1221 of the Code (generally, for investment). This discussion does not discuss all aspects of U.S. federal income taxation that may be relevant to a particular person or persons subject to special treatment under the U.S. federal income tax laws (such as financial institutions, broker-dealers, traders in securities that elect to use a mark-to-market method of accounting, regulated investment companies, real estate investment trusts, insurance companies, cooperatives, foreign controlled foreign corporations, controlled foreign corporations, passive foreign investment companies, persons required for U.S. federal income tax purposes to conform the timing of income accruals with respect to the notes to their financial statements under Section 451 of the Code, tax-exempt entities, tax-deferred or other retirement accounts, former citizens or long-term residents of the United States, or persons who are, or hold their notes through, partnerships or other pass-through entities), or to persons holding the notes as part of a hedging, conversion or integrated transaction for U.S. federal income tax purposes, or persons deemed to sell the notes under the constructive sale provisions of the Code, all of whom may be subject to tax rules that would differ from those summarized below. In addition, this discussion does not describe the effects of any other U.S. federal tax laws such as any alternative minimum tax, the Medicare contribution tax on net investment income, or estate and gift tax, nor the effects of any applicable non-U.S. or U.S. state and local laws. </w:t>
      </w:r>
    </w:p>
    <w:p>
      <w:pPr>
        <w:pStyle w:val="TextBody"/>
        <w:bidi w:val="0"/>
        <w:spacing w:before="240" w:after="0"/>
        <w:jc w:val="left"/>
        <w:rPr>
          <w:rFonts w:ascii="Times New Roman" w:hAnsi="Times New Roman"/>
          <w:sz w:val="20"/>
        </w:rPr>
      </w:pPr>
      <w:r>
        <w:rPr>
          <w:rFonts w:ascii="Times New Roman" w:hAnsi="Times New Roman"/>
          <w:sz w:val="20"/>
        </w:rPr>
        <w:t xml:space="preserve">Each prospective investor of the notes should consult their tax advisors as to the particular U.S. federal income tax considerations to them of owning and disposing of the notes as well as the effects of other U.S. federal tax laws or U.S. state and local and non-U.S. tax laws.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summary, a “U.S. holder” means a beneficial owner of a note that is for U.S. federal income tax purposes (1) an individual who is a citizen or resident of the United States, (2) a corporation (or an entity treated as a corporation for U.S. federal income tax purposes) created or organized in or under the laws of the United States, any state thereof or the District of Columbia, (3) an estate the income of which is subject to U.S. federal income taxation regardless of its source, or (4) a trust if (x) the trust is subject to the primary supervision of a U.S. court and the control of one or more “U.S. persons” (within the meaning of Section 7701(a)(30) of the Code) or (y) the trust has a valid election in effect under applicable U.S. Treasury Regulations to be treated as a U.S. person. A “non-U.S. holder” means a beneficial owner of a note that is not an entity or arrangement classified as a partnership for U.S. federal income tax purposes and that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a pass-through entity (including any entity or arrangement (U.S. or non-U.S.) that is treated as a partnership for U.S. federal income tax purposes) is a beneficial owner of a note, the tax treatment of a partner (or an owner) in the partnership or other entity will depend upon the status of the partner and the activities of the partner and the partnership or other entity. A beneficial owner of a note that is a partnership or a pass-through entity, and partners (or owners) in such partnership or pass- through entity, should consult their own tax advisors about the U.S. federal income tax consequences of owning and disposing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Additional Payments</w:t>
      </w:r>
    </w:p>
    <w:p>
      <w:pPr>
        <w:pStyle w:val="TextBody"/>
        <w:bidi w:val="0"/>
        <w:spacing w:before="120" w:after="0"/>
        <w:jc w:val="left"/>
        <w:rPr>
          <w:rFonts w:ascii="Times New Roman" w:hAnsi="Times New Roman"/>
          <w:sz w:val="20"/>
        </w:rPr>
      </w:pPr>
      <w:r>
        <w:rPr>
          <w:rFonts w:ascii="Times New Roman" w:hAnsi="Times New Roman"/>
          <w:sz w:val="20"/>
        </w:rPr>
        <w:t>We may be required under certain circumstances to make payments to holders of the notes in addition to payments of principal and stated interest. The obligation to make such payments may implicate the provisions of the U.S. Treasury Regulations relating to contingent payment debt instruments (commonly referred to as “CPDIs”). Under applicable U.S. Treasury Regulations, the possibility of such additional amounts being paid will not cause the notes to be treated as CPDIs if either: (i) such amounts would be paid pursuant to an unconditional option of the issuer that, if exercised, would cause the yield on the notes to increase (and the timing and amounts of the payments that comprise each alternative payment schedule are known as of the issue date of the notes), or (ii) as of the issue date of the notes, there is only a remote likelihood that these contingencies will occur or the amount of any additional payments under such contingencies is considered to be “incidental.” We intend to take the position that there is only a remote possibility that we would be required to make any additional payments on the notes, such as those described under “Description of Notes — Purchase of Notes upon Change of Control Repurchase Event” and/or that any such additional payments, if made, would be an incidental amount. Therefore, we do not intend to treat the notes as subject to the special rules governing CPDIs. Our determination in this regard, while not binding on the IRS, is binding on holders unless they disclose their contrary position in the manner required by applicable U.S. Treasury Regulations. If the IRS successfully asserted that the notes are subject to the rules governing CPDIs, the timing, amount and character of income recognized by a holder with respect to a note could be materially and adversely different from as described below. In the event a contingency occurs, it could affect the timing, amount and character of the income recognized by a holder. The discussion below assumes that the notes are not treated as CPDIs. In the event we pay additional amounts on the notes, holders should consult their tax advisors regarding the treatment of such amounts.</w:t>
      </w:r>
    </w:p>
    <w:p>
      <w:pPr>
        <w:pStyle w:val="TextBody"/>
        <w:bidi w:val="0"/>
        <w:spacing w:before="480" w:after="0"/>
        <w:jc w:val="center"/>
        <w:rPr>
          <w:rFonts w:ascii="Times New Roman" w:hAnsi="Times New Roman"/>
          <w:b/>
          <w:sz w:val="20"/>
        </w:rPr>
      </w:pPr>
      <w:r>
        <w:rPr>
          <w:rFonts w:ascii="Times New Roman" w:hAnsi="Times New Roman"/>
          <w:b/>
          <w:sz w:val="20"/>
        </w:rPr>
        <w:t xml:space="preserve">U.S. Holders </w:t>
      </w:r>
    </w:p>
    <w:p>
      <w:pPr>
        <w:pStyle w:val="TextBody"/>
        <w:bidi w:val="0"/>
        <w:spacing w:before="240" w:after="0"/>
        <w:jc w:val="left"/>
        <w:rPr>
          <w:rFonts w:ascii="Times New Roman" w:hAnsi="Times New Roman"/>
          <w:b/>
          <w:sz w:val="20"/>
        </w:rPr>
      </w:pPr>
      <w:r>
        <w:rPr>
          <w:rFonts w:ascii="Times New Roman" w:hAnsi="Times New Roman"/>
          <w:b/>
          <w:sz w:val="20"/>
        </w:rPr>
        <w:t xml:space="preserve">Taxation of Interest </w:t>
      </w:r>
    </w:p>
    <w:p>
      <w:pPr>
        <w:pStyle w:val="TextBody"/>
        <w:bidi w:val="0"/>
        <w:spacing w:before="120" w:after="0"/>
        <w:jc w:val="left"/>
        <w:rPr>
          <w:rFonts w:ascii="Times New Roman" w:hAnsi="Times New Roman"/>
          <w:sz w:val="20"/>
        </w:rPr>
      </w:pPr>
      <w:r>
        <w:rPr>
          <w:rFonts w:ascii="Times New Roman" w:hAnsi="Times New Roman"/>
          <w:sz w:val="20"/>
        </w:rPr>
        <w:t xml:space="preserve">A U.S. holder will be required to recognize as ordinary income any stated interest paid or accrued on the notes, in accordance with such holder’s regular method of tax accounting. In general, if the terms of a debt instrument entitle a holder to receive payments (other than fixed periodic interest) that exceed the issue price of the instrument by an amount that equals or exceeds a statutorily defined de minimis amount, a holder subject to U.S. federal income tax will be required to include such excess in income as “original issue discount” over the term of the instrument, irrespective of the holder’s regular method of tax accounting. We expect, and this summary assumes, that the notes will be issued with less than a “de minimis amount” of original issue discount (as such terms are used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Sale, Exchange, Redemption, Retirement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A U.S. holder generally will recognize taxable gain or loss if the holder disposes of a note in a sale, exchange, redemption, retirement or other taxable disposition, including discharges of the notes within one year of maturity or redemption, as described under “Description of Senior Debt Securities — Satisfaction and Discharge” in the accompanying prospectus. The U.S. holder’s gain or loss generally will equal the difference between the proceeds received by the holder (other than amounts attributable to accrued but unpaid interest, which will be taxed as described below) and the holder’s tax basis in the note. The U.S. holder’s tax basis in a note generally will equal the amount the holder paid for the note. The portion of any proceeds that is attributable to accrued interest will not be taken into account in computing the U.S. holder’s taxable gain or loss. Instead, that portion will be recognized as ordinary interest income to the extent that the U.S. holder has not previously included the accrued interest in income. Any gain or loss recognized by a U.S. holder on a disposition of the note will generally be capital gain or loss and will be long-term capital gain or loss if the holder has held the note for more than one year, or short-term capital gain or loss if the holder has held the note for one year or less, at the time of the disposition. Long-term capital gains of non-corporate U.S. holders generally are eligible for reduced rates of taxation. Short-term capital gains are taxed at ordinary income rates. The deductibility of capital losses is subject to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Non-U.S. Holders</w:t>
      </w:r>
    </w:p>
    <w:p>
      <w:pPr>
        <w:pStyle w:val="TextBody"/>
        <w:bidi w:val="0"/>
        <w:spacing w:before="240" w:after="0"/>
        <w:jc w:val="left"/>
        <w:rPr>
          <w:rFonts w:ascii="Times New Roman" w:hAnsi="Times New Roman"/>
          <w:b/>
          <w:sz w:val="20"/>
        </w:rPr>
      </w:pPr>
      <w:r>
        <w:rPr>
          <w:rFonts w:ascii="Times New Roman" w:hAnsi="Times New Roman"/>
          <w:b/>
          <w:sz w:val="20"/>
        </w:rPr>
        <w:t xml:space="preserve">Taxation of Interest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will generally not be subject to U.S. federal income and withholding tax on interest received in respect of the notes, provided that (1) such interest is not effectively connected with the conduct of a U.S. trade or business by such non-U.S. holder, and (2) such holder (i) does not own, actually or constructively, 10% or more of the total combined voting power of all classes of our stock entitled to vote; (ii) is not a “controlled foreign corporation” within the meaning of Section 957(a) of the Code that is related, directly or indirectly, to us through sufficient stock ownership; and (iii) certifies under penalties of perjury that it is not a U.S. person (generally through the provision of a properly executed IRS Form W-8BEN, IRS Form W-8BEN-E or other appropriate form to us or the applicable withholding agent prior to the payment) or satisfies certain other certification requirements and provided that no withholding is required pursuant to FATCA or the backup withholding provisions of the Code (discussed below under ““—Non-U.S. Holders—FATCA withholding requirements” and “—Backup Withholding and Information Reporting”). If interest on the notes is not effectively connected with the conduct of a U.S. trade or business by a non-U.S. holder but such non-U.S. holder does not meet the above criteria, interest on the notes will be subject to U.S. federal withholding tax at a rate of 30% unless the withholding tax rate is reduced or eliminated by an applicable income tax treaty and such non-U.S. holder is a qualified resident of the treaty country and complies with certain certification requirements. A non-U.S. holder can meet this treaty certification requirement by providing a properly executed IRS Form W-8BEN, IRS Form W-8BEN-E or other appropriate or successor form to the applicable withholding agent prior to the payment. If a non-U.S. holder holds a note through a financial institution or other agent acting on the holder’s behalf, the holder will be required to provide appropriate documentation to the agent. The non-U.S. holder’s agent may be required to provide certification to another withholding agent, either directly or through other intermediaries. </w:t>
      </w:r>
    </w:p>
    <w:p>
      <w:pPr>
        <w:pStyle w:val="TextBody"/>
        <w:bidi w:val="0"/>
        <w:spacing w:before="240" w:after="0"/>
        <w:jc w:val="left"/>
        <w:rPr>
          <w:rFonts w:ascii="Times New Roman" w:hAnsi="Times New Roman"/>
          <w:sz w:val="20"/>
        </w:rPr>
      </w:pPr>
      <w:r>
        <w:rPr>
          <w:rFonts w:ascii="Times New Roman" w:hAnsi="Times New Roman"/>
          <w:sz w:val="20"/>
        </w:rPr>
        <w:t xml:space="preserve">If interest on the notes is effectively connected with the conduct of a U.S. trade or business of the non-U.S. holder, and, if required by an applicable income tax treaty, such interest is attributable to a U.S. permanent establishment or fixed base of the non-U.S. holder, then the non-U.S. holder will generally be subject to U.S. federal income tax on the receipt or accrual of such interest on a net income basis in the same manner as if it were a U.S. person. In addition, if such non-U.S. holder is a non-U.S. corporation, it may be subject to an additional branch profits tax equal to 30% (or lower applicable treaty rate) of its effectively connected earnings and profits for the taxable year, subject to adjustments. Any such interest will not, however, be subject to withholding tax described above, if the non-U.S. holder delivers a properly executed IRS Form W-8ECI in order to claim an exemption from withholding tax. Such holders are urged to consult their tax advisors concerning the U.S. federal income tax consequences to them of the ownership and disposition of the notes as well as the application of U.S. state and local and non-U.S. income and other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Sale, exchange, redemption, retirement or other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under ““—Non-U.S. Holders—FATCA withholding requirements” and “—Backup Withholding and Information Reporting,” non-U.S. holders will not generally be subject to U.S. federal income taxation with respect to gain realized on the sale, exchange, redemption, retirement or other disposition of the notes (other than with respect to payments attributable to accrued but unpaid interest, which will generally be taxed as described under ““—Non-U.S. Holders—Taxation of Interest” above),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holds the note in connection with the conduct of a U.S. trade or business (and, generally, if the non-U.S. holder is eligible for the benefits of an applicable tax treaty, the gain is attributable to a U.S. permanent establishment or fixed base maintained by the non-U.S. holder), in which case such gain would be taxed on a net income basis in the same manner as interest that is effectively connected with the non-U.S. holder’s conduct of a trade or business within the United States as described above; or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a period or periods aggregating 183 days or more in the year of the disposition and certain other conditions apply, in which case, except as otherwise provided by an applicable income tax treaty, the gain, which may be offset by certain U.S. source capital losses, would be subject to a flat 30% U.S. federal income tax, even though the individual is not considered a resident of the United States.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FATCA withholding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Foreign Account Tax Compliance Act and related U.S. Treasury guidance (commonly referred to as “FATCA”) impose U.S. federal withholding tax at a rate of 30% in certain circumstances on interest and, subject to the proposed U.S. Treasury Regulations discussed below, the gross proceeds of a sale or other disposition of notes that produce interest, in each case paid in respect of notes held by or through certain non-U.S. financial institutions (including investment funds) (whether as beneficial owner or intermediary), unless such institution (i) enters into, and complies with, an agreement with the IRS to report, on an annual basis, information with respect to interests in, and accounts maintained by, the institution that are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applicable foreign country may modify these requirements. Accordingly, the entity through which the notes are held will affect the determination of whether such withholding is required. Interest and, subject to the proposed U.S. Treasury Regulations discussed below, the gross proceeds of a sale or other disposition of notes that produce interest, in each case paid in respect of notes held by an investor that is a non-financial non-U.S. entity (whether as beneficial owner or intermediary) that does not qualify under certain exemptions will generally be subject to withholding at a rate of 30%, unless such entity either (i) certifies to us or the applicable withholding agent that such entity does not have any “substantial U.S. owners,” or (ii) provides certain information regarding the entity’s “substantial U.S. owners,” which we or the applicable withholding agent, in turn, will provide to the U.S. Treasury. Under proposed U.S. Treasury Regulations that may be relied upon pending finalization, the withholding tax on gross proceeds would be eliminated and, consequently, FATCA withholding on gross proceeds is not currently expected to apply. </w:t>
      </w:r>
    </w:p>
    <w:p>
      <w:pPr>
        <w:pStyle w:val="TextBody"/>
        <w:bidi w:val="0"/>
        <w:spacing w:before="480" w:after="0"/>
        <w:jc w:val="center"/>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240" w:after="0"/>
        <w:jc w:val="left"/>
        <w:rPr>
          <w:rFonts w:ascii="Times New Roman" w:hAnsi="Times New Roman"/>
          <w:sz w:val="20"/>
        </w:rPr>
      </w:pPr>
      <w:r>
        <w:rPr>
          <w:rFonts w:ascii="Times New Roman" w:hAnsi="Times New Roman"/>
          <w:sz w:val="20"/>
        </w:rPr>
        <w:t>The Code and the U.S. Treasury Regulations require those who make specified payments to report the payments to the IRS. Among the specified payments are interest and proceeds from a sale or other disposition (including a retirement or redemption) of the notes paid by brokers to their customers. This reporting regime is reinforced by “backup withholding” rules, which generally require the payor to withhold from payments subject to information reporting if the recipient has failed to provide a taxpayer identification number to the payor, furnished an incorrect taxpayer identification number, or repeatedly failed to report interest or dividends on tax returns. The backup withholding rate is currently 24%.</w:t>
      </w:r>
    </w:p>
    <w:p>
      <w:pPr>
        <w:pStyle w:val="TextBody"/>
        <w:bidi w:val="0"/>
        <w:spacing w:before="240" w:after="0"/>
        <w:jc w:val="left"/>
        <w:rPr>
          <w:rFonts w:ascii="Times New Roman" w:hAnsi="Times New Roman"/>
          <w:sz w:val="20"/>
        </w:rPr>
      </w:pPr>
      <w:r>
        <w:rPr>
          <w:rFonts w:ascii="Times New Roman" w:hAnsi="Times New Roman"/>
          <w:sz w:val="20"/>
        </w:rPr>
        <w:t xml:space="preserve">Payments of interest to U.S. holders and payments made to U.S. holders by a broker upon a sale or other disposition (including a retirement or redemption) of the notes generally will be subject to information reporting and backup withholding, unless (1) the holder is an exempt payee, such as a corporation, or (2) in the case of backup withholding, the holder provides the payor with a correct taxpayer identification number and complies with applicable certification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Payors must report annually to the IRS the interest paid to each non-U.S. holder and the tax withheld, if any, with respect to such interest, including any tax withheld pursuant to the rules described under “—Non-U.S. Holders—Taxation of Interest” above. Copies of these reports may be made available to tax authorities in the country where the non-U.S. holder resides. Payments to non-U.S. holders of interest on the notes may be subject to backup withholding unless the non-U.S. holder certifies its non-U.S. status on a properly executed IRS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W-8BEN, IRS Form W-8BEN-E or other appropriate or successor form. Payments made to non-U.S. holders by a broker upon a sale or disposition (including a retirement or redemption) of the notes will not be subject to information reporting or backup withholding as long as the non-U.S. holder certifies its non-U.S. status or otherwise establishes an exemption. If a sale or other disposition is made through a foreign office of a foreign broker, however, the sale or other disposition will generally not be subject to either information reporting or backup withholding as long as the non-U.S. holder certifies its non-U.S. status or otherwise establishes an exemption. This exception may not apply if the foreign broker is owned or controlled by U.S. persons, or is engaged in a U.S. trade or business.</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from a payment to a non-U.S. holder of notes under the backup withholding rules generally may be credited against any U.S. federal income tax liability of the holder, which may entitle the holder to a refund, provided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The preceding discussion of material U.S. federal income tax considerations is for general information purposes only and is not tax advice. Prospective investors should consult their tax advisors regarding the possible implications of these rules on an investment in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ptx110760_9"/>
      <w:bookmarkEnd w:id="11"/>
      <w:r>
        <w:rPr>
          <w:rFonts w:ascii="Times New Roman" w:hAnsi="Times New Roman"/>
          <w:b/>
          <w:sz w:val="20"/>
        </w:rPr>
        <w:t xml:space="preserve">UNDERWRITING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and subject to the conditions contained in an underwriting agreement dated the date of this prospectus supplement, the underwriters named below, for whom Morgan Stanley &amp; Co. LLC, BNP Paribas Securities Corp., and Citigroup Global Markets Inc. are acting as representatives, have severally agreed to purchase, and we have agreed to sell to them, severally and not jointly, the principal amount of notes set forth opposite their names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81"/>
        <w:gridCol w:w="388"/>
        <w:gridCol w:w="140"/>
        <w:gridCol w:w="1397"/>
        <w:gridCol w:w="60"/>
        <w:gridCol w:w="388"/>
        <w:gridCol w:w="140"/>
        <w:gridCol w:w="1397"/>
        <w:gridCol w:w="64"/>
      </w:tblGrid>
      <w:tr>
        <w:trPr/>
        <w:tc>
          <w:tcPr>
            <w:tcW w:w="3781"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8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388" w:type="dxa"/>
            <w:tcBorders/>
            <w:vAlign w:val="bottom"/>
          </w:tcPr>
          <w:p>
            <w:pPr>
              <w:pStyle w:val="TableContents"/>
              <w:bidi w:val="0"/>
              <w:spacing w:before="0" w:after="283"/>
              <w:jc w:val="left"/>
              <w:rPr/>
            </w:pPr>
            <w:r>
              <w:rPr/>
              <w:t>  </w:t>
            </w:r>
          </w:p>
        </w:tc>
        <w:tc>
          <w:tcPr>
            <w:tcW w:w="15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the 2029 Notes</w:t>
              <w:br/>
              <w:t>to be Purchased</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5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the 2033 Notes</w:t>
              <w:br/>
              <w:t>to be Purchased</w:t>
            </w:r>
          </w:p>
        </w:tc>
        <w:tc>
          <w:tcPr>
            <w:tcW w:w="64" w:type="dxa"/>
            <w:tcBorders/>
            <w:vAlign w:val="bottom"/>
          </w:tcPr>
          <w:p>
            <w:pPr>
              <w:pStyle w:val="TableContents"/>
              <w:bidi w:val="0"/>
              <w:spacing w:before="0" w:after="283"/>
              <w:jc w:val="left"/>
              <w:rPr/>
            </w:pPr>
            <w:r>
              <w:rPr/>
              <w:t> </w:t>
            </w:r>
          </w:p>
        </w:tc>
      </w:tr>
      <w:tr>
        <w:trPr/>
        <w:tc>
          <w:tcPr>
            <w:tcW w:w="3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127,500,000</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127,500,000</w:t>
            </w:r>
          </w:p>
        </w:tc>
        <w:tc>
          <w:tcPr>
            <w:tcW w:w="64" w:type="dxa"/>
            <w:tcBorders/>
            <w:shd w:fill="CCEEFF" w:val="clear"/>
            <w:vAlign w:val="bottom"/>
          </w:tcPr>
          <w:p>
            <w:pPr>
              <w:pStyle w:val="TableContents"/>
              <w:bidi w:val="0"/>
              <w:spacing w:before="0" w:after="283"/>
              <w:jc w:val="left"/>
              <w:rPr/>
            </w:pPr>
            <w:r>
              <w:rPr/>
              <w:t> </w:t>
            </w:r>
          </w:p>
        </w:tc>
      </w:tr>
      <w:tr>
        <w:trPr/>
        <w:tc>
          <w:tcPr>
            <w:tcW w:w="3781" w:type="dxa"/>
            <w:tcBorders/>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97" w:type="dxa"/>
            <w:tcBorders/>
            <w:vAlign w:val="bottom"/>
          </w:tcPr>
          <w:p>
            <w:pPr>
              <w:pStyle w:val="TableContents"/>
              <w:bidi w:val="0"/>
              <w:spacing w:before="0" w:after="283"/>
              <w:jc w:val="right"/>
              <w:rPr/>
            </w:pPr>
            <w:r>
              <w:rPr/>
              <w:t>87,500,000</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97" w:type="dxa"/>
            <w:tcBorders/>
            <w:vAlign w:val="bottom"/>
          </w:tcPr>
          <w:p>
            <w:pPr>
              <w:pStyle w:val="TableContents"/>
              <w:bidi w:val="0"/>
              <w:spacing w:before="0" w:after="283"/>
              <w:jc w:val="right"/>
              <w:rPr/>
            </w:pPr>
            <w:r>
              <w:rPr/>
              <w:t>87,500,000</w:t>
            </w:r>
          </w:p>
        </w:tc>
        <w:tc>
          <w:tcPr>
            <w:tcW w:w="64" w:type="dxa"/>
            <w:tcBorders/>
            <w:vAlign w:val="bottom"/>
          </w:tcPr>
          <w:p>
            <w:pPr>
              <w:pStyle w:val="TableContents"/>
              <w:bidi w:val="0"/>
              <w:spacing w:before="0" w:after="283"/>
              <w:jc w:val="left"/>
              <w:rPr/>
            </w:pPr>
            <w:r>
              <w:rPr/>
              <w:t> </w:t>
            </w:r>
          </w:p>
        </w:tc>
      </w:tr>
      <w:tr>
        <w:trPr/>
        <w:tc>
          <w:tcPr>
            <w:tcW w:w="3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100,000,000</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100,000,000</w:t>
            </w:r>
          </w:p>
        </w:tc>
        <w:tc>
          <w:tcPr>
            <w:tcW w:w="64" w:type="dxa"/>
            <w:tcBorders/>
            <w:shd w:fill="CCEEFF" w:val="clear"/>
            <w:vAlign w:val="bottom"/>
          </w:tcPr>
          <w:p>
            <w:pPr>
              <w:pStyle w:val="TableContents"/>
              <w:bidi w:val="0"/>
              <w:spacing w:before="0" w:after="283"/>
              <w:jc w:val="left"/>
              <w:rPr/>
            </w:pPr>
            <w:r>
              <w:rPr/>
              <w:t> </w:t>
            </w:r>
          </w:p>
        </w:tc>
      </w:tr>
      <w:tr>
        <w:trPr/>
        <w:tc>
          <w:tcPr>
            <w:tcW w:w="3781"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97" w:type="dxa"/>
            <w:tcBorders/>
            <w:vAlign w:val="bottom"/>
          </w:tcPr>
          <w:p>
            <w:pPr>
              <w:pStyle w:val="TableContents"/>
              <w:bidi w:val="0"/>
              <w:spacing w:before="0" w:after="283"/>
              <w:jc w:val="right"/>
              <w:rPr/>
            </w:pPr>
            <w:r>
              <w:rPr/>
              <w:t>42,500,000</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97" w:type="dxa"/>
            <w:tcBorders/>
            <w:vAlign w:val="bottom"/>
          </w:tcPr>
          <w:p>
            <w:pPr>
              <w:pStyle w:val="TableContents"/>
              <w:bidi w:val="0"/>
              <w:spacing w:before="0" w:after="283"/>
              <w:jc w:val="right"/>
              <w:rPr/>
            </w:pPr>
            <w:r>
              <w:rPr/>
              <w:t>42,500,000</w:t>
            </w:r>
          </w:p>
        </w:tc>
        <w:tc>
          <w:tcPr>
            <w:tcW w:w="64" w:type="dxa"/>
            <w:tcBorders/>
            <w:vAlign w:val="bottom"/>
          </w:tcPr>
          <w:p>
            <w:pPr>
              <w:pStyle w:val="TableContents"/>
              <w:bidi w:val="0"/>
              <w:spacing w:before="0" w:after="283"/>
              <w:jc w:val="left"/>
              <w:rPr/>
            </w:pPr>
            <w:r>
              <w:rPr/>
              <w:t> </w:t>
            </w:r>
          </w:p>
        </w:tc>
      </w:tr>
      <w:tr>
        <w:trPr/>
        <w:tc>
          <w:tcPr>
            <w:tcW w:w="3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42,500,000</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42,500,000</w:t>
            </w:r>
          </w:p>
        </w:tc>
        <w:tc>
          <w:tcPr>
            <w:tcW w:w="64" w:type="dxa"/>
            <w:tcBorders/>
            <w:shd w:fill="CCEEFF" w:val="clear"/>
            <w:vAlign w:val="bottom"/>
          </w:tcPr>
          <w:p>
            <w:pPr>
              <w:pStyle w:val="TableContents"/>
              <w:bidi w:val="0"/>
              <w:spacing w:before="0" w:after="283"/>
              <w:jc w:val="left"/>
              <w:rPr/>
            </w:pPr>
            <w:r>
              <w:rPr/>
              <w:t> </w:t>
            </w:r>
          </w:p>
        </w:tc>
      </w:tr>
      <w:tr>
        <w:trPr/>
        <w:tc>
          <w:tcPr>
            <w:tcW w:w="3781"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97" w:type="dxa"/>
            <w:tcBorders/>
            <w:vAlign w:val="bottom"/>
          </w:tcPr>
          <w:p>
            <w:pPr>
              <w:pStyle w:val="TableContents"/>
              <w:bidi w:val="0"/>
              <w:spacing w:before="0" w:after="283"/>
              <w:jc w:val="right"/>
              <w:rPr/>
            </w:pPr>
            <w:r>
              <w:rPr/>
              <w:t>25,000,000</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97" w:type="dxa"/>
            <w:tcBorders/>
            <w:vAlign w:val="bottom"/>
          </w:tcPr>
          <w:p>
            <w:pPr>
              <w:pStyle w:val="TableContents"/>
              <w:bidi w:val="0"/>
              <w:spacing w:before="0" w:after="283"/>
              <w:jc w:val="right"/>
              <w:rPr/>
            </w:pPr>
            <w:r>
              <w:rPr/>
              <w:t>25,000,000</w:t>
            </w:r>
          </w:p>
        </w:tc>
        <w:tc>
          <w:tcPr>
            <w:tcW w:w="64" w:type="dxa"/>
            <w:tcBorders/>
            <w:vAlign w:val="bottom"/>
          </w:tcPr>
          <w:p>
            <w:pPr>
              <w:pStyle w:val="TableContents"/>
              <w:bidi w:val="0"/>
              <w:spacing w:before="0" w:after="283"/>
              <w:jc w:val="left"/>
              <w:rPr/>
            </w:pPr>
            <w:r>
              <w:rPr/>
              <w:t> </w:t>
            </w:r>
          </w:p>
        </w:tc>
      </w:tr>
      <w:tr>
        <w:trPr/>
        <w:tc>
          <w:tcPr>
            <w:tcW w:w="3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25,000,000</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25,000,000</w:t>
            </w:r>
          </w:p>
        </w:tc>
        <w:tc>
          <w:tcPr>
            <w:tcW w:w="64" w:type="dxa"/>
            <w:tcBorders/>
            <w:shd w:fill="CCEEFF" w:val="clear"/>
            <w:vAlign w:val="bottom"/>
          </w:tcPr>
          <w:p>
            <w:pPr>
              <w:pStyle w:val="TableContents"/>
              <w:bidi w:val="0"/>
              <w:spacing w:before="0" w:after="283"/>
              <w:jc w:val="left"/>
              <w:rPr/>
            </w:pPr>
            <w:r>
              <w:rPr/>
              <w:t> </w:t>
            </w:r>
          </w:p>
        </w:tc>
      </w:tr>
      <w:tr>
        <w:trPr/>
        <w:tc>
          <w:tcPr>
            <w:tcW w:w="3781" w:type="dxa"/>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97" w:type="dxa"/>
            <w:tcBorders/>
            <w:vAlign w:val="bottom"/>
          </w:tcPr>
          <w:p>
            <w:pPr>
              <w:pStyle w:val="TableContents"/>
              <w:bidi w:val="0"/>
              <w:spacing w:before="0" w:after="283"/>
              <w:jc w:val="right"/>
              <w:rPr/>
            </w:pPr>
            <w:r>
              <w:rPr/>
              <w:t>25,000,000</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97" w:type="dxa"/>
            <w:tcBorders/>
            <w:vAlign w:val="bottom"/>
          </w:tcPr>
          <w:p>
            <w:pPr>
              <w:pStyle w:val="TableContents"/>
              <w:bidi w:val="0"/>
              <w:spacing w:before="0" w:after="283"/>
              <w:jc w:val="right"/>
              <w:rPr/>
            </w:pPr>
            <w:r>
              <w:rPr/>
              <w:t>25,000,000</w:t>
            </w:r>
          </w:p>
        </w:tc>
        <w:tc>
          <w:tcPr>
            <w:tcW w:w="64" w:type="dxa"/>
            <w:tcBorders/>
            <w:vAlign w:val="bottom"/>
          </w:tcPr>
          <w:p>
            <w:pPr>
              <w:pStyle w:val="TableContents"/>
              <w:bidi w:val="0"/>
              <w:spacing w:before="0" w:after="283"/>
              <w:jc w:val="left"/>
              <w:rPr/>
            </w:pPr>
            <w:r>
              <w:rPr/>
              <w:t> </w:t>
            </w:r>
          </w:p>
        </w:tc>
      </w:tr>
      <w:tr>
        <w:trPr/>
        <w:tc>
          <w:tcPr>
            <w:tcW w:w="37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25,000,000</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25,000,000</w:t>
            </w:r>
          </w:p>
        </w:tc>
        <w:tc>
          <w:tcPr>
            <w:tcW w:w="64" w:type="dxa"/>
            <w:tcBorders/>
            <w:shd w:fill="CCEEFF" w:val="clear"/>
            <w:vAlign w:val="bottom"/>
          </w:tcPr>
          <w:p>
            <w:pPr>
              <w:pStyle w:val="TableContents"/>
              <w:bidi w:val="0"/>
              <w:spacing w:before="0" w:after="283"/>
              <w:jc w:val="left"/>
              <w:rPr/>
            </w:pPr>
            <w:r>
              <w:rPr/>
              <w:t> </w:t>
            </w:r>
          </w:p>
        </w:tc>
      </w:tr>
      <w:tr>
        <w:trPr/>
        <w:tc>
          <w:tcPr>
            <w:tcW w:w="3781"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9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8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97" w:type="dxa"/>
            <w:tcBorders/>
            <w:vAlign w:val="bottom"/>
          </w:tcPr>
          <w:p>
            <w:pPr>
              <w:pStyle w:val="TableContents"/>
              <w:bidi w:val="0"/>
              <w:spacing w:before="0" w:after="283"/>
              <w:jc w:val="right"/>
              <w:rPr/>
            </w:pPr>
            <w:r>
              <w:rPr/>
              <w:t>500,000,000</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97" w:type="dxa"/>
            <w:tcBorders/>
            <w:vAlign w:val="bottom"/>
          </w:tcPr>
          <w:p>
            <w:pPr>
              <w:pStyle w:val="TableContents"/>
              <w:bidi w:val="0"/>
              <w:spacing w:before="0" w:after="283"/>
              <w:jc w:val="right"/>
              <w:rPr/>
            </w:pPr>
            <w:r>
              <w:rPr/>
              <w:t>500,000,000</w:t>
            </w:r>
          </w:p>
        </w:tc>
        <w:tc>
          <w:tcPr>
            <w:tcW w:w="64" w:type="dxa"/>
            <w:tcBorders/>
            <w:vAlign w:val="bottom"/>
          </w:tcPr>
          <w:p>
            <w:pPr>
              <w:pStyle w:val="TableContents"/>
              <w:bidi w:val="0"/>
              <w:spacing w:before="0" w:after="283"/>
              <w:jc w:val="left"/>
              <w:rPr/>
            </w:pPr>
            <w:r>
              <w:rPr/>
              <w:t> </w:t>
            </w:r>
          </w:p>
        </w:tc>
      </w:tr>
      <w:tr>
        <w:trPr/>
        <w:tc>
          <w:tcPr>
            <w:tcW w:w="3781"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9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notes subject to their acceptance of the notes from us, subject to prior sale and subject to the underwriters’ right to reject any order in whole or in part. The underwriting agreement provides that the obligations of the several underwriters to pay for and accept delivery of the notes offered by this prospectus supplement are subject to the approval of certain legal matters by their counsel and to certain other conditions. The underwriters are obligated to take and pay for all of the notes offered by this prospectus supplement if any such notes are taken.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initially propose to offer part of the notes directly to the public at the public offering price set forth on the cover page of this prospectus supplement and part to certain dealers at a price that represents a concession not in excess of 0.270% of the principal amount of the 2029 notes and 0.375% of the principal amount of the 2033 notes. Any such dealers may resell any notes purchased from the underwriters to certain other brokers or dealers at a discount not to exceed 0.180% of the principal amount of the 2029 notes and 0.250% of the principal amount of the 2033 notes. After the initial offering of the notes, the offering prices and other selling terms may from time to time be varied by the representatives. The underwriters may offer and sell notes through certain of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underwriting discounts that we will pay to the underwriters in connection with this offering: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00"/>
        <w:gridCol w:w="537"/>
        <w:gridCol w:w="140"/>
        <w:gridCol w:w="982"/>
        <w:gridCol w:w="280"/>
      </w:tblGrid>
      <w:tr>
        <w:trPr/>
        <w:tc>
          <w:tcPr>
            <w:tcW w:w="5000" w:type="dxa"/>
            <w:tcBorders/>
            <w:vAlign w:val="center"/>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500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by</w:t>
              <w:br/>
              <w:t>Us</w:t>
            </w:r>
          </w:p>
        </w:tc>
        <w:tc>
          <w:tcPr>
            <w:tcW w:w="280" w:type="dxa"/>
            <w:tcBorders/>
            <w:vAlign w:val="bottom"/>
          </w:tcPr>
          <w:p>
            <w:pPr>
              <w:pStyle w:val="TableContents"/>
              <w:bidi w:val="0"/>
              <w:spacing w:before="0" w:after="283"/>
              <w:jc w:val="left"/>
              <w:rPr/>
            </w:pPr>
            <w:r>
              <w:rPr/>
              <w:t> </w:t>
            </w:r>
          </w:p>
        </w:tc>
      </w:tr>
      <w:tr>
        <w:trPr/>
        <w:tc>
          <w:tcPr>
            <w:tcW w:w="5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2029 note</w:t>
            </w:r>
          </w:p>
        </w:tc>
        <w:tc>
          <w:tcPr>
            <w:tcW w:w="5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0.450</w:t>
            </w:r>
          </w:p>
        </w:tc>
        <w:tc>
          <w:tcPr>
            <w:tcW w:w="280" w:type="dxa"/>
            <w:tcBorders/>
            <w:shd w:fill="CCEEFF" w:val="clear"/>
            <w:vAlign w:val="bottom"/>
          </w:tcPr>
          <w:p>
            <w:pPr>
              <w:pStyle w:val="TableContents"/>
              <w:bidi w:val="0"/>
              <w:spacing w:before="0" w:after="283"/>
              <w:jc w:val="left"/>
              <w:rPr/>
            </w:pPr>
            <w:r>
              <w:rPr/>
              <w:t>% </w:t>
            </w:r>
          </w:p>
        </w:tc>
      </w:tr>
      <w:tr>
        <w:trPr/>
        <w:tc>
          <w:tcPr>
            <w:tcW w:w="5000" w:type="dxa"/>
            <w:tcBorders/>
          </w:tcPr>
          <w:p>
            <w:pPr>
              <w:pStyle w:val="TableContents"/>
              <w:bidi w:val="0"/>
              <w:spacing w:before="0" w:after="0"/>
              <w:jc w:val="left"/>
              <w:rPr>
                <w:rFonts w:ascii="Times New Roman" w:hAnsi="Times New Roman"/>
                <w:sz w:val="20"/>
              </w:rPr>
            </w:pPr>
            <w:r>
              <w:rPr>
                <w:rFonts w:ascii="Times New Roman" w:hAnsi="Times New Roman"/>
                <w:sz w:val="20"/>
              </w:rPr>
              <w:t>2029 notes total</w:t>
            </w:r>
          </w:p>
        </w:tc>
        <w:tc>
          <w:tcPr>
            <w:tcW w:w="5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2,250,000</w:t>
            </w:r>
          </w:p>
        </w:tc>
        <w:tc>
          <w:tcPr>
            <w:tcW w:w="280" w:type="dxa"/>
            <w:tcBorders/>
            <w:vAlign w:val="bottom"/>
          </w:tcPr>
          <w:p>
            <w:pPr>
              <w:pStyle w:val="TableContents"/>
              <w:bidi w:val="0"/>
              <w:spacing w:before="0" w:after="283"/>
              <w:jc w:val="left"/>
              <w:rPr/>
            </w:pPr>
            <w:r>
              <w:rPr/>
              <w:t> </w:t>
            </w:r>
          </w:p>
        </w:tc>
      </w:tr>
      <w:tr>
        <w:trPr/>
        <w:tc>
          <w:tcPr>
            <w:tcW w:w="5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2033 note</w:t>
            </w:r>
          </w:p>
        </w:tc>
        <w:tc>
          <w:tcPr>
            <w:tcW w:w="5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0.625</w:t>
            </w:r>
          </w:p>
        </w:tc>
        <w:tc>
          <w:tcPr>
            <w:tcW w:w="280" w:type="dxa"/>
            <w:tcBorders/>
            <w:shd w:fill="CCEEFF" w:val="clear"/>
            <w:vAlign w:val="bottom"/>
          </w:tcPr>
          <w:p>
            <w:pPr>
              <w:pStyle w:val="TableContents"/>
              <w:bidi w:val="0"/>
              <w:spacing w:before="0" w:after="283"/>
              <w:jc w:val="left"/>
              <w:rPr/>
            </w:pPr>
            <w:r>
              <w:rPr/>
              <w:t>% </w:t>
            </w:r>
          </w:p>
        </w:tc>
      </w:tr>
      <w:tr>
        <w:trPr/>
        <w:tc>
          <w:tcPr>
            <w:tcW w:w="5000" w:type="dxa"/>
            <w:tcBorders/>
          </w:tcPr>
          <w:p>
            <w:pPr>
              <w:pStyle w:val="TableContents"/>
              <w:bidi w:val="0"/>
              <w:spacing w:before="0" w:after="0"/>
              <w:jc w:val="left"/>
              <w:rPr>
                <w:rFonts w:ascii="Times New Roman" w:hAnsi="Times New Roman"/>
                <w:sz w:val="20"/>
              </w:rPr>
            </w:pPr>
            <w:r>
              <w:rPr>
                <w:rFonts w:ascii="Times New Roman" w:hAnsi="Times New Roman"/>
                <w:sz w:val="20"/>
              </w:rPr>
              <w:t>2033 notes total</w:t>
            </w:r>
          </w:p>
        </w:tc>
        <w:tc>
          <w:tcPr>
            <w:tcW w:w="5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3,125,000</w:t>
            </w:r>
          </w:p>
        </w:tc>
        <w:tc>
          <w:tcPr>
            <w:tcW w:w="280" w:type="dxa"/>
            <w:tcBorders/>
            <w:vAlign w:val="bottom"/>
          </w:tcPr>
          <w:p>
            <w:pPr>
              <w:pStyle w:val="TableContents"/>
              <w:bidi w:val="0"/>
              <w:spacing w:before="0" w:after="283"/>
              <w:jc w:val="left"/>
              <w:rPr/>
            </w:pPr>
            <w:r>
              <w:rPr/>
              <w:t> </w:t>
            </w:r>
          </w:p>
        </w:tc>
      </w:tr>
      <w:tr>
        <w:trPr/>
        <w:tc>
          <w:tcPr>
            <w:tcW w:w="5000" w:type="dxa"/>
            <w:tcBorders/>
            <w:vAlign w:val="bottom"/>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2"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5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5,375,000</w:t>
            </w:r>
          </w:p>
        </w:tc>
        <w:tc>
          <w:tcPr>
            <w:tcW w:w="280" w:type="dxa"/>
            <w:tcBorders/>
            <w:shd w:fill="CCEEFF" w:val="clear"/>
            <w:vAlign w:val="bottom"/>
          </w:tcPr>
          <w:p>
            <w:pPr>
              <w:pStyle w:val="TableContents"/>
              <w:bidi w:val="0"/>
              <w:spacing w:before="0" w:after="283"/>
              <w:jc w:val="left"/>
              <w:rPr/>
            </w:pPr>
            <w:r>
              <w:rPr/>
              <w:t> </w:t>
            </w:r>
          </w:p>
        </w:tc>
      </w:tr>
      <w:tr>
        <w:trPr/>
        <w:tc>
          <w:tcPr>
            <w:tcW w:w="5000" w:type="dxa"/>
            <w:tcBorders/>
            <w:vAlign w:val="bottom"/>
          </w:tcPr>
          <w:p>
            <w:pPr>
              <w:pStyle w:val="TableContents"/>
              <w:bidi w:val="0"/>
              <w:spacing w:before="0" w:after="283"/>
              <w:jc w:val="left"/>
              <w:rPr>
                <w:sz w:val="4"/>
                <w:szCs w:val="4"/>
              </w:rPr>
            </w:pPr>
            <w:r>
              <w:rPr>
                <w:sz w:val="4"/>
                <w:szCs w:val="4"/>
              </w:rPr>
            </w:r>
          </w:p>
        </w:tc>
        <w:tc>
          <w:tcPr>
            <w:tcW w:w="5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2"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Expenses associated with this offering to be paid by us, other than the underwriting discounts, are estimated to be approximately $2.5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offering of the notes, the underwriters may engage in transactions that stabilize, maintain or otherwise affect the prices of the notes. Specifically, the underwriters may overallot in connection with the offering of the notes, creating a syndicate short position. In addition, the underwriters may bid for, and purchase, notes in the open market to cover syndicate short positions or to stabilize the prices of the notes. The underwriters may also impose a penalty bid. This occurs when a certain underwriter repays to the underwriters a portion of the underwriting discount received by it because the representatives have repurchased notes sold by or for the account of such underwriter in stabilizing or short covering transactions. 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prices of the notes above independent market levels. The underwriters are not required to engage in any of these activities, and may end any of them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which the underwriters may be required to make in respect of any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notes are a new issue of securities with no established trading market. We do not intend to apply for listing of the notes on any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For example, affiliates of certain of the underwriters are lenders or agents under our credit facilities. In addition, U.S. Bancorp Investments, Inc., one of the underwriters, is an affiliate of the trustee under the indenture governing the notes. The trustee also acts as registrar, transfer agent and paying agent for the notes.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If any of the underwriters or their respective affiliates have a lending relationship with us, certain of those underwriters or their respective affiliates routinely hedge, and certain other of those underwriters may hedge, their credit exposure to us consistent with their customary risk management policies. Typically, these underwriters and their respective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delivery of the notes will be made to investors on or about September 10, 2026, which will be the second business day following the date of this prospectus supplement (such settlement being referred to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T+2). Under Rule 15c6-1 under the Exchange Act, as amended, trades in the secondary market are required to settle in one business day, unless the parties to any such trade expressly agree otherwise. Accordingly, purchasers who wish to trade notes more than one business day prior to September 10, 2026 will be required, by virtue of the fact that the notes initially settle in T+2, to specify an alternate settlement arrangement to prevent a failed settlement. Purchasers of the notes who wish to trade the notes more than one business day prior to September 10, 2026 should consult their advisors.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our intended use of the net proceeds from this offering, certain of the underwriters and/or certain of their respective affiliates may receive more than 5% of the net proceeds of this offering, not including underwriting compensation, thus creating a conflict of interest within the meaning of FINRA Rule 5121. Accordingly, this offering is being made in compliance with the requirements of FINRA Rule 5121. The appointment of a ‘‘qualified independent underwriter’’ is not necessary in connection with this offering as the notes are investment grade rated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and the accompanying prospectus (including any amendment thereto) contain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the “MiFID II”); (ii) a customer within the meaning of Directive (EU) 2016/97 (as amended or superseded, the “Insurance Distribution Directive”), where that customer would not qualify 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or superseded,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the notes in any member state of the EEA will be made pursuant to an exemption under the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the requirement to publish a prospectus for offers of notes. This prospectus supplement and the accompanying prospectus are not a prospectus for the purposes of the Prospectus Regulation.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(the “EUWA”); (ii) a customer within the meaning of the provisions of the Financial Services and Markets Act 2000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have been prepared on the basis that the offering of the notes falls within one of the exceptions specified in Part 1 of Schedule 1 of the POATRs. Accordingly, there will not be a prospectus prepared or published for the purposes of the POATRs. Neither this prospectus supplement nor the accompanying prospectus is a prospectus for the purposes of the POATRs or the Financial Services and Markets Act 2000 (the “FSMA”), and any offer of the notes in the UK is made pursuant to an exemption under the POATRs or the FSMA.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have not been approved by an authorized person for the purposes of section 21 of the FSMA and accordingly, are only being distributed to, and must not be passed on to, the general public in the UK. In the UK, such documents are only directed at, persons who are (i) investment professionals falling within Article 19(5) of the Financial Services and Markets Act 2000 (Financial Promotion) Order 2005 (the “Order”), (ii) high net worth entities or other persons falling within Article 49(2)(a) to (d) of the Order, or (iii) other persons to whom they may otherwise lawfully be communicated (each such person being referred to as a “relevant person”). This prospectus supplement, the accompanying prospectus and their contents are confidential and should not be distributed, published or reproduced (in whole or in part) or disclosed by recipients to any other persons in the UK. Any investment or investment activity to which this prospectus supplement and the accompanying prospectus relate is available only to and will be engaged in only with relevant persons. Any person in the UK who is not a relevant person should not act or rely on this prospectus supplement and the accompanying prospectus or any of their contents.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notes may not be offered or sold in Hong Kong Special Administrative Region of the People’s Republic of China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contents of this document have not been reviewed by any regulatory authority in Hong Kong. You are advised to exercise caution in relation to the offering. If you are in any doubt about any of the contents of this document, you should obtain independent professional advice.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base prospectus relate to an Exempt Offer in accordance with the Offered Securities Rules of the Dubai Financial Services Authority (DFSA). This prospectus supplement and the accompanying base prospectus are intended for distribution only to persons of a type specified in the Markets Rules 2012 of the DFSA. They must not be delivered to, or relied on by, any other person. The DFSA has no responsibility for reviewing or verifying any documents in connection with Exempt Offers. The DFSA has not approved this prospectus supplement or the accompanying base prospectus nor taken steps to verify the information set forth herein and has no responsibility for the prospectus supplement or the accompanying base prospectus. The notes to which this prospectus supplement and the accompanying base prospectus relates may be illiquid and/or subject to restrictions on their resale. Prospective purchasers of the notes offered should conduct their own due diligence on the notes. If you do not understand the contents of this prospectus supplement or the accompanying base prospectus you should consult an authorized financial advisor.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base prospectus have not been registered as a prospectus with the Monetary Authority of Singapore. Accordingly, the underwriters have not offered or sold the notes or caused the notes to be made the subject of an invitation for subscription or purchase and will not offer or sell the notes or cause the notes to be made the subject of an invitation for subscription or purchase, and have not circulated or distributed, nor will they circulate or distribute, this prospectus supplement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Neither this prospectus supplement nor the accompanying prospectus is intended to constitute an offer or solicitation to purchase or invest in the notes described herein. The notes may not be publicly offered, directly or indirectly, in Switzerland within the meaning of the Swiss Financial Services Act (the “FinSA”) and no application has or will be made to admit the notes to trading on any trading venue (exchange or multilateral trading facility) in Switzerland. Neither this prospectus supplement nor the accompanying prospectus nor any other offering or marketing material relating to the notes constitutes a prospectus pursuant to the FinSA, and neither this prospectus supplement nor the accompanying prospectus nor any other offering or marketing material relating to the notes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ptx110760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the offering of the notes will be passed upon for Autodesk, Inc. by Wilson Sonsini Goodrich &amp; Rosati, Professional Corporation, Palo Alto, California, and for the underwriters by Davis Polk &amp; Wardwell LLP, Redwood City, California. </w:t>
      </w:r>
    </w:p>
    <w:p>
      <w:pPr>
        <w:pStyle w:val="TextBody"/>
        <w:bidi w:val="0"/>
        <w:spacing w:before="480" w:after="0"/>
        <w:jc w:val="center"/>
        <w:rPr>
          <w:rFonts w:ascii="Times New Roman" w:hAnsi="Times New Roman"/>
          <w:b/>
          <w:sz w:val="20"/>
        </w:rPr>
      </w:pPr>
      <w:bookmarkStart w:id="13" w:name="supptx110760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included in our Annual Report on Form 10-K for the year ended January 31, 2026, and the effectiveness of our internal control over financial reporting as of January 31, 2026, as set forth in their reports, which are incorporated by reference in this prospectus supplement and elsewhere in the registration statement. Our financial statements are incorporated by reference in reliance on Ernst &amp; Young LLP’s reports, given on their authority as experts in accounting and auditing. </w:t>
      </w:r>
    </w:p>
    <w:p>
      <w:pPr>
        <w:pStyle w:val="TextBody"/>
        <w:bidi w:val="0"/>
        <w:spacing w:before="480" w:after="0"/>
        <w:jc w:val="center"/>
        <w:rPr>
          <w:rFonts w:ascii="Times New Roman" w:hAnsi="Times New Roman"/>
          <w:b/>
          <w:sz w:val="20"/>
        </w:rPr>
      </w:pPr>
      <w:bookmarkStart w:id="14" w:name="supptx110760_12"/>
      <w:bookmarkEnd w:id="1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on the SEC’s website at http://www.sec.gov. Copies of certain information filed by us with the SEC are also available on our website at www.autodesk.com. Information accessible on or through our website is not a part of this prospectus supplement or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on us and our consolidated subsidiaries and the notes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supptx110760_13"/>
      <w:bookmarkEnd w:id="15"/>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or the accompanying prospectus is considered to be part of this prospectus supplement or the accompanying prospectus, as applicable. Because we are incorporating by reference future filings with the SEC, this prospectus supplement and the accompanying prospectus are continually updated and those future filings may modify or supersede some of the information included or incorporated by reference herein and therein. This means that you must look at all of the SEC filings that we incorporate by reference to determine if any of the statements in this prospectus supplement or the accompanying prospectus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until the offering of the notes under the registration statement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January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sections of our Definitive Proxy Statement on Schedule 14A for the 2026 Annual Meeting of Stockholders incorporated by reference in our Annual Report on </w:t>
            </w:r>
            <w:hyperlink r:id="rId4">
              <w:r>
                <w:rPr>
                  <w:rStyle w:val="InternetLink"/>
                  <w:rFonts w:ascii="Times New Roman" w:hAnsi="Times New Roman"/>
                  <w:sz w:val="20"/>
                </w:rPr>
                <w:t>Form 10-K</w:t>
              </w:r>
            </w:hyperlink>
            <w:r>
              <w:rPr>
                <w:rFonts w:ascii="Times New Roman" w:hAnsi="Times New Roman"/>
                <w:sz w:val="20"/>
              </w:rPr>
              <w:t xml:space="preserve"> for the fiscal year ended January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fiscal quarters ended </w:t>
            </w:r>
            <w:hyperlink r:id="rId5">
              <w:r>
                <w:rPr>
                  <w:rStyle w:val="InternetLink"/>
                  <w:rFonts w:ascii="Times New Roman" w:hAnsi="Times New Roman"/>
                  <w:sz w:val="20"/>
                </w:rPr>
                <w:t>April 30, 2026</w:t>
              </w:r>
            </w:hyperlink>
            <w:r>
              <w:rPr>
                <w:rFonts w:ascii="Times New Roman" w:hAnsi="Times New Roman"/>
                <w:sz w:val="20"/>
              </w:rPr>
              <w:t xml:space="preserve"> and </w:t>
            </w:r>
            <w:hyperlink r:id="rId6">
              <w:r>
                <w:rPr>
                  <w:rStyle w:val="InternetLink"/>
                  <w:rFonts w:ascii="Times New Roman" w:hAnsi="Times New Roman"/>
                  <w:sz w:val="20"/>
                </w:rPr>
                <w:t>July 31,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filed on </w:t>
            </w:r>
            <w:hyperlink r:id="rId7">
              <w:r>
                <w:rPr>
                  <w:rStyle w:val="InternetLink"/>
                  <w:rFonts w:ascii="Times New Roman" w:hAnsi="Times New Roman"/>
                  <w:sz w:val="20"/>
                </w:rPr>
                <w:t>April 24, 2026</w:t>
              </w:r>
            </w:hyperlink>
            <w:r>
              <w:rPr>
                <w:rFonts w:ascii="Times New Roman" w:hAnsi="Times New Roman"/>
                <w:sz w:val="20"/>
              </w:rPr>
              <w:t xml:space="preserve"> (with respect to Item 5.02 only), </w:t>
            </w:r>
            <w:hyperlink r:id="rId8">
              <w:r>
                <w:rPr>
                  <w:rStyle w:val="InternetLink"/>
                  <w:rFonts w:ascii="Times New Roman" w:hAnsi="Times New Roman"/>
                  <w:sz w:val="20"/>
                </w:rPr>
                <w:t>May  28, 2026</w:t>
              </w:r>
            </w:hyperlink>
            <w:r>
              <w:rPr>
                <w:rFonts w:ascii="Times New Roman" w:hAnsi="Times New Roman"/>
                <w:sz w:val="20"/>
              </w:rPr>
              <w:t xml:space="preserve"> (with respect to Item 1.01 only), </w:t>
            </w:r>
            <w:hyperlink r:id="rId9">
              <w:r>
                <w:rPr>
                  <w:rStyle w:val="InternetLink"/>
                  <w:rFonts w:ascii="Times New Roman" w:hAnsi="Times New Roman"/>
                  <w:sz w:val="20"/>
                </w:rPr>
                <w:t>June  15, 2026</w:t>
              </w:r>
            </w:hyperlink>
            <w:r>
              <w:rPr>
                <w:rFonts w:ascii="Times New Roman" w:hAnsi="Times New Roman"/>
                <w:sz w:val="20"/>
              </w:rPr>
              <w:t xml:space="preserve">, </w:t>
            </w:r>
            <w:hyperlink r:id="rId10">
              <w:r>
                <w:rPr>
                  <w:rStyle w:val="InternetLink"/>
                  <w:rFonts w:ascii="Times New Roman" w:hAnsi="Times New Roman"/>
                  <w:sz w:val="20"/>
                </w:rPr>
                <w:t>June  18, 2026</w:t>
              </w:r>
            </w:hyperlink>
            <w:r>
              <w:rPr>
                <w:rFonts w:ascii="Times New Roman" w:hAnsi="Times New Roman"/>
                <w:sz w:val="20"/>
              </w:rPr>
              <w:t xml:space="preserve">, </w:t>
            </w:r>
            <w:hyperlink r:id="rId11">
              <w:r>
                <w:rPr>
                  <w:rStyle w:val="InternetLink"/>
                  <w:rFonts w:ascii="Times New Roman" w:hAnsi="Times New Roman"/>
                  <w:sz w:val="20"/>
                </w:rPr>
                <w:t>July  13, 2026</w:t>
              </w:r>
            </w:hyperlink>
            <w:r>
              <w:rPr>
                <w:rFonts w:ascii="Times New Roman" w:hAnsi="Times New Roman"/>
                <w:sz w:val="20"/>
              </w:rPr>
              <w:t xml:space="preserve"> and </w:t>
            </w:r>
            <w:hyperlink r:id="rId12">
              <w:r>
                <w:rPr>
                  <w:rStyle w:val="InternetLink"/>
                  <w:rFonts w:ascii="Times New Roman" w:hAnsi="Times New Roman"/>
                  <w:sz w:val="20"/>
                </w:rPr>
                <w:t>August 3,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Autodesk, Inc. </w:t>
      </w:r>
    </w:p>
    <w:p>
      <w:pPr>
        <w:pStyle w:val="TextBody"/>
        <w:bidi w:val="0"/>
        <w:spacing w:before="0" w:after="0"/>
        <w:jc w:val="center"/>
        <w:rPr>
          <w:rFonts w:ascii="Times New Roman" w:hAnsi="Times New Roman"/>
          <w:sz w:val="20"/>
        </w:rPr>
      </w:pPr>
      <w:r>
        <w:rPr>
          <w:rFonts w:ascii="Times New Roman" w:hAnsi="Times New Roman"/>
          <w:sz w:val="20"/>
        </w:rPr>
        <w:t xml:space="preserve">One Market Street, Ste. 400 </w:t>
      </w:r>
    </w:p>
    <w:p>
      <w:pPr>
        <w:pStyle w:val="TextBody"/>
        <w:bidi w:val="0"/>
        <w:spacing w:before="0" w:after="0"/>
        <w:jc w:val="center"/>
        <w:rPr>
          <w:rFonts w:ascii="Times New Roman" w:hAnsi="Times New Roman"/>
          <w:sz w:val="20"/>
        </w:rPr>
      </w:pPr>
      <w:r>
        <w:rPr>
          <w:rFonts w:ascii="Times New Roman" w:hAnsi="Times New Roman"/>
          <w:sz w:val="20"/>
        </w:rPr>
        <w:t xml:space="preserve">San Francisco, California 94105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(415) 507-5000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AUTODESK, INC. </w:t>
      </w:r>
    </w:p>
    <w:p>
      <w:pPr>
        <w:pStyle w:val="TextBody"/>
        <w:bidi w:val="0"/>
        <w:spacing w:before="240" w:after="0"/>
        <w:jc w:val="center"/>
        <w:rPr>
          <w:rFonts w:ascii="Times New Roman" w:hAnsi="Times New Roman"/>
          <w:b/>
          <w:sz w:val="28"/>
        </w:rPr>
      </w:pPr>
      <w:r>
        <w:rPr>
          <w:rFonts w:ascii="Times New Roman" w:hAnsi="Times New Roman"/>
          <w:b/>
          <w:sz w:val="28"/>
        </w:rPr>
        <w:t xml:space="preserve">Senior Debt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from time to time in one or more offerings. This prospectus describes some of the general terms that may apply to these senior debt securities and the general manner in which these senior debt securities will be offered. We will provide the specific terms of these senior debt securities in supplements to this prospectus. The prospectus supplements will also describe the specific manner in which these senior debt securities will be offered and may also supplement, update or amend information contained in this prospectus. You should read this prospectus and any applicable prospectus supplement, including the documents incorporated by reference herein and therein,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We may offer these senior debt securities in amounts, at prices and on terms determined at the time of offering. The senior debt securities may be sold directly to you, through agents, or through underwriters and dealers. If agents, underwriters or dealers are used to sell the senior debt securities, we will name them and describe their compensation in a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these senior debt securities involves certain risks. See “</w:t>
      </w:r>
      <w:hyperlink w:anchor="tx110760_4">
        <w:r>
          <w:rPr>
            <w:rStyle w:val="InternetLink"/>
            <w:rFonts w:ascii="Times New Roman" w:hAnsi="Times New Roman"/>
            <w:b/>
            <w:sz w:val="24"/>
          </w:rPr>
          <w:t>Risk Factors</w:t>
        </w:r>
      </w:hyperlink>
      <w:r>
        <w:rPr>
          <w:rFonts w:ascii="Times New Roman" w:hAnsi="Times New Roman"/>
          <w:b/>
          <w:sz w:val="24"/>
        </w:rPr>
        <w:t xml:space="preserve">” included in or incorporated by reference into any accompanying prospectus supplement and in the documents incorporated by reference in this prospectus for a discussion of the factors you should carefully consider before deciding to purchase these senior debt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senior debt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May 29,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toc1"/>
      <w:bookmarkEnd w:id="16"/>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2">
              <w:r>
                <w:rPr>
                  <w:rStyle w:val="InternetLink"/>
                  <w:rFonts w:ascii="Times New Roman" w:hAnsi="Times New Roman"/>
                  <w:sz w:val="20"/>
                </w:rPr>
                <w:t>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3">
              <w:r>
                <w:rPr>
                  <w:rStyle w:val="InternetLink"/>
                  <w:rFonts w:ascii="Times New Roman" w:hAnsi="Times New Roman"/>
                  <w:sz w:val="20"/>
                </w:rPr>
                <w:t>Our Business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4">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6">
              <w:r>
                <w:rPr>
                  <w:rStyle w:val="InternetLink"/>
                  <w:rFonts w:ascii="Times New Roman" w:hAnsi="Times New Roman"/>
                  <w:sz w:val="20"/>
                </w:rPr>
                <w:t>Description of Senior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7">
              <w:r>
                <w:rPr>
                  <w:rStyle w:val="InternetLink"/>
                  <w:rFonts w:ascii="Times New Roman" w:hAnsi="Times New Roman"/>
                  <w:sz w:val="20"/>
                </w:rPr>
                <w:t>Forms of Senior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8">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9">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10">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11">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110760_12">
              <w:r>
                <w:rPr>
                  <w:rStyle w:val="InternetLink"/>
                  <w:rFonts w:ascii="Times New Roman" w:hAnsi="Times New Roman"/>
                  <w:sz w:val="20"/>
                </w:rPr>
                <w:t>Information Incorporated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x110760_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which we refer to as the SEC, utilizing a “shelf” registration process. Under this shelf registration process, we may from time to time sell the senior debt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senior debt securities we may offer. Each time we sell senior debt securities, we will provide one or more prospectus supplements and/or free writing prospectuses that will contain specific information about the terms of the offering. The prospectus supplement and/or any free writing prospectus may also add, update or change information contained in this prospectus. You should read both this prospectus, any accompanying prospectus supplement and any free writing prospectus together with the additional information described under the headings “Where You Can Find More Information” and “Information Incorporated by Reference” in this prospectus and any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that is different from that contained or incorporated by reference in this prospectus, any accompanying prospectus supplement or any related free writing prospectus filed by us with the SEC. We take no responsibility for, and can provide no assurance as to the reliability of, any other information that others may give you. This prospectus and any accompanying prospectus supplement or any related free writing prospectus do not constitute an offer to sell or the solicitation of an offer to buy any senior debt securities other than the senior debt securities described in the accompanying prospectus supplement or an offer to sell or the solicitation of an offer to buy such senior debt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“Autodesk”, “we”, “our” and “us” refer, collectively, to Autodesk, Inc., a Delaware corporation,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x110760_2"/>
      <w:bookmarkEnd w:id="18"/>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the information incorporated by reference in this prospectus and any prospectus supplement include or may include “forward-looking statements” within the meaning of Section 27A of the Securities Act of 1933, as amended, or the Securities Act, and Section 21E of the Securities Exchange Act of 1934, as amended, or the Exchange Act. Forward-looking statements are generally written in the future tense and/or are preceded by words such as “will,” “may,” “would,” “might,” “should,” “could,” “expect,” “suggest,” “believe,” “anticipate,” “intend,” “plan,” or other similar words.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not guarantees of future performance and involve risks and uncertainties. The forward-looking statements contained in this prospectus, any prospectus supplement, and the information incorporated by reference in this prospectus are based on information currently available to us and expectations and assumptions that we deem reasonable at the time the statements were made. We do not undertake any obligation to update any forward-looking statements in this prospectus, any prospectus supplement, and the information incorporated by reference in this prospectus or in any of our other communications, except as required by law. All such forward-looking statements should be read as of the time the statements were made and with the recognition that these forward-looking statements may not be complete or accurate at a later date. </w:t>
      </w:r>
    </w:p>
    <w:p>
      <w:pPr>
        <w:pStyle w:val="TextBody"/>
        <w:bidi w:val="0"/>
        <w:spacing w:before="240" w:after="0"/>
        <w:jc w:val="left"/>
        <w:rPr>
          <w:rFonts w:ascii="Times New Roman" w:hAnsi="Times New Roman"/>
          <w:sz w:val="20"/>
        </w:rPr>
      </w:pPr>
      <w:r>
        <w:rPr>
          <w:rFonts w:ascii="Times New Roman" w:hAnsi="Times New Roman"/>
          <w:sz w:val="20"/>
        </w:rPr>
        <w:t xml:space="preserve">Many factors may cause actual results to differ materially from those expressed or implied by the forward-looking statements contained in this prospectus, any prospectus supplement, and the information incorporated by reference herein and therein, including those detailed in the Risk Factors section of any Annual Report on Form 10-K and any Quarterly Report on Form 10-Q incorporated by reference in this prospectus and in the section of any related prospectus supplement entitled “Risk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19" w:name="tx110760_3"/>
      <w:bookmarkEnd w:id="19"/>
      <w:r>
        <w:rPr>
          <w:rFonts w:ascii="Times New Roman" w:hAnsi="Times New Roman"/>
          <w:b/>
          <w:sz w:val="20"/>
          <w:bdr w:val="single" w:sz="8" w:space="1" w:color="000000"/>
        </w:rPr>
        <w:t xml:space="preserve">OUR BUSINESS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General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global leader in 3D design, engineering and entertainment technology solutions, spanning architecture, engineering, construction, product design, manufacturing, media, and entertainment. Our customers design, fabricate, manufacture, and build anything by visualizing, simulating, and analyzing real-world performance early in the design process. These capabilities allow our customers to foster innovation, optimize their designs, streamline their manufacturing and construction processes, save time and money, improve quality, deliver more sustainable outcomes, communicate plans, and collaborate with others. Our professional software products are sold globally through a combination of indirect and direct channels.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Products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architecture, engineering, construction and operations products improve the way building, infrastructure, and industrial projects are designed, built, and operated. Our product development and manufacturing software provides manufacturers in automotive, transportation, industrial machinery, consumer products, and building product industries with comprehensive digital design, engineering, manufacturing, and production solutions. These technologies bring together data from all phases of the product development and production life cycle, creating a digital pipeline that supports greater productivity, accuracy through process automation, and insights that enable more sustainable outcomes. Our digital media and entertainment products provide tools for digital sculpting, modeling, animation, effects, rendering, and compositing for design visualization, visual effects, 3D animation, games production, and enable connection of workflows and data from pre-production to post-production. Our portfolio of products and services enables our customers to foster innovation, optimize and improve their designs, save time and money, improve quality, communicate plans, and collaborate with others.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in California in April 1982 and were reincorporated in Delaware in May 1994. Our principal executive office is located at One Market Street, Ste. 400, San Francisco, CA 94105 and the telephone number at that address is (415) 507-5000.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internet address is www.autodesk.com. The information posted on our website is not part of or incorporated by reference into this prospectus. Our Annual Report on Form 10-K, Quarterly Reports on Form 10-Q, Current Reports on Form 8-K and amendments to reports filed or furnished pursuant to Sections 13(a) and 15(d) of the Securities Exchange Act of 1934, as amended, are available free of charge on the Investor Relations portion of our website as soon as reasonably practicable after we electronically file such material with, or furnish it to, the SEC. </w:t>
      </w:r>
    </w:p>
    <w:p>
      <w:pPr>
        <w:pStyle w:val="TextBody"/>
        <w:bidi w:val="0"/>
        <w:spacing w:before="0" w:after="0"/>
        <w:jc w:val="left"/>
        <w:rPr>
          <w:bdr w:val="single" w:sz="8" w:space="1" w:color="000000"/>
        </w:rPr>
      </w:pPr>
      <w:r>
        <w:rPr>
          <w:bdr w:val="single" w:sz="8" w:space="1" w:color="000000"/>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x110760_4"/>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risk factors discussed in the section of the applicable prospectus supplement titled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that is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business, financial condition or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x110760_5"/>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any senior debt securities offered under this prospectus or any free writing prospectus for general corporate purposes unless otherwise indicated in the applicable prospectus supplement or free writing prospectus. General corporate purposes may include the repayment and refinancing of debt, working capital, capital expenditures, stock repurchases, acquisition of companies or businesses, and the payment of dividends. We have not determined the amount of net proceeds to be used specifically for such purposes. As a result, management will retain broad discretion over the allocation of the net proceeds from the sale of our senior debt securities under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x110760_6"/>
      <w:bookmarkEnd w:id="22"/>
      <w:r>
        <w:rPr>
          <w:rFonts w:ascii="Times New Roman" w:hAnsi="Times New Roman"/>
          <w:b/>
          <w:sz w:val="20"/>
        </w:rPr>
        <w:t xml:space="preserve">DESCRIPTION OF SENIOR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senior debt securities under this prospectus. The following description summarizes the general terms and provisions of the senior debt securities. We will describe the specific terms of the senior debt securities and the extent, if any, to which the general provisions summarized below apply to any series of senior debt securities in the prospectus supplement relating to the series and any applicable free writing prospectus that we authorize to be delivered. When we refer to “the Company,” “we,” “our,” and “us” in this section, we mean Autodesk, Inc. excluding, unless the context otherwise requires or as otherwise expressly stated,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from time to time, in one or more series under an indenture, dated December 13, 2012, between us and U.S. Bank Trust Company, National Association (as successor in interest to U.S. Bank National Association), as trustee (the “trustee”). The form of the indenture is incorporated by reference to the registration statement of which this prospectus forms a part. This prospectus briefly outlines some of the provisions of the indenture. The following summary of the material provisions of the indenture is qualified in its entirety by the provisions of the indenture, including definitions of certain terms used in the indenture. Wherever we refer to particular sections or defined terms of the indenture, those sections or defined terms are incorporated by reference in this prospectus or the applicable prospectus supplement. You should review the indenture that is incorporated by reference to the registration statement of which this prospectus forms a part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limit the amount of senior debt securities that we may issue. The indenture does provide that senior debt securities may be issued up to an aggregate principal amount authorized from time to time by us and may be payable in any currency or currency unit designated by us in the indenture or in amounts determined by reference to an index.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constitute our unsecured and unsubordinated general obligations and will rank pari passu with our other unsecured and unsubordinated obligations. Any secured debt or other secured obligations will be effectively senior to the senior debt securities to the extent of the value of the assets securing such debt or other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and/or free writing prospectus will include any additional or different terms of the senior debt securities being offered, including the following terms,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which may be sold at a discount below their stated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and premium, if any, of the senior debt securities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at which the senior debt securities will bear interest, or the manner of calculating such rate or rates,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such interest will accrue, the interest payment dates on which such interest will be payable or the manner of determination of such interest payment dates, and the related record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trustees, authenticating agents or paying agents, if different from those set forth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or defer the payment of interest and the duration of that extension or deferral;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senior debt securities may be redeemed, in whole or in part, at our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obligation, if any, of us to repurchase or repay senior debt securities pursuant to any sinking fund or analogous provisions as at the option of a holder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denominations of $2,000 or any integral multiple of $1,000 in excess thereof, the denominations in which the senior debt securities will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currencies and/or currency units in which payment of the principal of, and premium, if any, and interest on, the senior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principal amount payable at the stated maturity of the senior debt securities will not be determinable as of any one or more dates prior to such stated maturity, the amount which will be deemed to be such principal amount as of any such date for any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repurchase or remarketing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senior debt securities will be issued in global form, the terms upon which the senior debt securities will be exchanged for definitive form, the depositary for the senior debt securities and the form of legend;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conversion or exchange features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principal amount thereof, the portion of the principal amount of the senior debt securities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restrictive covenants or events of default in addition to or in lieu of those set forth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granting special rights to holders when a specified event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amount of principal or any premium or interest on the senior debt securities may be determined with reference to an index or pursuant to a formula, the manner in which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special tax implications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upon what terms the senior debt securities may be defeased if different from the provisions set forth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regard to the senior debt securities that do not bear interest, the dates for certain required reports to the applicable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additional, eliminated or changed terms that will apply to the senior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without notice to or the consent of the holders of any series of senior debt securities, create and issue further senior debt securities of any such series ranking equally with the senior debt securities of such series in all respects (or in all respects other than (1) the payment of interest accruing prior to the issue date of such further senior debt securities or (2) the first payment of interest following the issue date of such further senior debt securities). Such further senior debt securities may be consolidated and form a single series with the senior debt securities of such series and have the same terms as to status, redemption or otherwise as the senior debt securities of such series, provided that if such additional debt securities are not fungible with the initial debt securities of such series for U.S. federal income tax purposes, such additional debt securities will have a separate CUSIP number. </w:t>
      </w:r>
    </w:p>
    <w:p>
      <w:pPr>
        <w:pStyle w:val="TextBody"/>
        <w:bidi w:val="0"/>
        <w:spacing w:before="240" w:after="0"/>
        <w:jc w:val="left"/>
        <w:rPr>
          <w:rFonts w:ascii="Times New Roman" w:hAnsi="Times New Roman"/>
          <w:sz w:val="20"/>
        </w:rPr>
      </w:pPr>
      <w:r>
        <w:rPr>
          <w:rFonts w:ascii="Times New Roman" w:hAnsi="Times New Roman"/>
          <w:sz w:val="20"/>
        </w:rPr>
        <w:t xml:space="preserve">You may present senior debt securities for exchange or transfer in the manner, at the places and subject to the restrictions set forth in the senior debt securities and the applicable prospectus supplement. We will provide you those services without charge, although you may have to pay any tax or other governmental charge payable in connection with any exchange or transfer, as set forth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Senior debt securities will bear interest at a fixed rate or a floating rate. Senior debt securities bearing no interest or interest at a rate that at the time of issuance is below the prevailing market rate (called original issue discount securities) may be sold at a discount below their stated principal amount. Material U.S. federal income tax considerations applicable to any such discounted senior debt securities or to certain senior debt securities issued at par which are treated as having been issued at a discount for U.S. federal income tax purposes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 </w:t>
      </w:r>
    </w:p>
    <w:p>
      <w:pPr>
        <w:pStyle w:val="TextBody"/>
        <w:bidi w:val="0"/>
        <w:spacing w:before="360" w:after="0"/>
        <w:jc w:val="left"/>
        <w:rPr>
          <w:rFonts w:ascii="Times New Roman" w:hAnsi="Times New Roman"/>
          <w:sz w:val="20"/>
        </w:rPr>
      </w:pPr>
      <w:r>
        <w:rPr>
          <w:rFonts w:ascii="Times New Roman" w:hAnsi="Times New Roman"/>
          <w:b/>
          <w:i/>
          <w:sz w:val="20"/>
        </w:rPr>
        <w:t>Certain 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 xml:space="preserve">Certain Covenants. </w:t>
      </w:r>
      <w:r>
        <w:rPr>
          <w:rFonts w:ascii="Times New Roman" w:hAnsi="Times New Roman"/>
          <w:sz w:val="20"/>
        </w:rPr>
        <w:t xml:space="preserve">The indenture contains certain covenants regarding, among other matters, corporate existence and reports to holders of senior debt securities. Unless we indicate otherwise in a prospectus supplement, the senior debt securities will not contain any additional financial or restrictive covenants, including covenants relating to total indebtedness, interest coverage, stock repurchases, recapitalizations, dividends and distributions to shareholders or current ratios. The provisions of the indenture will not afford holders of senior debt securities issued thereunder protection in the event of a sudden or significant decline in our credit quality or in the event of a takeover, recapitalization or highly leveraged or similar transaction involving us or any of our affiliates that may adversely affect such holders except to the extent set forth therein. </w:t>
      </w:r>
    </w:p>
    <w:p>
      <w:pPr>
        <w:pStyle w:val="TextBody"/>
        <w:bidi w:val="0"/>
        <w:spacing w:before="240" w:after="0"/>
        <w:jc w:val="left"/>
        <w:rPr>
          <w:rFonts w:ascii="Times New Roman" w:hAnsi="Times New Roman"/>
          <w:sz w:val="20"/>
        </w:rPr>
      </w:pPr>
      <w:r>
        <w:rPr>
          <w:rFonts w:ascii="Times New Roman" w:hAnsi="Times New Roman"/>
          <w:i/>
          <w:sz w:val="20"/>
        </w:rPr>
        <w:t xml:space="preserve">Consolidation, Merger and Sale of Assets. </w:t>
      </w:r>
      <w:r>
        <w:rPr>
          <w:rFonts w:ascii="Times New Roman" w:hAnsi="Times New Roman"/>
          <w:sz w:val="20"/>
        </w:rPr>
        <w:t xml:space="preserve">Unless we indicate otherwise in a prospectus supplement, we will not consolidate with, merge with or into, or sell, convey, transfer, lease or otherwise dispose of all or substantially all of our and our subsidiaries’ property and assets taken as a whole to another Person (as defined in the indenture), which we refer to as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us) is a corporation or limited liability company organized and validly existing under the laws of the United States of America, any State thereof or the District of Columbia, and expressly assumes, by a supplemental indenture, executed and delivered to the trustee, all of our obligations under the indenture and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transaction, no Default or Event of Default (each as defined in the indenture)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trustee an officer’s certificate and opinion of counsel, in each case, stating that any such supplemental indenture, if applicable, complies with this provision and that all conditions precedent provided for in the indenture or any applicable supplemental indenture relating to such transaction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restrictions in the second and third bullets shall not be applicable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or consolidation of us with an affiliate of ours if our board of directors determines in good faith that the purpose of such transaction is principally to change our state of incorporation or convert our form of organization to another form;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of us with or into a single direct or indirect wholly owned subsidiary of ours pursuant to Section 251(g) (or any successor provision) of the General Corporation Law of the State of Delaware (or similar provision of our state of incorporation).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Surviving Person will succeed to, and be substituted for, us under the indenture and the senior debt securities and, except in the case of a lease, we shall be released of all obligations under the indenture and the senior debt securities. </w:t>
      </w:r>
    </w:p>
    <w:p>
      <w:pPr>
        <w:pStyle w:val="TextBody"/>
        <w:bidi w:val="0"/>
        <w:spacing w:before="240" w:after="0"/>
        <w:jc w:val="left"/>
        <w:rPr>
          <w:rFonts w:ascii="Times New Roman" w:hAnsi="Times New Roman"/>
          <w:sz w:val="20"/>
        </w:rPr>
      </w:pPr>
      <w:r>
        <w:rPr>
          <w:rFonts w:ascii="Times New Roman" w:hAnsi="Times New Roman"/>
          <w:i/>
          <w:sz w:val="20"/>
        </w:rPr>
        <w:t xml:space="preserve">No Protection in the Event of a Change of Control. </w:t>
      </w:r>
      <w:r>
        <w:rPr>
          <w:rFonts w:ascii="Times New Roman" w:hAnsi="Times New Roman"/>
          <w:sz w:val="20"/>
        </w:rPr>
        <w:t xml:space="preserve">Unless we indicate otherwise in a prospectus supplement with respect to a particular series of senior debt securities, the senior debt securities will not contain any provisions that may afford holders of the senior debt securities protection in the event we have a change of control or in the event of a highly leveraged transaction (whether or not such transaction results in a change of control). </w:t>
      </w:r>
    </w:p>
    <w:p>
      <w:pPr>
        <w:pStyle w:val="TextBody"/>
        <w:bidi w:val="0"/>
        <w:spacing w:before="360" w:after="0"/>
        <w:jc w:val="left"/>
        <w:rPr>
          <w:rFonts w:ascii="Times New Roman" w:hAnsi="Times New Roman"/>
          <w:sz w:val="20"/>
        </w:rPr>
      </w:pPr>
      <w:r>
        <w:rPr>
          <w:rFonts w:ascii="Times New Roman" w:hAnsi="Times New Roman"/>
          <w:b/>
          <w:i/>
          <w:sz w:val="20"/>
        </w:rPr>
        <w:t>Events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defines an Event of Default with respect to any series of senior debt securities issued pursuant to the indenture. Events of Default on the senior debt securities are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on senior debt securities when it becomes due and payable, and the continuance of such default for a period of 30 days (unless the entire amount of such payment is deposited by us with the trustee or a paying agent prior to the expiration of such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the principal of, or any premium on, senior debt securities when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by us in the indenture (other than a covenant that has been included in the indenture solely for the benefit of another series of debt securities), which default continues uncured for a period of 90 days after we receive, by registered or certified mail, written notice from the trustee or we and the trustee receive, by registered or certified mail, written notice from the holders of not less than 25% in principal amount of the senior debt securities of the affected series outstanding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in bankruptcy, insolvency or reorganization with respect to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for in such series of senior debt securities as may be specified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Event of Default under one series of senior debt securities issued pursuant to the indenture does not necessarily constitute an Event of Default under any other series of senior debt securities. The indenture provides that the trustee may withhold notice to the holders of any series of senior debt securities issued thereunder of any default (other than payment defaults of which it has knowledge) if the trustee’s board of directors, executive committee, or a trust committee of directors or trustees and/or certain officers of the trustee in good faith determine it is in the interest of such holders to do so. </w:t>
      </w:r>
    </w:p>
    <w:p>
      <w:pPr>
        <w:pStyle w:val="TextBody"/>
        <w:bidi w:val="0"/>
        <w:spacing w:before="240" w:after="0"/>
        <w:jc w:val="left"/>
        <w:rPr>
          <w:rFonts w:ascii="Times New Roman" w:hAnsi="Times New Roman"/>
          <w:sz w:val="20"/>
        </w:rPr>
      </w:pPr>
      <w:r>
        <w:rPr>
          <w:rFonts w:ascii="Times New Roman" w:hAnsi="Times New Roman"/>
          <w:i/>
          <w:sz w:val="20"/>
        </w:rPr>
        <w:t xml:space="preserve">Remedies If an Event of Default Occurs. </w:t>
      </w:r>
      <w:r>
        <w:rPr>
          <w:rFonts w:ascii="Times New Roman" w:hAnsi="Times New Roman"/>
          <w:sz w:val="20"/>
        </w:rPr>
        <w:t xml:space="preserve">The indenture provides that if an Event of Default has occurred with respect to a series of senior debt securities and has not been cured, the trustee or the holders of not less than 25% in principal amount of the senior debt securities of that series may declare the entire principal amount of all the senior debt securities of that series to be due and immediately payable. This is called a declaration of acceleration of maturity. If an Event of Default occurs because of certain events in bankruptcy, insolvency or reorganization with respect to us, then the principal amount of all the senior debt securities will be automatically accelerated, without any action by the trustee or any holder. At any time after the principal of a series of senior debt securities shall have been declared due and payable, and before any judgment or decree for the payment of the amount due shall have been obtained or entered for such series of senior debt securities as provided in the indenture, the holders of a majority in aggregate principal amount of the senior debt securities of the affected series may by written notice to us and the trustee may, on behalf of the holders of the senior debt securities of the affected series, rescind and annul such acceleration and its consequences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or deposited with the trustee an amount sufficient to pay all matured installments of interest upon the series of senior debt securities and the principal of and premium, if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 the series of senior debt securities that shall have become due otherwise than by acceleration (with interest upon such principal and premium, if any, and, to the extent that such payment is enforceable under applicable law, upon overdue installments of interest, at the rate expressed in the series of senior debt securities to the date of such payment or deposit),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Events of Default under the indenture with respect to such series, other than the nonpayment of principal on the series of senior debt securities that shall have become due solely by such declaration of acceleration, shall have been remedied or waived as provided in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except during the continuance of an Event of Default, the trustee will perform only such duties as are specifically set forth in the indenture. During the existence of an Event of Default, the trustee must exercise such rights and powers vested in it as a prudent person would exercise under the circumstances in the conduct of such person’s own affairs. Subject to such provisions, the trustee will be under no obligation to exercise any of its rights or powers under the indenture at the request of any holder of the notes, unless such holder shall have offered to the trustee security and indemnity satisfactory to it against any loss,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Before you bypass the trustee and bring your own lawsuit or other formal legal action or take other steps to enforce your rights or protect your interests relating to the senior debt securities, the following must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give the trustee written notice that an Event of Default has occurred and remains uncured;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all outstanding senior debt securities of the affected series must make a written request that the trustee take action because of the Event of Default, and must offer indemnity to the trustee against the costs, expenses and other liabilities of taking that 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must have failed to take action for 60 days after receipt of the above notice and offer of indemnity and during such 60-day period, the trustee has not received a contrary instruction from holders of a majority in principal amount of all outstanding senior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you are entitled at any time to bring a lawsuit for the payment of money due on your senior debt securities on or after the due date of that payment.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to the trustee every year a written statement of two of our officers certifying that to their knowledge we are in compliance with the indenture and the senior debt securities, or else specifying any default. Additionally, upon becoming aware of any default, we will deliver a statement specifying such default to the trustee within thirty (30) days.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cease to be of further effect as to any series of senior debt securities and the trustee, upon our demand and at our expense, will execute appropriate instruments acknowledging the satisfaction and discharge of the indenture with respect to such series upon compliance with certain conditions,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having delivered or caused to be delivered to the trustee for cancellation all senior debt securities of a series theretofore authenticated under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senior debt securities of any series outstanding under the indenture not theretofore delivered to the trustee for cancellation shall have become due and payable or are by their terms to become due and payable within one year or are to be called for redemption within one year under arrangements satisfactory to the trustee, including principal, premium, if any, and interest due or to become due on such date of maturity or redemption date, as the case may be, and we shall have deposited with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trustee sufficient cash or U.S. government or U.S. government agency notes or bonds that will generate enough cash to pay, at maturity or upon redemption, all such senior debt securities of any series outstanding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having paid all sums payable by us under the indenture, as and when the same shall be due and payable;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having delivered to the trustee an officer’s certificate and an opinion of counsel, each stating that all conditions relating to the satisfaction and discharge of the indenture have been satisfied.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provides otherwise, the following discussion of legal defeasance and discharge and covenant defeasance will apply to any series of senior debt securities issued under the indenture. </w:t>
      </w:r>
    </w:p>
    <w:p>
      <w:pPr>
        <w:pStyle w:val="TextBody"/>
        <w:bidi w:val="0"/>
        <w:spacing w:before="240" w:after="0"/>
        <w:jc w:val="left"/>
        <w:rPr>
          <w:rFonts w:ascii="Times New Roman" w:hAnsi="Times New Roman"/>
          <w:sz w:val="20"/>
        </w:rPr>
      </w:pPr>
      <w:r>
        <w:rPr>
          <w:rFonts w:ascii="Times New Roman" w:hAnsi="Times New Roman"/>
          <w:i/>
          <w:sz w:val="20"/>
        </w:rPr>
        <w:t xml:space="preserve">Full Defeasance. </w:t>
      </w:r>
      <w:r>
        <w:rPr>
          <w:rFonts w:ascii="Times New Roman" w:hAnsi="Times New Roman"/>
          <w:sz w:val="20"/>
        </w:rPr>
        <w:t xml:space="preserve">We can legally release ourselves from any payment or other obligations on the senior debt securities of any series (called “full defeasance”) if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deposit in trust for your benefit and the benefit of all other direct holders of the senior debt securities of the same series a combination of money and U.S. government or U.S. government agency notes or bonds that will generate enough cash to make interest, principal, any premium and any other payments on the senior debt securities of that series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 change in current U.S. federal income tax law or an Internal Revenue Service ruling that permits us to make the above deposit without causing you to be taxed on the senior debt securities any differently than if we did not make the deposit and instead repaid the senior debt securities ourselves when due;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trustee a legal opinion of our counsel confirming the tax law change or ruling described in the immediately preceding clause;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trustee an officer’s certificate and a legal opinion of our counsel, each stating that all conditions precedent relating to such full defeasance have been fulfilled;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shall have occurred and be continuing, and no event which with notice or lapse of time or both would become an Event of Default shall have occurred and be continuing, on the date of such deposit.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accomplished full defeasance, as described above, you would have to rely solely on the trust deposit for repayment of the senior debt securities. You could not look to us for repayment in the event of any shortfall. </w:t>
      </w:r>
    </w:p>
    <w:p>
      <w:pPr>
        <w:pStyle w:val="TextBody"/>
        <w:bidi w:val="0"/>
        <w:spacing w:before="240" w:after="0"/>
        <w:jc w:val="left"/>
        <w:rPr>
          <w:rFonts w:ascii="Times New Roman" w:hAnsi="Times New Roman"/>
          <w:sz w:val="20"/>
        </w:rPr>
      </w:pPr>
      <w:r>
        <w:rPr>
          <w:rFonts w:ascii="Times New Roman" w:hAnsi="Times New Roman"/>
          <w:sz w:val="20"/>
        </w:rPr>
        <w:t xml:space="preserve">However, even if we make the deposit in trust and deliver an opinion as discussed above, a number of our obligations relating to the senior debt securities will remain. These include, among others, our obligation: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register the transfer and exchange of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replace mutilated, destroyed, lost or stolen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maintain paying agencies;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hold money for payment in 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Purchasers of the senior debt securities should consult their own advisers with respect to the tax consequences to them of any deposit and discharge, including the applicability and effect of tax laws other than the U.S. federal income tax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 xml:space="preserve">Covenant Defeasance. </w:t>
      </w:r>
      <w:r>
        <w:rPr>
          <w:rFonts w:ascii="Times New Roman" w:hAnsi="Times New Roman"/>
          <w:sz w:val="20"/>
        </w:rPr>
        <w:t xml:space="preserve">Without any change in current U.S. federal income tax law, we can make the same type of deposit described above and be released from some of the covenants on the senior debt securities of any series. This is called “covenant defeasance.” In that event, you would lose the protection of those covenants but would gain the protection of having money and securities set aside in trust to repay the senior debt securities. In order to achieve covenant defeasance, the following conditions must be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deposit in trust for your benefit and the benefit of all other direct holders of the senior debt securities of the same series a combination of money and U.S. government or U.S. government agency notes or bonds that will generate enough cash to make interest, principal, any premium and any other payments on the senior debt securities of that series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trustee a legal opinion of our counsel confirming that under current U.S. federal income tax law we may make the above deposit and be released from the relevant covenants without causing you to be taxed on the senior debt securities any differently than if we did not make the deposit and were not released from the covenants and instead repaid the senior debt securities ourselves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deliver to the trustee an officer’s certificate and a legal opinion of our counsel, each stating that all conditions precedent relating to such full defeasance have been fulfilled;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Event of Default shall have occurred and be continuing, and no event which with notice or lapse of time or both would become an Event of Default shall have occurred and be continuing, on the date of such deposit.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senior debt securities if there were a shortfall in the trust deposit. In fact, if one of the Events of Default occurred (such as our bankruptcy) and the senior debt securities become immediately due and payable, there may be such a shortfall. Depending on the event causing the default, you may not be able to obtain payment of the shortfall.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types of changes we can make to the indenture. </w:t>
      </w:r>
    </w:p>
    <w:p>
      <w:pPr>
        <w:pStyle w:val="TextBody"/>
        <w:bidi w:val="0"/>
        <w:spacing w:before="240" w:after="0"/>
        <w:jc w:val="left"/>
        <w:rPr>
          <w:rFonts w:ascii="Times New Roman" w:hAnsi="Times New Roman"/>
          <w:sz w:val="20"/>
        </w:rPr>
      </w:pPr>
      <w:r>
        <w:rPr>
          <w:rFonts w:ascii="Times New Roman" w:hAnsi="Times New Roman"/>
          <w:i/>
          <w:sz w:val="20"/>
        </w:rPr>
        <w:t xml:space="preserve">Changes Requiring Approval of the Holder. </w:t>
      </w:r>
      <w:r>
        <w:rPr>
          <w:rFonts w:ascii="Times New Roman" w:hAnsi="Times New Roman"/>
          <w:sz w:val="20"/>
        </w:rPr>
        <w:t xml:space="preserve">First, there are changes that cannot be made to the senior debt securities without specific approval of the holder. The following is a list of those types of changes: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any installment of principal of or interest on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or the rate of interest thereon or any premium payable upon redemption of any senior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payable at maturity or upon acceleration, redemption or a change of control or following an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or currency of payment for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terms of or waive any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holder’s right to sue for the enforcement of any payment on or with respect to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the senior debt securities of any series, the approval of whose holders is needed to modify or amend the indenture or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the senior debt securities of any series, the approval of whose holders is needed to waive compliance with certain provisions of the indenture or to waive certain defaults;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other aspect of the provisions dealing with modification and waiver of the indenture, except to increase the percentage required for any modification or to provide that other provisions of the indenture may not be modified or waived without consent of the holder of each security of such series affected by the modification.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Changes Not Requiring Approval. </w:t>
      </w:r>
      <w:r>
        <w:rPr>
          <w:rFonts w:ascii="Times New Roman" w:hAnsi="Times New Roman"/>
          <w:sz w:val="20"/>
        </w:rPr>
        <w:t xml:space="preserve">The second type of change does not require any approval of or vote by holders of the senior debt securities. This type is limited to the following types of changes: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such other provisions in regard to matters or questions arising under the indenture or under any supplemental indenture as our board of directors may deem necessary or desirable, and which does not in each case adversely affect the interests of the holders of the senior debt securities of a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covenants in the indenture regarding mergers and sales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uncertificated senior debt securities in addition to or in place of certificated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to the covenants of the Company or add any additional Events of Default for the benefit of any series of senior debt securities, or secure any series of the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or eliminate any of the provisions of the indenture, </w:t>
            </w:r>
            <w:r>
              <w:rPr>
                <w:rFonts w:ascii="Times New Roman" w:hAnsi="Times New Roman"/>
                <w:i/>
                <w:sz w:val="20"/>
                <w:u w:val="single"/>
              </w:rPr>
              <w:t>provided</w:t>
            </w:r>
            <w:r>
              <w:rPr>
                <w:rFonts w:ascii="Times New Roman" w:hAnsi="Times New Roman"/>
                <w:sz w:val="20"/>
              </w:rPr>
              <w:t xml:space="preserve"> that any such change or elimination shall not become effective with respect to any outstanding senior debt securities of any series created prior to the execution of such supplemental indenture which is entitled to the benefit of such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other change that does not adversely affect the rights of any holder of any applicable series of outstanding senior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issuance of senior debt securities and establish the form, terms and conditions of such series, or issue additional senior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and provide for a successor trustee and add to or change the provisions of the indenture to provide for or facilitate the administration of the trusts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requirements of the SEC in order to effect or maintain the qualification of the indenture under the Trust Indenture Act of 1939, as amended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make changes that affect only senior debt securities to be issued under the indenture at any time after the changes take effect without the approval of holders of senior debt securities previously issued under the indenture. We may make changes or obtain waivers that affect only certain series of senior debt securities without the approval of holder of unaffected senior debt securities under the indenture. </w:t>
      </w:r>
    </w:p>
    <w:p>
      <w:pPr>
        <w:pStyle w:val="TextBody"/>
        <w:bidi w:val="0"/>
        <w:spacing w:before="240" w:after="0"/>
        <w:jc w:val="left"/>
        <w:rPr>
          <w:rFonts w:ascii="Times New Roman" w:hAnsi="Times New Roman"/>
          <w:sz w:val="20"/>
        </w:rPr>
      </w:pPr>
      <w:r>
        <w:rPr>
          <w:rFonts w:ascii="Times New Roman" w:hAnsi="Times New Roman"/>
          <w:i/>
          <w:sz w:val="20"/>
        </w:rPr>
        <w:t xml:space="preserve">Changes Requiring a Majority Vote. </w:t>
      </w:r>
      <w:r>
        <w:rPr>
          <w:rFonts w:ascii="Times New Roman" w:hAnsi="Times New Roman"/>
          <w:sz w:val="20"/>
        </w:rPr>
        <w:t xml:space="preserve">Any other change to the indenture and the senior debt securities would require the following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senior debt securities of one series, it must be approved by the holders of a majority in outstanding principal amount of the senior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the senior debt securities as well as the senior debt securities of one or more other series issued under the indenture, it must be approved by the holders of a majority in outstanding principal amount of each series of senior debt securities affected by the 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each case, the required approval must be given by written consent.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same vote would be required for us to obtain a waiver of a past default. However, we cannot obtain a waiver of a payment default or a waiver with respect to any other aspect of the indenture and the senior debt securities listed in the first category described previously under “Changes Requiring Approval of the Holder” unless we obtain your individual consent to the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Further Details Concerning Voting </w:t>
      </w:r>
    </w:p>
    <w:p>
      <w:pPr>
        <w:pStyle w:val="TextBody"/>
        <w:bidi w:val="0"/>
        <w:spacing w:before="120" w:after="0"/>
        <w:jc w:val="left"/>
        <w:rPr>
          <w:rFonts w:ascii="Times New Roman" w:hAnsi="Times New Roman"/>
          <w:sz w:val="20"/>
        </w:rPr>
      </w:pPr>
      <w:r>
        <w:rPr>
          <w:rFonts w:ascii="Times New Roman" w:hAnsi="Times New Roman"/>
          <w:sz w:val="20"/>
        </w:rPr>
        <w:t xml:space="preserve">The senior debt securities will not be considered outstanding, and therefore will not be eligible to vote, if we have deposited or set aside in trust for you money for their payment or redemption. The senior debt securities will also not be eligible to vote if they have been fully defeased as described above under “-Defeasance-Full Defeasance.” </w:t>
      </w:r>
    </w:p>
    <w:p>
      <w:pPr>
        <w:pStyle w:val="TextBody"/>
        <w:bidi w:val="0"/>
        <w:spacing w:before="240" w:after="0"/>
        <w:jc w:val="left"/>
        <w:rPr>
          <w:rFonts w:ascii="Times New Roman" w:hAnsi="Times New Roman"/>
          <w:sz w:val="20"/>
        </w:rPr>
      </w:pPr>
      <w:r>
        <w:rPr>
          <w:rFonts w:ascii="Times New Roman" w:hAnsi="Times New Roman"/>
          <w:sz w:val="20"/>
        </w:rPr>
        <w:t xml:space="preserve">We will generally be entitled to set any day as a record date for the purpose of determining the holders of outstanding senior debt securities that are entitled to vote or take other action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certain limited circumstances, the trustee will be entitled to set a record date for action by holders. If we or the trustee sets a record date for a vote or other action to be taken by holders of senior debt securities, that vote or action may be taken only by persons who are holders of outstanding senior debt securities on the record date and must be taken within 180 days following the record date or another period that we may specify (or as the trustee may specify, if it set the record date). We may shorten this period from time to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Personal Liability of Incorporators, Stockholders, Officers, Directors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no recourse shall be had under any obligation, covenant or agreement of ours in the indenture or in any of the senior debt securities or because of the creation of any indebtedness represented thereby, against any of our incorporators, stockholders, officers or directors, past, present or future, or any predecessor or successor entity thereof under any law, statute or constitutional provision or by the enforcement of any assessment or by any legal or equitable proceeding or otherwise. Each holder, by accepting the senior debt securities, waives and releases all such liability.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be appointed by us as paying agent, registrar and custodian with regard to the senior debt securities. The trustee or its affiliates may from time to time in the future provide banking and other services to us in exchange for a fee.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prior to the occurrence of an Event of Default with respect to the senior debt securities of a series and after the curing or waiving of all such Events of Default with respect to that series, the trustee will not be liable except for the performance of such duties as are specifically set forth in the indenture. If an Event of Default has occurred and has not been cured or waived, the trustee will exercise such rights and powers vested in it under the indenture and will use the same degree of care and skill in its exercise as a prudent person would exercise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and the provisions of the Trust Indenture Act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Unclaimed Funds </w:t>
      </w:r>
    </w:p>
    <w:p>
      <w:pPr>
        <w:pStyle w:val="TextBody"/>
        <w:bidi w:val="0"/>
        <w:spacing w:before="120" w:after="0"/>
        <w:jc w:val="left"/>
        <w:rPr>
          <w:rFonts w:ascii="Times New Roman" w:hAnsi="Times New Roman"/>
          <w:sz w:val="20"/>
        </w:rPr>
      </w:pPr>
      <w:r>
        <w:rPr>
          <w:rFonts w:ascii="Times New Roman" w:hAnsi="Times New Roman"/>
          <w:sz w:val="20"/>
        </w:rPr>
        <w:t xml:space="preserve">All funds deposited with the trustee or any paying agent for the payment of principal, interest, premium or additional amounts in respect of the senior debt securities that remain unclaimed for a period ending on the earlier of 10 business days prior to the date the money would be turned over to the applicable state and two years after the date upon which the principal of, or premium, if any, or interest on such senior debt securities shall have become due and payable will be repaid to us. Thereafter, any right of any holder of senior debt securities to such funds shall be enforceable only against us, and the trustee and paying agents will have no liability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senior debt securities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x110760_7"/>
      <w:bookmarkEnd w:id="23"/>
      <w:r>
        <w:rPr>
          <w:rFonts w:ascii="Times New Roman" w:hAnsi="Times New Roman"/>
          <w:b/>
          <w:sz w:val="20"/>
        </w:rPr>
        <w:t xml:space="preserve">FORMS OF SENIOR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senior debt security will be represented either by a certificate issued in definitive form to a particular investor or by one or more global securities representing the entire issuance of senior debt securities. Unless the applicable prospectus supplement provides otherwise, certificated senior debt securities will be issued in definitive form and global securities will be issued in registered form. Definitive senior debt securities name you or your nominee as the owner of the senior debt security, and in order to transfer or exchange these senior debt securities or to receive payments other than interest or other interim payments, you or your nominee must physically deliver the senior debt securities to the trustee, registrar, paying agent or other agent, as applicable. Global senior debt securities name a depositary or its nominee as the owner of the senior debt securities represented by these global senior debt securities. The depositary maintains a computerized system that will reflect each investor’s beneficial ownership of the senior debt securities through an account maintained by the investor with its broker/dealer, bank, trust company or other representative, as we explain more fully below. </w:t>
      </w:r>
    </w:p>
    <w:p>
      <w:pPr>
        <w:pStyle w:val="TextBody"/>
        <w:bidi w:val="0"/>
        <w:spacing w:before="360" w:after="0"/>
        <w:jc w:val="left"/>
        <w:rPr>
          <w:rFonts w:ascii="Times New Roman" w:hAnsi="Times New Roman"/>
          <w:b/>
          <w:sz w:val="20"/>
        </w:rPr>
      </w:pPr>
      <w:r>
        <w:rPr>
          <w:rFonts w:ascii="Times New Roman" w:hAnsi="Times New Roman"/>
          <w:b/>
          <w:sz w:val="20"/>
        </w:rPr>
        <w:t xml:space="preserve">Registered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registered senior debt securities in the form of one or more fully registered global senior debt securities that will be deposited with a depositary or its nominee identified in the applicable prospectus supplement and registered in the name of that depositary or nominee. In those cases, one or more registered global senior debt securities will be issued in a denomination or aggregate denominations equal to the portion of the aggregate principal or face amount of the senior debt securities to be represented by registered global securities. Unless and until it is exchanged in whole for senior debt securities in definitive registered form, a registered global security may not be transferred except as a whole by and among the depositary for the registered global security, the nominees of the depositary or any successors to the depositary or those nominees. </w:t>
      </w:r>
    </w:p>
    <w:p>
      <w:pPr>
        <w:pStyle w:val="TextBody"/>
        <w:bidi w:val="0"/>
        <w:spacing w:before="240" w:after="0"/>
        <w:jc w:val="left"/>
        <w:rPr>
          <w:rFonts w:ascii="Times New Roman" w:hAnsi="Times New Roman"/>
          <w:sz w:val="20"/>
        </w:rPr>
      </w:pPr>
      <w:r>
        <w:rPr>
          <w:rFonts w:ascii="Times New Roman" w:hAnsi="Times New Roman"/>
          <w:sz w:val="20"/>
        </w:rPr>
        <w:t xml:space="preserve">Any specific terms of the depositary arrangement with respect to any senior debt securities to be represented by a registered global security will be described in the prospectus supplement relating to those senior debt securities. We anticipate that the following provisions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senior debt securities beneficially owned by the participants. Any dealers, underwriters or agents participating in the distribution of the senior debt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senior debt securities take physical delivery of these senior debt securities in definitive form. These laws may impair your ability to own, transfer or pledge beneficial interests in registered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a registered global security, that depositary or its nominee, as the case may be, will be considered the sole owner or holder of the senior debt securities represented by the registered global security for all purposes under the indenture. Except as described below, owners of beneficial interests in a registered global security will not be entitled to have the senior debt securities represented by the registered global security registered in their names, will not receive or be entitled to receive physical delivery of the senior debt securities in definitive form and will not be considered the owners or holders of the senior debt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and interest payments on senior debt securities represented by a registered global security registered in the name of a depositary or its nominee will be made to the depositary or its nominee, as the case may be, as the registered owner of the registered global security. None of us, the trustees, or any agent of ours or agent of the trustees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of the senior debt securities represented by a registered global security, upon receipt of any payment of principal, premium, interest or other distribution of underlying senior debt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senior debt securities held for the accounts of customers or registered in “street name,” and will be the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of the senior debt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senior debt securities in definitive form in exchange for the registered global security that had been held by the depositary. Any senior debt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x110760_8"/>
      <w:bookmarkEnd w:id="24"/>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senior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issue the senior debt securities as a dividend or distribution or in a subscription rights offering to our existing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senior debt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senior debt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senior debt securities may be effected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senior debt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senior debt securities of a particular series will describe the terms of the offering of the senior debt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or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the agent or underwriters; all other items constituting underwriting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senior debt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utilized in the sale of the senior debt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senior debt securities in respect of which the prospectus is delivered, we will sell such senior debt securities to the dealer, as principal. The dealer may then resell such senior debt securities to the public at varying prices to be determined by such dealer at the time of resale.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we offer senior debt securities in a subscription rights offering to our existing security holders, we may enter into a standby underwriting agreement with dealers, acting as standby underwriters. We may pay the standby underwriters a commitment fee for the senior debt securities they commit to purchase on a standby basis. If we do not enter into a standby underwriting arrangement, we may retain a dealer-manager to manage a subscription rights offering for us. </w:t>
      </w:r>
    </w:p>
    <w:p>
      <w:pPr>
        <w:pStyle w:val="TextBody"/>
        <w:bidi w:val="0"/>
        <w:spacing w:before="240" w:after="0"/>
        <w:jc w:val="left"/>
        <w:rPr>
          <w:rFonts w:ascii="Times New Roman" w:hAnsi="Times New Roman"/>
          <w:sz w:val="20"/>
        </w:rPr>
      </w:pPr>
      <w:r>
        <w:rPr>
          <w:rFonts w:ascii="Times New Roman" w:hAnsi="Times New Roman"/>
          <w:sz w:val="20"/>
        </w:rPr>
        <w:t xml:space="preserve">Agents, underwriters, dealers and other persons may be entitled under agreements which they may enter into with us to indemnification by us against certain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senior debt securities from us pursuant to delayed delivery contracts providing for payment and delivery on the date stated in the prospectus supplement. Each contract will be for an amount not less than, and the aggregate amount of senior debt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senior debt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senior debt securities are also being sold to underwriters acting as principals for their own account, the underwriters shall have purchased such senior debt securities not sold for delayed delivery. The underwriters and other persons acting as our agents will not have any responsibility in respect of the validity or performance of delayed delivery contracts.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engage in other transactions with, and/or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senior debt securities, any underwriters may engage in transactions that stabilize, maintain or otherwise affect the price of the senior debt securities or any other senior debt securities the prices of which may be used to determine payments on such senior debt securities. Specifically, any underwriters may overallot in connection with the offering, creating a short position for their own accounts. In addition, to cover overallotments or to stabilize the price of the senior debt securities or of any such other senior debt securities, the underwriters may bid for, and purchase, the senior debt securities or any such other senior debt securities in the open market. Finally, in any offering of the senior debt securities through a syndicate of underwriters, the underwriting syndicate may reclaim selling concessions allowed to an underwriter or a dealer for distributing the senior debt securities in the offering if the syndicate repurchases previously distributed senior debt securities in transactions to cover syndicate short positions, in stabilization transactions or otherwise. Any of these activities may stabilize or maintain the market price of the senior debt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as amended, trades in the secondary market generally are required to settle in one business day, unless the parties to any such trade expressly agree otherwise. The applicable prospectus supplement may provide that the original issue date for your senior debt securities may be more than one scheduled business day after the trade date for your senior debt securities. Accordingly, in such a case, if you wish to trade senior debt securities on any date prior to the first business day before the original issue date for your senior debt securities, you will be required, by virtue of the fact that your senior debt securities initially are expected to settle in more than one scheduled business day after the trade date for your senior debt securities, to make alternative settlement arrangements to prevent a failed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senior debt securities may be new issues of senior debt securities and may have no established trading market. The senior debt securities may or may not be listed on a national senior debt securities exchange. We can make no assurance as to the liquidity of or the existence of trading markets for any of the senior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x110760_9"/>
      <w:bookmarkEnd w:id="2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indicates otherwise, the validity of the senior debt securities in respect of which this prospectus is being delivered will be passed upon by Wilson Sonsini Goodrich &amp; Rosati, Professional Corporation, Palo Alto, California. </w:t>
      </w:r>
    </w:p>
    <w:p>
      <w:pPr>
        <w:pStyle w:val="TextBody"/>
        <w:bidi w:val="0"/>
        <w:spacing w:before="480" w:after="0"/>
        <w:jc w:val="center"/>
        <w:rPr>
          <w:rFonts w:ascii="Times New Roman" w:hAnsi="Times New Roman"/>
          <w:b/>
          <w:sz w:val="20"/>
        </w:rPr>
      </w:pPr>
      <w:bookmarkStart w:id="26" w:name="tx110760_10"/>
      <w:bookmarkEnd w:id="2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included in our Annual Report on Form 10-K for the year ended January 31, 2025, and the effectiveness of our internal control over financial reporting as of January 31, 2025,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 </w:t>
      </w:r>
    </w:p>
    <w:p>
      <w:pPr>
        <w:pStyle w:val="TextBody"/>
        <w:bidi w:val="0"/>
        <w:spacing w:before="480" w:after="0"/>
        <w:jc w:val="center"/>
        <w:rPr>
          <w:rFonts w:ascii="Times New Roman" w:hAnsi="Times New Roman"/>
          <w:b/>
          <w:sz w:val="20"/>
        </w:rPr>
      </w:pPr>
      <w:bookmarkStart w:id="27" w:name="tx110760_11"/>
      <w:bookmarkEnd w:id="2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www.autodesk.com. Information accessible on or through our website is not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is part of a registration statement we filed with the SEC. This prospectus and any prospectus supplement omit some information contained in the registration statement in accordance with SEC rules and regulations. You should review the information and exhibits in the registration statement for further information on us and our consolidated subsidiaries and the senior debt securities we are offering. Statements in this prospectus or any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8" w:name="tx110760_12"/>
      <w:bookmarkEnd w:id="28"/>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senior debt securities under the registration statement of which this prospectus forms a part of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13">
              <w:r>
                <w:rPr>
                  <w:rStyle w:val="InternetLink"/>
                  <w:rFonts w:ascii="Times New Roman" w:hAnsi="Times New Roman"/>
                  <w:sz w:val="20"/>
                </w:rPr>
                <w:t>Form 10-K</w:t>
              </w:r>
            </w:hyperlink>
            <w:r>
              <w:rPr>
                <w:rFonts w:ascii="Times New Roman" w:hAnsi="Times New Roman"/>
                <w:sz w:val="20"/>
              </w:rPr>
              <w:t xml:space="preserve"> for the fiscal year ended January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sections of our </w:t>
            </w:r>
            <w:hyperlink r:id="rId14">
              <w:r>
                <w:rPr>
                  <w:rStyle w:val="InternetLink"/>
                  <w:rFonts w:ascii="Times New Roman" w:hAnsi="Times New Roman"/>
                  <w:sz w:val="20"/>
                </w:rPr>
                <w:t>Definitive Proxy Statement on Schedule 14A</w:t>
              </w:r>
            </w:hyperlink>
            <w:r>
              <w:rPr>
                <w:rFonts w:ascii="Times New Roman" w:hAnsi="Times New Roman"/>
                <w:sz w:val="20"/>
              </w:rPr>
              <w:t xml:space="preserve"> for the 2025 Annual Meeting of Stockholders incorporated by reference in our Annual Report on </w:t>
            </w:r>
            <w:hyperlink r:id="rId15">
              <w:r>
                <w:rPr>
                  <w:rStyle w:val="InternetLink"/>
                  <w:rFonts w:ascii="Times New Roman" w:hAnsi="Times New Roman"/>
                  <w:sz w:val="20"/>
                </w:rPr>
                <w:t>Form 10-K</w:t>
              </w:r>
            </w:hyperlink>
            <w:r>
              <w:rPr>
                <w:rFonts w:ascii="Times New Roman" w:hAnsi="Times New Roman"/>
                <w:sz w:val="20"/>
              </w:rPr>
              <w:t xml:space="preserve"> for the fiscal year ended January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w:t>
            </w:r>
            <w:hyperlink r:id="rId16">
              <w:r>
                <w:rPr>
                  <w:rStyle w:val="InternetLink"/>
                  <w:rFonts w:ascii="Times New Roman" w:hAnsi="Times New Roman"/>
                  <w:sz w:val="20"/>
                </w:rPr>
                <w:t>Form 10-Q</w:t>
              </w:r>
            </w:hyperlink>
            <w:r>
              <w:rPr>
                <w:rFonts w:ascii="Times New Roman" w:hAnsi="Times New Roman"/>
                <w:sz w:val="20"/>
              </w:rPr>
              <w:t xml:space="preserve"> for the fiscal quarter ended April 30,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Current Reports on Form 8-K filed on </w:t>
            </w:r>
            <w:hyperlink r:id="rId17">
              <w:r>
                <w:rPr>
                  <w:rStyle w:val="InternetLink"/>
                  <w:rFonts w:ascii="Times New Roman" w:hAnsi="Times New Roman"/>
                  <w:sz w:val="20"/>
                </w:rPr>
                <w:t>February  27, 2025</w:t>
              </w:r>
            </w:hyperlink>
            <w:r>
              <w:rPr>
                <w:rFonts w:ascii="Times New Roman" w:hAnsi="Times New Roman"/>
                <w:sz w:val="20"/>
              </w:rPr>
              <w:t xml:space="preserve"> (with respect to Item 2.05 and 5.02 only), </w:t>
            </w:r>
            <w:hyperlink r:id="rId18">
              <w:r>
                <w:rPr>
                  <w:rStyle w:val="InternetLink"/>
                  <w:rFonts w:ascii="Times New Roman" w:hAnsi="Times New Roman"/>
                  <w:sz w:val="20"/>
                </w:rPr>
                <w:t>April 2, 2025</w:t>
              </w:r>
            </w:hyperlink>
            <w:r>
              <w:rPr>
                <w:rFonts w:ascii="Times New Roman" w:hAnsi="Times New Roman"/>
                <w:sz w:val="20"/>
              </w:rPr>
              <w:t xml:space="preserve"> (with respect to Item 5.02 only), </w:t>
            </w:r>
            <w:hyperlink r:id="rId19">
              <w:r>
                <w:rPr>
                  <w:rStyle w:val="InternetLink"/>
                  <w:rFonts w:ascii="Times New Roman" w:hAnsi="Times New Roman"/>
                  <w:sz w:val="20"/>
                </w:rPr>
                <w:t>April  24, 2025</w:t>
              </w:r>
            </w:hyperlink>
            <w:r>
              <w:rPr>
                <w:rFonts w:ascii="Times New Roman" w:hAnsi="Times New Roman"/>
                <w:sz w:val="20"/>
              </w:rPr>
              <w:t xml:space="preserve">, </w:t>
            </w:r>
            <w:hyperlink r:id="rId20">
              <w:r>
                <w:rPr>
                  <w:rStyle w:val="InternetLink"/>
                  <w:rFonts w:ascii="Times New Roman" w:hAnsi="Times New Roman"/>
                  <w:sz w:val="20"/>
                </w:rPr>
                <w:t>May  8, 2025</w:t>
              </w:r>
            </w:hyperlink>
            <w:r>
              <w:rPr>
                <w:rFonts w:ascii="Times New Roman" w:hAnsi="Times New Roman"/>
                <w:sz w:val="20"/>
              </w:rPr>
              <w:t xml:space="preserve"> and </w:t>
            </w:r>
            <w:hyperlink r:id="rId21">
              <w:r>
                <w:rPr>
                  <w:rStyle w:val="InternetLink"/>
                  <w:rFonts w:ascii="Times New Roman" w:hAnsi="Times New Roman"/>
                  <w:sz w:val="20"/>
                </w:rPr>
                <w:t>May 22, 2025</w:t>
              </w:r>
            </w:hyperlink>
            <w:r>
              <w:rPr>
                <w:rFonts w:ascii="Times New Roman" w:hAnsi="Times New Roman"/>
                <w:sz w:val="20"/>
              </w:rPr>
              <w:t xml:space="preserve"> (with respect to Item 5.02 only).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Autodesk, Inc. </w:t>
      </w:r>
    </w:p>
    <w:p>
      <w:pPr>
        <w:pStyle w:val="TextBody"/>
        <w:bidi w:val="0"/>
        <w:spacing w:before="0" w:after="0"/>
        <w:jc w:val="center"/>
        <w:rPr>
          <w:rFonts w:ascii="Times New Roman" w:hAnsi="Times New Roman"/>
          <w:sz w:val="20"/>
        </w:rPr>
      </w:pPr>
      <w:r>
        <w:rPr>
          <w:rFonts w:ascii="Times New Roman" w:hAnsi="Times New Roman"/>
          <w:sz w:val="20"/>
        </w:rPr>
        <w:t xml:space="preserve">One Market Street, Ste. 400 </w:t>
      </w:r>
    </w:p>
    <w:p>
      <w:pPr>
        <w:pStyle w:val="TextBody"/>
        <w:bidi w:val="0"/>
        <w:spacing w:before="0" w:after="0"/>
        <w:jc w:val="center"/>
        <w:rPr>
          <w:rFonts w:ascii="Times New Roman" w:hAnsi="Times New Roman"/>
          <w:sz w:val="20"/>
        </w:rPr>
      </w:pPr>
      <w:r>
        <w:rPr>
          <w:rFonts w:ascii="Times New Roman" w:hAnsi="Times New Roman"/>
          <w:sz w:val="20"/>
        </w:rPr>
        <w:t xml:space="preserve">San Francisco, California 94105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(415) 507-5000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810000" cy="4203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2"/>
                    <a:stretch>
                      <a:fillRect/>
                    </a:stretch>
                  </pic:blipFill>
                  <pic:spPr bwMode="auto">
                    <a:xfrm>
                      <a:off x="0" y="0"/>
                      <a:ext cx="3810000" cy="4203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$500,000,000 5.050% Notes due 2029 </w:t>
      </w:r>
    </w:p>
    <w:p>
      <w:pPr>
        <w:pStyle w:val="TextBody"/>
        <w:bidi w:val="0"/>
        <w:spacing w:before="240" w:after="0"/>
        <w:jc w:val="center"/>
        <w:rPr>
          <w:rFonts w:ascii="Times New Roman" w:hAnsi="Times New Roman"/>
          <w:b/>
          <w:sz w:val="28"/>
        </w:rPr>
      </w:pPr>
      <w:r>
        <w:rPr>
          <w:rFonts w:ascii="Times New Roman" w:hAnsi="Times New Roman"/>
          <w:b/>
          <w:sz w:val="28"/>
        </w:rPr>
        <w:t xml:space="preserve">$500,000,000 5.650% Notes due 2033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4"/>
        </w:rPr>
      </w:pPr>
      <w:r>
        <w:rPr>
          <w:rFonts w:ascii="Times New Roman" w:hAnsi="Times New Roman"/>
          <w:b/>
          <w:i/>
          <w:sz w:val="24"/>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Morgan Stanley</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BNP PARIBAS</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Citigroup</w:t>
            </w:r>
          </w:p>
        </w:tc>
      </w:tr>
    </w:tbl>
    <w:tbl>
      <w:tblPr>
        <w:tblW w:w="5000" w:type="pct"/>
        <w:jc w:val="left"/>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center"/>
              <w:rPr/>
            </w:pPr>
            <w:r>
              <w:rPr/>
              <w:t> </w:t>
            </w:r>
            <w:r>
              <w:rPr>
                <w:b/>
              </w:rPr>
              <w:t>BofA Securities</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center"/>
              <w:rPr>
                <w:b/>
              </w:rPr>
            </w:pPr>
            <w:r>
              <w:rPr>
                <w:b/>
              </w:rPr>
              <w:t>US Bancorp</w:t>
            </w:r>
          </w:p>
        </w:tc>
      </w:tr>
    </w:tbl>
    <w:p>
      <w:pPr>
        <w:pStyle w:val="TextBody"/>
        <w:bidi w:val="0"/>
        <w:spacing w:before="120" w:after="0"/>
        <w:jc w:val="center"/>
        <w:rPr>
          <w:rFonts w:ascii="Times New Roman" w:hAnsi="Times New Roman"/>
          <w:b/>
          <w:i/>
          <w:sz w:val="24"/>
        </w:rPr>
      </w:pPr>
      <w:r>
        <w:rPr>
          <w:rFonts w:ascii="Times New Roman" w:hAnsi="Times New Roman"/>
          <w:b/>
          <w:i/>
          <w:sz w:val="24"/>
        </w:rPr>
        <w:t xml:space="preserve">Co-Managers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101"/>
        <w:gridCol w:w="2042"/>
        <w:gridCol w:w="101"/>
        <w:gridCol w:w="3470"/>
        <w:gridCol w:w="102"/>
        <w:gridCol w:w="2552"/>
      </w:tblGrid>
      <w:tr>
        <w:trPr/>
        <w:tc>
          <w:tcPr>
            <w:tcW w:w="183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1837" w:type="dxa"/>
            <w:tcBorders/>
          </w:tcPr>
          <w:p>
            <w:pPr>
              <w:pStyle w:val="TableContents"/>
              <w:bidi w:val="0"/>
              <w:spacing w:before="0" w:after="283"/>
              <w:jc w:val="left"/>
              <w:rPr>
                <w:b/>
                <w:sz w:val="20"/>
              </w:rPr>
            </w:pPr>
            <w:r>
              <w:rPr>
                <w:b/>
                <w:sz w:val="20"/>
              </w:rPr>
              <w:t>J.P. Morgan</w:t>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left"/>
              <w:rPr>
                <w:b/>
                <w:sz w:val="20"/>
              </w:rPr>
            </w:pPr>
            <w:r>
              <w:rPr>
                <w:b/>
                <w:sz w:val="20"/>
              </w:rPr>
              <w:t>MUFG</w:t>
            </w:r>
          </w:p>
        </w:tc>
        <w:tc>
          <w:tcPr>
            <w:tcW w:w="101"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center"/>
              <w:rPr>
                <w:b/>
                <w:sz w:val="20"/>
              </w:rPr>
            </w:pPr>
            <w:r>
              <w:rPr>
                <w:b/>
                <w:sz w:val="20"/>
              </w:rPr>
              <w:t>RBC Capital Markets</w:t>
            </w:r>
          </w:p>
        </w:tc>
        <w:tc>
          <w:tcPr>
            <w:tcW w:w="102"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0"/>
              <w:jc w:val="right"/>
              <w:rPr>
                <w:rFonts w:ascii="Times New Roman" w:hAnsi="Times New Roman"/>
                <w:b/>
                <w:sz w:val="20"/>
              </w:rPr>
            </w:pPr>
            <w:r>
              <w:rPr>
                <w:rFonts w:ascii="Times New Roman" w:hAnsi="Times New Roman"/>
                <w:b/>
                <w:sz w:val="20"/>
              </w:rPr>
              <w:t>Wells Fargo Securities</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September 8,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29" w:name="d110760dexfilingfees.htm"/>
      <w:bookmarkStart w:id="30" w:name="ksd110760dexfilingfees"/>
      <w:bookmarkStart w:id="31" w:name="d110760dexfilingfees.htm"/>
      <w:bookmarkStart w:id="32" w:name="ksd110760dexfilingfees"/>
      <w:bookmarkEnd w:id="31"/>
      <w:bookmarkEnd w:id="32"/>
      <w:r>
        <w:br w:type="page"/>
      </w:r>
    </w:p>
    <w:tbl>
      <w:tblPr>
        <w:tblW w:w="3558" w:type="dxa"/>
        <w:jc w:val="left"/>
        <w:tblInd w:w="0" w:type="dxa"/>
        <w:tblLayout w:type="fixed"/>
        <w:tblCellMar>
          <w:top w:w="28" w:type="dxa"/>
          <w:left w:w="28" w:type="dxa"/>
          <w:bottom w:w="28" w:type="dxa"/>
          <w:right w:w="28" w:type="dxa"/>
        </w:tblCellMar>
      </w:tblPr>
      <w:tblGrid>
        <w:gridCol w:w="3404"/>
        <w:gridCol w:w="154"/>
      </w:tblGrid>
      <w:tr>
        <w:trPr/>
        <w:tc>
          <w:tcPr>
            <w:tcW w:w="355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4"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04" w:type="dxa"/>
            <w:tcBorders/>
            <w:vAlign w:val="center"/>
          </w:tcPr>
          <w:p>
            <w:pPr>
              <w:pStyle w:val="TableContents"/>
              <w:bidi w:val="0"/>
              <w:spacing w:before="0" w:after="283"/>
              <w:jc w:val="left"/>
              <w:rPr>
                <w:b/>
              </w:rPr>
            </w:pPr>
            <w:r>
              <w:rPr>
                <w:b/>
              </w:rPr>
              <w:t xml:space="preserve">Autodesk,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24" w:type="dxa"/>
        <w:jc w:val="left"/>
        <w:tblInd w:w="0" w:type="dxa"/>
        <w:tblLayout w:type="fixed"/>
        <w:tblCellMar>
          <w:top w:w="28" w:type="dxa"/>
          <w:left w:w="28" w:type="dxa"/>
          <w:bottom w:w="28" w:type="dxa"/>
          <w:right w:w="28" w:type="dxa"/>
        </w:tblCellMar>
      </w:tblPr>
      <w:tblGrid>
        <w:gridCol w:w="1126"/>
        <w:gridCol w:w="226"/>
        <w:gridCol w:w="946"/>
        <w:gridCol w:w="946"/>
        <w:gridCol w:w="1276"/>
        <w:gridCol w:w="1186"/>
        <w:gridCol w:w="1156"/>
        <w:gridCol w:w="178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2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5.050% Notes due 2029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500,000 </w:t>
            </w:r>
          </w:p>
        </w:tc>
        <w:tc>
          <w:tcPr>
            <w:tcW w:w="1156" w:type="dxa"/>
            <w:tcBorders/>
            <w:shd w:fill="E7E7E2" w:val="clear"/>
            <w:vAlign w:val="center"/>
          </w:tcPr>
          <w:p>
            <w:pPr>
              <w:pStyle w:val="TableContents"/>
              <w:bidi w:val="0"/>
              <w:spacing w:before="0" w:after="283"/>
              <w:jc w:val="right"/>
              <w:rPr/>
            </w:pPr>
            <w:r>
              <w:rPr/>
              <w:t xml:space="preserve">$ 998.69 </w:t>
            </w:r>
          </w:p>
        </w:tc>
        <w:tc>
          <w:tcPr>
            <w:tcW w:w="1786" w:type="dxa"/>
            <w:tcBorders/>
            <w:shd w:fill="E7E7E2" w:val="clear"/>
            <w:vAlign w:val="center"/>
          </w:tcPr>
          <w:p>
            <w:pPr>
              <w:pStyle w:val="TableContents"/>
              <w:bidi w:val="0"/>
              <w:spacing w:before="0" w:after="283"/>
              <w:jc w:val="right"/>
              <w:rPr/>
            </w:pPr>
            <w:r>
              <w:rPr/>
              <w:t xml:space="preserve">$ 499,345,000.00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$ 68,959.54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5.650% Notes due 2033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500,000 </w:t>
            </w:r>
          </w:p>
        </w:tc>
        <w:tc>
          <w:tcPr>
            <w:tcW w:w="1156" w:type="dxa"/>
            <w:tcBorders/>
            <w:shd w:fill="E7E7E2" w:val="clear"/>
            <w:vAlign w:val="center"/>
          </w:tcPr>
          <w:p>
            <w:pPr>
              <w:pStyle w:val="TableContents"/>
              <w:bidi w:val="0"/>
              <w:spacing w:before="0" w:after="283"/>
              <w:jc w:val="right"/>
              <w:rPr/>
            </w:pPr>
            <w:r>
              <w:rPr/>
              <w:t xml:space="preserve">$ 998.44 </w:t>
            </w:r>
          </w:p>
        </w:tc>
        <w:tc>
          <w:tcPr>
            <w:tcW w:w="1786" w:type="dxa"/>
            <w:tcBorders/>
            <w:shd w:fill="E7E7E2" w:val="clear"/>
            <w:vAlign w:val="center"/>
          </w:tcPr>
          <w:p>
            <w:pPr>
              <w:pStyle w:val="TableContents"/>
              <w:bidi w:val="0"/>
              <w:spacing w:before="0" w:after="283"/>
              <w:jc w:val="right"/>
              <w:rPr/>
            </w:pPr>
            <w:r>
              <w:rPr/>
              <w:t xml:space="preserve">$ 499,220,000.00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$ 68,942.28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2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3" w:name="MaxAggtOfferingPrice"/>
            <w:bookmarkEnd w:id="33"/>
            <w:r>
              <w:rPr/>
              <w:t xml:space="preserve">$ 998,565,000.00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4" w:name="TotalFeeAmt"/>
            <w:bookmarkEnd w:id="34"/>
            <w:r>
              <w:rPr/>
              <w:t xml:space="preserve">$ 137,901.82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5" w:name="TotalPreviouslyPaid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6" w:name="TotalOffset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7" w:name="NetFeeAmt"/>
            <w:bookmarkEnd w:id="37"/>
            <w:r>
              <w:rPr/>
              <w:t xml:space="preserve">$ 137,901.82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8"/>
        <w:gridCol w:w="1292"/>
        <w:gridCol w:w="8695"/>
      </w:tblGrid>
      <w:tr>
        <w:trPr/>
        <w:tc>
          <w:tcPr>
            <w:tcW w:w="21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87" w:type="dxa"/>
            <w:gridSpan w:val="2"/>
            <w:tcBorders/>
            <w:vAlign w:val="center"/>
          </w:tcPr>
          <w:p>
            <w:pPr>
              <w:pStyle w:val="TableContents"/>
              <w:bidi w:val="0"/>
              <w:spacing w:before="0" w:after="283"/>
              <w:jc w:val="left"/>
              <w:rPr/>
            </w:pPr>
            <w:r>
              <w:rPr/>
              <w:t xml:space="preserve">This registration fee table shall be deemed to update the "Calculation of Registration Fee" in the Company's Registration Statement on form S-3 (File No. 333-287650) in accordance with Rules 456(b) and 457(r) under the Securities Act of 1933, as amended. </w:t>
            </w:r>
          </w:p>
        </w:tc>
      </w:tr>
      <w:tr>
        <w:trPr/>
        <w:tc>
          <w:tcPr>
            <w:tcW w:w="1510" w:type="dxa"/>
            <w:gridSpan w:val="2"/>
            <w:tcBorders/>
            <w:vAlign w:val="center"/>
          </w:tcPr>
          <w:p>
            <w:pPr>
              <w:pStyle w:val="HorizontalLine"/>
              <w:pBdr>
                <w:bottom w:val="double" w:sz="2" w:space="0" w:color="808080"/>
              </w:pBdr>
              <w:bidi w:val="0"/>
              <w:spacing w:before="0" w:after="283"/>
              <w:jc w:val="left"/>
              <w:rPr/>
            </w:pPr>
            <w:r>
              <w:rPr/>
            </w:r>
          </w:p>
        </w:tc>
        <w:tc>
          <w:tcPr>
            <w:tcW w:w="8695" w:type="dxa"/>
            <w:tcBorders/>
          </w:tcPr>
          <w:p>
            <w:pPr>
              <w:pStyle w:val="TableContents"/>
              <w:bidi w:val="0"/>
              <w:spacing w:before="0" w:after="283"/>
              <w:jc w:val="left"/>
              <w:rPr>
                <w:sz w:val="4"/>
                <w:szCs w:val="4"/>
              </w:rPr>
            </w:pPr>
            <w:r>
              <w:rPr>
                <w:sz w:val="4"/>
                <w:szCs w:val="4"/>
              </w:rPr>
            </w:r>
          </w:p>
        </w:tc>
      </w:tr>
      <w:tr>
        <w:trPr/>
        <w:tc>
          <w:tcPr>
            <w:tcW w:w="21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87" w:type="dxa"/>
            <w:gridSpan w:val="2"/>
            <w:tcBorders/>
            <w:vAlign w:val="center"/>
          </w:tcPr>
          <w:p>
            <w:pPr>
              <w:pStyle w:val="TableContents"/>
              <w:bidi w:val="0"/>
              <w:spacing w:before="0" w:after="283"/>
              <w:jc w:val="left"/>
              <w:rPr/>
            </w:pPr>
            <w:r>
              <w:rPr/>
              <w:t xml:space="preserve">See Offering Note 1. </w:t>
            </w:r>
          </w:p>
        </w:tc>
      </w:tr>
      <w:tr>
        <w:trPr/>
        <w:tc>
          <w:tcPr>
            <w:tcW w:w="1510" w:type="dxa"/>
            <w:gridSpan w:val="2"/>
            <w:tcBorders/>
            <w:vAlign w:val="center"/>
          </w:tcPr>
          <w:p>
            <w:pPr>
              <w:pStyle w:val="HorizontalLine"/>
              <w:pBdr>
                <w:bottom w:val="double" w:sz="2" w:space="0" w:color="808080"/>
              </w:pBdr>
              <w:bidi w:val="0"/>
              <w:spacing w:before="0" w:after="283"/>
              <w:jc w:val="left"/>
              <w:rPr/>
            </w:pPr>
            <w:r>
              <w:rPr/>
            </w:r>
          </w:p>
        </w:tc>
        <w:tc>
          <w:tcPr>
            <w:tcW w:w="869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amount of the securities to which the prospectus relates is 1,000,000,000. The maximum aggregate offering price of the securities to which the prospectus relates is $998,565,000.00.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0769397/000076939726000015/adsk-20260131.htm" TargetMode="External"/><Relationship Id="rId4" Type="http://schemas.openxmlformats.org/officeDocument/2006/relationships/hyperlink" Target="http://www.sec.gov/Archives/edgar/data/../../../ix?doc=/Archives/edgar/data/0000769397/000076939726000015/adsk-20260131.htm" TargetMode="External"/><Relationship Id="rId5" Type="http://schemas.openxmlformats.org/officeDocument/2006/relationships/hyperlink" Target="http://www.sec.gov/Archives/edgar/data/../../../ix?doc=/Archives/edgar/data/0000769397/000076939726000044/adsk-20260430.htm" TargetMode="External"/><Relationship Id="rId6" Type="http://schemas.openxmlformats.org/officeDocument/2006/relationships/hyperlink" Target="http://www.sec.gov/Archives/edgar/data/../../../ix?doc=/Archives/edgar/data/769397/000076939726000061/adsk-20260731.htm" TargetMode="External"/><Relationship Id="rId7" Type="http://schemas.openxmlformats.org/officeDocument/2006/relationships/hyperlink" Target="http://www.sec.gov/Archives/edgar/data/../../../ix?doc=/Archives/edgar/data/0000769397/000076939726000024/adsk-20260420.htm" TargetMode="External"/><Relationship Id="rId8" Type="http://schemas.openxmlformats.org/officeDocument/2006/relationships/hyperlink" Target="http://www.sec.gov/Archives/edgar/data/../../../ix?doc=/Archives/edgar/data/0000769397/000121390026062125/ea0292483-8k_autodesk.htm" TargetMode="External"/><Relationship Id="rId9" Type="http://schemas.openxmlformats.org/officeDocument/2006/relationships/hyperlink" Target="http://www.sec.gov/Archives/edgar/data/../../../ix?doc=/Archives/edgar/data/0000769397/000121390026068533/ea0294709-8k_autodesk.htm" TargetMode="External"/><Relationship Id="rId10" Type="http://schemas.openxmlformats.org/officeDocument/2006/relationships/hyperlink" Target="http://www.sec.gov/Archives/edgar/data/../../../ix?doc=/Archives/edgar/data/0000769397/000076939726000050/adsk-20260617.htm" TargetMode="External"/><Relationship Id="rId11" Type="http://schemas.openxmlformats.org/officeDocument/2006/relationships/hyperlink" Target="http://www.sec.gov/Archives/edgar/data/../../../ix?doc=/Archives/edgar/data/0000769397/000121390026077574/ea0296272-8k_autodesk.htm" TargetMode="External"/><Relationship Id="rId12" Type="http://schemas.openxmlformats.org/officeDocument/2006/relationships/hyperlink" Target="http://www.sec.gov/Archives/edgar/data/../../../ix?doc=/Archives/edgar/data/0000769397/000121390026084276/ea0300009-8k_autodesk.htm" TargetMode="External"/><Relationship Id="rId13" Type="http://schemas.openxmlformats.org/officeDocument/2006/relationships/hyperlink" Target="http://www.sec.gov/Archives/edgar/data/../../../ix?doc=/Archives/edgar/data/769397/000076939725000019/adsk-20250131.htm" TargetMode="External"/><Relationship Id="rId14" Type="http://schemas.openxmlformats.org/officeDocument/2006/relationships/hyperlink" Target="http://www.sec.gov/Archives/edgar/data/../../../ix?doc=/Archives/edgar/data/769397/000076939725000058/adsk-20250505.htm" TargetMode="External"/><Relationship Id="rId15" Type="http://schemas.openxmlformats.org/officeDocument/2006/relationships/hyperlink" Target="http://www.sec.gov/Archives/edgar/data/../../../ix?doc=/Archives/edgar/data/769397/000076939725000019/adsk-20250131.htm" TargetMode="External"/><Relationship Id="rId16" Type="http://schemas.openxmlformats.org/officeDocument/2006/relationships/hyperlink" Target="http://www.sec.gov/Archives/edgar/data/../../../ix?doc=/Archives/edgar/data/769397/000076939725000071/adsk-20250430.htm" TargetMode="External"/><Relationship Id="rId17" Type="http://schemas.openxmlformats.org/officeDocument/2006/relationships/hyperlink" Target="http://www.sec.gov/Archives/edgar/data/../../../ix?doc=/Archives/edgar/data/769397/000076939725000013/adsk-20250226.htm" TargetMode="External"/><Relationship Id="rId18" Type="http://schemas.openxmlformats.org/officeDocument/2006/relationships/hyperlink" Target="http://www.sec.gov/Archives/edgar/data/../../../ix?doc=/Archives/edgar/data/769397/000121390025028145/ea0236951-8k_autodesk.htm" TargetMode="External"/><Relationship Id="rId19" Type="http://schemas.openxmlformats.org/officeDocument/2006/relationships/hyperlink" Target="http://www.sec.gov/Archives/edgar/data/../../../ix?doc=/Archives/edgar/data/769397/000076939725000051/adsk-20250423.htm" TargetMode="External"/><Relationship Id="rId20" Type="http://schemas.openxmlformats.org/officeDocument/2006/relationships/hyperlink" Target="http://www.sec.gov/Archives/edgar/data/../../../ix?doc=/Archives/edgar/data/769397/000076939725000063/adsk-20250508.htm" TargetMode="External"/><Relationship Id="rId21" Type="http://schemas.openxmlformats.org/officeDocument/2006/relationships/hyperlink" Target="http://www.sec.gov/Archives/edgar/data/../../../ix?doc=/Archives/edgar/data/769397/000076939725000067/adsk-20250522.htm" TargetMode="External"/><Relationship Id="rId22" Type="http://schemas.openxmlformats.org/officeDocument/2006/relationships/image" Target="media/image2.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71</Pages>
  <Words>36002</Words>
  <Characters>187972</Characters>
  <CharactersWithSpaces>225279</CharactersWithSpaces>
  <Paragraphs>3154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