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April 30, 2025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0-14338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AUTODESK,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5727" w:type="dxa"/>
        <w:jc w:val="left"/>
        <w:tblInd w:w="0" w:type="dxa"/>
        <w:tblLayout w:type="fixed"/>
        <w:tblCellMar>
          <w:top w:w="28" w:type="dxa"/>
          <w:left w:w="28" w:type="dxa"/>
          <w:bottom w:w="28" w:type="dxa"/>
          <w:right w:w="28" w:type="dxa"/>
        </w:tblCellMar>
      </w:tblPr>
      <w:tblGrid>
        <w:gridCol w:w="1058"/>
        <w:gridCol w:w="927"/>
        <w:gridCol w:w="940"/>
        <w:gridCol w:w="330"/>
        <w:gridCol w:w="330"/>
        <w:gridCol w:w="331"/>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94-2819853</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Market Street, Ste. 400</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94105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507-5000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667" w:type="dxa"/>
        <w:jc w:val="left"/>
        <w:tblInd w:w="0" w:type="dxa"/>
        <w:tblLayout w:type="fixed"/>
        <w:tblCellMar>
          <w:top w:w="28" w:type="dxa"/>
          <w:left w:w="28" w:type="dxa"/>
          <w:bottom w:w="28" w:type="dxa"/>
          <w:right w:w="28" w:type="dxa"/>
        </w:tblCellMar>
      </w:tblPr>
      <w:tblGrid>
        <w:gridCol w:w="1263"/>
        <w:gridCol w:w="1109"/>
        <w:gridCol w:w="1122"/>
        <w:gridCol w:w="109"/>
        <w:gridCol w:w="109"/>
        <w:gridCol w:w="109"/>
        <w:gridCol w:w="564"/>
        <w:gridCol w:w="564"/>
        <w:gridCol w:w="566"/>
        <w:gridCol w:w="109"/>
        <w:gridCol w:w="109"/>
        <w:gridCol w:w="109"/>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Indicate by check mark whether the registrant is a shell company (as defined by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May 22, 2025, registrant had outstanding 214 million shares of 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849"/>
        <w:gridCol w:w="2849"/>
        <w:gridCol w:w="2854"/>
        <w:gridCol w:w="237"/>
        <w:gridCol w:w="237"/>
        <w:gridCol w:w="33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34ea450e9e46fd9b783c0e98e5b545_10">
              <w:r>
                <w:rPr>
                  <w:rStyle w:val="InternetLink"/>
                  <w:rFonts w:ascii="Times New Roman;sans-serif" w:hAnsi="Times New Roman;sans-serif"/>
                  <w:b/>
                  <w:color w:val="0000FF"/>
                  <w:sz w:val="20"/>
                  <w:u w:val="single"/>
                </w:rPr>
                <w:t>PART I. FINANCIAL INFORMATION</w:t>
              </w:r>
            </w:hyperlink>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3">
              <w:r>
                <w:rPr>
                  <w:rStyle w:val="InternetLink"/>
                  <w:rFonts w:ascii="Times New Roman;sans-serif" w:hAnsi="Times New Roman;sans-serif"/>
                  <w:b/>
                  <w:color w:val="0000FF"/>
                  <w:sz w:val="20"/>
                  <w:u w:val="single"/>
                </w:rPr>
                <w:t>Financial Statements:</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6">
              <w:r>
                <w:rPr>
                  <w:rStyle w:val="InternetLink"/>
                  <w:rFonts w:ascii="Times New Roman;sans-serif" w:hAnsi="Times New Roman;sans-serif"/>
                  <w:b w:val="false"/>
                  <w:color w:val="000080"/>
                  <w:sz w:val="20"/>
                  <w:u w:val="single"/>
                </w:rPr>
                <w:t>Condensed Consolidated Statements of Operations for the Three</w:t>
              </w:r>
            </w:hyperlink>
            <w:hyperlink w:anchor="i0634ea450e9e46fd9b783c0e98e5b545_16">
              <w:r>
                <w:rPr>
                  <w:rStyle w:val="InternetLink"/>
                  <w:rFonts w:ascii="Times New Roman;sans-serif" w:hAnsi="Times New Roman;sans-serif"/>
                  <w:b w:val="false"/>
                  <w:color w:val="000080"/>
                  <w:sz w:val="20"/>
                  <w:u w:val="single"/>
                </w:rPr>
                <w:t xml:space="preserve"> Months Ended </w:t>
              </w:r>
            </w:hyperlink>
            <w:hyperlink w:anchor="i0634ea450e9e46fd9b783c0e98e5b545_16">
              <w:r>
                <w:rPr>
                  <w:rStyle w:val="InternetLink"/>
                  <w:rFonts w:ascii="Times New Roman;sans-serif" w:hAnsi="Times New Roman;sans-serif"/>
                  <w:b w:val="false"/>
                  <w:color w:val="000080"/>
                  <w:sz w:val="20"/>
                  <w:u w:val="single"/>
                </w:rPr>
                <w:t>April 30</w:t>
              </w:r>
            </w:hyperlink>
            <w:hyperlink w:anchor="i0634ea450e9e46fd9b783c0e98e5b545_16">
              <w:r>
                <w:rPr>
                  <w:rStyle w:val="InternetLink"/>
                  <w:rFonts w:ascii="Times New Roman;sans-serif" w:hAnsi="Times New Roman;sans-serif"/>
                  <w:b w:val="false"/>
                  <w:color w:val="000080"/>
                  <w:sz w:val="20"/>
                  <w:u w:val="single"/>
                </w:rPr>
                <w:t>, 202</w:t>
              </w:r>
            </w:hyperlink>
            <w:hyperlink w:anchor="i0634ea450e9e46fd9b783c0e98e5b545_16">
              <w:r>
                <w:rPr>
                  <w:rStyle w:val="InternetLink"/>
                  <w:rFonts w:ascii="Times New Roman;sans-serif" w:hAnsi="Times New Roman;sans-serif"/>
                  <w:b w:val="false"/>
                  <w:color w:val="000080"/>
                  <w:sz w:val="20"/>
                  <w:u w:val="single"/>
                </w:rPr>
                <w:t>5</w:t>
              </w:r>
            </w:hyperlink>
            <w:hyperlink w:anchor="i0634ea450e9e46fd9b783c0e98e5b545_16">
              <w:r>
                <w:rPr>
                  <w:rStyle w:val="InternetLink"/>
                  <w:rFonts w:ascii="Times New Roman;sans-serif" w:hAnsi="Times New Roman;sans-serif"/>
                  <w:b w:val="false"/>
                  <w:color w:val="000080"/>
                  <w:sz w:val="20"/>
                  <w:u w:val="single"/>
                </w:rPr>
                <w:t xml:space="preserve"> and 202</w:t>
              </w:r>
            </w:hyperlink>
            <w:hyperlink w:anchor="i0634ea450e9e46fd9b783c0e98e5b545_16">
              <w:r>
                <w:rPr>
                  <w:rStyle w:val="InternetLink"/>
                  <w:rFonts w:ascii="Times New Roman;sans-serif" w:hAnsi="Times New Roman;sans-serif"/>
                  <w:b w:val="false"/>
                  <w:color w:val="000080"/>
                  <w:sz w:val="20"/>
                  <w:u w:val="single"/>
                </w:rPr>
                <w:t>4</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6">
              <w:r>
                <w:rPr>
                  <w:rStyle w:val="InternetLink"/>
                  <w:rFonts w:ascii="Times New Roman;sans-serif" w:hAnsi="Times New Roman;sans-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9">
              <w:r>
                <w:rPr>
                  <w:rStyle w:val="InternetLink"/>
                  <w:rFonts w:ascii="Times New Roman;sans-serif" w:hAnsi="Times New Roman;sans-serif"/>
                  <w:b w:val="false"/>
                  <w:color w:val="000080"/>
                  <w:sz w:val="20"/>
                  <w:u w:val="single"/>
                </w:rPr>
                <w:t xml:space="preserve">Condensed Consolidated Statements of Comprehensive Income for the Three </w:t>
              </w:r>
            </w:hyperlink>
            <w:hyperlink w:anchor="i0634ea450e9e46fd9b783c0e98e5b545_19">
              <w:r>
                <w:rPr>
                  <w:rStyle w:val="InternetLink"/>
                  <w:rFonts w:ascii="Times New Roman;sans-serif" w:hAnsi="Times New Roman;sans-serif"/>
                  <w:b w:val="false"/>
                  <w:color w:val="000080"/>
                  <w:sz w:val="20"/>
                  <w:u w:val="single"/>
                </w:rPr>
                <w:t xml:space="preserve">Months Ended </w:t>
              </w:r>
            </w:hyperlink>
            <w:hyperlink w:anchor="i0634ea450e9e46fd9b783c0e98e5b545_19">
              <w:r>
                <w:rPr>
                  <w:rStyle w:val="InternetLink"/>
                  <w:rFonts w:ascii="Times New Roman;sans-serif" w:hAnsi="Times New Roman;sans-serif"/>
                  <w:b w:val="false"/>
                  <w:color w:val="000080"/>
                  <w:sz w:val="20"/>
                  <w:u w:val="single"/>
                </w:rPr>
                <w:t>April</w:t>
              </w:r>
            </w:hyperlink>
            <w:hyperlink w:anchor="i0634ea450e9e46fd9b783c0e98e5b545_19">
              <w:r>
                <w:rPr>
                  <w:rStyle w:val="InternetLink"/>
                  <w:rFonts w:ascii="Times New Roman;sans-serif" w:hAnsi="Times New Roman;sans-serif"/>
                  <w:b w:val="false"/>
                  <w:color w:val="000080"/>
                  <w:sz w:val="20"/>
                  <w:u w:val="single"/>
                </w:rPr>
                <w:t xml:space="preserve"> 3</w:t>
              </w:r>
            </w:hyperlink>
            <w:hyperlink w:anchor="i0634ea450e9e46fd9b783c0e98e5b545_19">
              <w:r>
                <w:rPr>
                  <w:rStyle w:val="InternetLink"/>
                  <w:rFonts w:ascii="Times New Roman;sans-serif" w:hAnsi="Times New Roman;sans-serif"/>
                  <w:b w:val="false"/>
                  <w:color w:val="000080"/>
                  <w:sz w:val="20"/>
                  <w:u w:val="single"/>
                </w:rPr>
                <w:t>0</w:t>
              </w:r>
            </w:hyperlink>
            <w:hyperlink w:anchor="i0634ea450e9e46fd9b783c0e98e5b545_19">
              <w:r>
                <w:rPr>
                  <w:rStyle w:val="InternetLink"/>
                  <w:rFonts w:ascii="Times New Roman;sans-serif" w:hAnsi="Times New Roman;sans-serif"/>
                  <w:b w:val="false"/>
                  <w:color w:val="000080"/>
                  <w:sz w:val="20"/>
                  <w:u w:val="single"/>
                </w:rPr>
                <w:t>, 202</w:t>
              </w:r>
            </w:hyperlink>
            <w:hyperlink w:anchor="i0634ea450e9e46fd9b783c0e98e5b545_19">
              <w:r>
                <w:rPr>
                  <w:rStyle w:val="InternetLink"/>
                  <w:rFonts w:ascii="Times New Roman;sans-serif" w:hAnsi="Times New Roman;sans-serif"/>
                  <w:b w:val="false"/>
                  <w:color w:val="000080"/>
                  <w:sz w:val="20"/>
                  <w:u w:val="single"/>
                </w:rPr>
                <w:t>5</w:t>
              </w:r>
            </w:hyperlink>
            <w:hyperlink w:anchor="i0634ea450e9e46fd9b783c0e98e5b545_19">
              <w:r>
                <w:rPr>
                  <w:rStyle w:val="InternetLink"/>
                  <w:rFonts w:ascii="Times New Roman;sans-serif" w:hAnsi="Times New Roman;sans-serif"/>
                  <w:b w:val="false"/>
                  <w:color w:val="000080"/>
                  <w:sz w:val="20"/>
                  <w:u w:val="single"/>
                </w:rPr>
                <w:t xml:space="preserve"> and 20</w:t>
              </w:r>
            </w:hyperlink>
            <w:hyperlink w:anchor="i0634ea450e9e46fd9b783c0e98e5b545_19">
              <w:r>
                <w:rPr>
                  <w:rStyle w:val="InternetLink"/>
                  <w:rFonts w:ascii="Times New Roman;sans-serif" w:hAnsi="Times New Roman;sans-serif"/>
                  <w:b w:val="false"/>
                  <w:color w:val="000080"/>
                  <w:sz w:val="20"/>
                  <w:u w:val="single"/>
                </w:rPr>
                <w:t>24</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9">
              <w:r>
                <w:rPr>
                  <w:rStyle w:val="InternetLink"/>
                  <w:rFonts w:ascii="Times New Roman;sans-serif" w:hAnsi="Times New Roman;sans-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22">
              <w:r>
                <w:rPr>
                  <w:rStyle w:val="InternetLink"/>
                  <w:rFonts w:ascii="Times New Roman;sans-serif" w:hAnsi="Times New Roman;sans-serif"/>
                  <w:b w:val="false"/>
                  <w:color w:val="000080"/>
                  <w:sz w:val="20"/>
                  <w:u w:val="single"/>
                </w:rPr>
                <w:t xml:space="preserve">Condensed Consolidated Balance Sheets as of </w:t>
              </w:r>
            </w:hyperlink>
            <w:hyperlink w:anchor="i0634ea450e9e46fd9b783c0e98e5b545_22">
              <w:r>
                <w:rPr>
                  <w:rStyle w:val="InternetLink"/>
                  <w:rFonts w:ascii="Times New Roman;sans-serif" w:hAnsi="Times New Roman;sans-serif"/>
                  <w:b w:val="false"/>
                  <w:color w:val="000080"/>
                  <w:sz w:val="20"/>
                  <w:u w:val="single"/>
                </w:rPr>
                <w:t>April</w:t>
              </w:r>
            </w:hyperlink>
            <w:hyperlink w:anchor="i0634ea450e9e46fd9b783c0e98e5b545_22">
              <w:r>
                <w:rPr>
                  <w:rStyle w:val="InternetLink"/>
                  <w:rFonts w:ascii="Times New Roman;sans-serif" w:hAnsi="Times New Roman;sans-serif"/>
                  <w:b w:val="false"/>
                  <w:color w:val="000080"/>
                  <w:sz w:val="20"/>
                  <w:u w:val="single"/>
                </w:rPr>
                <w:t xml:space="preserve"> 3</w:t>
              </w:r>
            </w:hyperlink>
            <w:hyperlink w:anchor="i0634ea450e9e46fd9b783c0e98e5b545_22">
              <w:r>
                <w:rPr>
                  <w:rStyle w:val="InternetLink"/>
                  <w:rFonts w:ascii="Times New Roman;sans-serif" w:hAnsi="Times New Roman;sans-serif"/>
                  <w:b w:val="false"/>
                  <w:color w:val="000080"/>
                  <w:sz w:val="20"/>
                  <w:u w:val="single"/>
                </w:rPr>
                <w:t>0</w:t>
              </w:r>
            </w:hyperlink>
            <w:hyperlink w:anchor="i0634ea450e9e46fd9b783c0e98e5b545_22">
              <w:r>
                <w:rPr>
                  <w:rStyle w:val="InternetLink"/>
                  <w:rFonts w:ascii="Times New Roman;sans-serif" w:hAnsi="Times New Roman;sans-serif"/>
                  <w:b w:val="false"/>
                  <w:color w:val="000080"/>
                  <w:sz w:val="20"/>
                  <w:u w:val="single"/>
                </w:rPr>
                <w:t>, 202</w:t>
              </w:r>
            </w:hyperlink>
            <w:hyperlink w:anchor="i0634ea450e9e46fd9b783c0e98e5b545_22">
              <w:r>
                <w:rPr>
                  <w:rStyle w:val="InternetLink"/>
                  <w:rFonts w:ascii="Times New Roman;sans-serif" w:hAnsi="Times New Roman;sans-serif"/>
                  <w:b w:val="false"/>
                  <w:color w:val="000080"/>
                  <w:sz w:val="20"/>
                  <w:u w:val="single"/>
                </w:rPr>
                <w:t>5</w:t>
              </w:r>
            </w:hyperlink>
            <w:hyperlink w:anchor="i0634ea450e9e46fd9b783c0e98e5b545_22">
              <w:r>
                <w:rPr>
                  <w:rStyle w:val="InternetLink"/>
                  <w:rFonts w:ascii="Times New Roman;sans-serif" w:hAnsi="Times New Roman;sans-serif"/>
                  <w:b w:val="false"/>
                  <w:color w:val="000080"/>
                  <w:sz w:val="20"/>
                  <w:u w:val="single"/>
                </w:rPr>
                <w:t xml:space="preserve"> and January 31, 202</w:t>
              </w:r>
            </w:hyperlink>
            <w:hyperlink w:anchor="i0634ea450e9e46fd9b783c0e98e5b545_22">
              <w:r>
                <w:rPr>
                  <w:rStyle w:val="InternetLink"/>
                  <w:rFonts w:ascii="Times New Roman;sans-serif" w:hAnsi="Times New Roman;sans-serif"/>
                  <w:b w:val="false"/>
                  <w:color w:val="000080"/>
                  <w:sz w:val="20"/>
                  <w:u w:val="single"/>
                </w:rPr>
                <w:t>5</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22">
              <w:r>
                <w:rPr>
                  <w:rStyle w:val="InternetLink"/>
                  <w:rFonts w:ascii="Times New Roman;sans-serif" w:hAnsi="Times New Roman;sans-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25">
              <w:r>
                <w:rPr>
                  <w:rStyle w:val="InternetLink"/>
                  <w:rFonts w:ascii="Times New Roman;sans-serif" w:hAnsi="Times New Roman;sans-serif"/>
                  <w:b w:val="false"/>
                  <w:color w:val="000080"/>
                  <w:sz w:val="20"/>
                  <w:u w:val="single"/>
                </w:rPr>
                <w:t xml:space="preserve">Condensed Consolidated Statements of Cash Flows for the </w:t>
              </w:r>
            </w:hyperlink>
            <w:hyperlink w:anchor="i0634ea450e9e46fd9b783c0e98e5b545_25">
              <w:r>
                <w:rPr>
                  <w:rStyle w:val="InternetLink"/>
                  <w:rFonts w:ascii="Times New Roman;sans-serif" w:hAnsi="Times New Roman;sans-serif"/>
                  <w:b w:val="false"/>
                  <w:color w:val="000080"/>
                  <w:sz w:val="20"/>
                  <w:u w:val="single"/>
                </w:rPr>
                <w:t>Three</w:t>
              </w:r>
            </w:hyperlink>
            <w:hyperlink w:anchor="i0634ea450e9e46fd9b783c0e98e5b545_25">
              <w:r>
                <w:rPr>
                  <w:rStyle w:val="InternetLink"/>
                  <w:rFonts w:ascii="Times New Roman;sans-serif" w:hAnsi="Times New Roman;sans-serif"/>
                  <w:b w:val="false"/>
                  <w:color w:val="000080"/>
                  <w:sz w:val="20"/>
                  <w:u w:val="single"/>
                </w:rPr>
                <w:t xml:space="preserve"> Months Ended </w:t>
              </w:r>
            </w:hyperlink>
            <w:hyperlink w:anchor="i0634ea450e9e46fd9b783c0e98e5b545_25">
              <w:r>
                <w:rPr>
                  <w:rStyle w:val="InternetLink"/>
                  <w:rFonts w:ascii="Times New Roman;sans-serif" w:hAnsi="Times New Roman;sans-serif"/>
                  <w:b w:val="false"/>
                  <w:color w:val="000080"/>
                  <w:sz w:val="20"/>
                  <w:u w:val="single"/>
                </w:rPr>
                <w:t>April 30</w:t>
              </w:r>
            </w:hyperlink>
            <w:hyperlink w:anchor="i0634ea450e9e46fd9b783c0e98e5b545_25">
              <w:r>
                <w:rPr>
                  <w:rStyle w:val="InternetLink"/>
                  <w:rFonts w:ascii="Times New Roman;sans-serif" w:hAnsi="Times New Roman;sans-serif"/>
                  <w:b w:val="false"/>
                  <w:color w:val="000080"/>
                  <w:sz w:val="20"/>
                  <w:u w:val="single"/>
                </w:rPr>
                <w:t>, 202</w:t>
              </w:r>
            </w:hyperlink>
            <w:hyperlink w:anchor="i0634ea450e9e46fd9b783c0e98e5b545_25">
              <w:r>
                <w:rPr>
                  <w:rStyle w:val="InternetLink"/>
                  <w:rFonts w:ascii="Times New Roman;sans-serif" w:hAnsi="Times New Roman;sans-serif"/>
                  <w:b w:val="false"/>
                  <w:color w:val="000080"/>
                  <w:sz w:val="20"/>
                  <w:u w:val="single"/>
                </w:rPr>
                <w:t>5</w:t>
              </w:r>
            </w:hyperlink>
            <w:hyperlink w:anchor="i0634ea450e9e46fd9b783c0e98e5b545_25">
              <w:r>
                <w:rPr>
                  <w:rStyle w:val="InternetLink"/>
                  <w:rFonts w:ascii="Times New Roman;sans-serif" w:hAnsi="Times New Roman;sans-serif"/>
                  <w:b w:val="false"/>
                  <w:color w:val="000080"/>
                  <w:sz w:val="20"/>
                  <w:u w:val="single"/>
                </w:rPr>
                <w:t xml:space="preserve"> and 202</w:t>
              </w:r>
            </w:hyperlink>
            <w:hyperlink w:anchor="i0634ea450e9e46fd9b783c0e98e5b545_25">
              <w:r>
                <w:rPr>
                  <w:rStyle w:val="InternetLink"/>
                  <w:rFonts w:ascii="Times New Roman;sans-serif" w:hAnsi="Times New Roman;sans-serif"/>
                  <w:b w:val="false"/>
                  <w:color w:val="000080"/>
                  <w:sz w:val="20"/>
                  <w:u w:val="single"/>
                </w:rPr>
                <w:t>4</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25">
              <w:r>
                <w:rPr>
                  <w:rStyle w:val="InternetLink"/>
                  <w:rFonts w:ascii="Times New Roman;sans-serif" w:hAnsi="Times New Roman;sans-serif"/>
                  <w:b w:val="false"/>
                  <w:color w:val="0000FF"/>
                  <w:sz w:val="20"/>
                  <w:u w:val="single"/>
                </w:rPr>
                <w:t>7</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28">
              <w:r>
                <w:rPr>
                  <w:rStyle w:val="InternetLink"/>
                  <w:rFonts w:ascii="Times New Roman;sans-serif" w:hAnsi="Times New Roman;sans-serif"/>
                  <w:b w:val="false"/>
                  <w:color w:val="0000FF"/>
                  <w:sz w:val="20"/>
                  <w:u w:val="single"/>
                </w:rPr>
                <w:t>Notes to Condensed Consolidated Financial Statements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28">
              <w:r>
                <w:rPr>
                  <w:rStyle w:val="InternetLink"/>
                  <w:rFonts w:ascii="Times New Roman;sans-serif" w:hAnsi="Times New Roman;sans-serif"/>
                  <w:b w:val="false"/>
                  <w:color w:val="0000FF"/>
                  <w:sz w:val="20"/>
                  <w:u w:val="single"/>
                </w:rPr>
                <w:t>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00">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00">
              <w:r>
                <w:rPr>
                  <w:rStyle w:val="InternetLink"/>
                  <w:rFonts w:ascii="Times New Roman;sans-serif" w:hAnsi="Times New Roman;sans-serif"/>
                  <w:b w:val="false"/>
                  <w:color w:val="0000FF"/>
                  <w:sz w:val="20"/>
                  <w:u w:val="single"/>
                </w:rPr>
                <w:t>30</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51">
              <w:r>
                <w:rPr>
                  <w:rStyle w:val="InternetLink"/>
                  <w:rFonts w:ascii="Times New Roman;sans-serif" w:hAnsi="Times New Roman;sans-serif"/>
                  <w:b/>
                  <w:color w:val="0000FF"/>
                  <w:sz w:val="20"/>
                  <w:u w:val="single"/>
                </w:rPr>
                <w:t>Quantitative and Qualitative Disclosures About Market Risk</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51">
              <w:r>
                <w:rPr>
                  <w:rStyle w:val="InternetLink"/>
                  <w:rFonts w:ascii="Times New Roman;sans-serif" w:hAnsi="Times New Roman;sans-serif"/>
                  <w:b w:val="false"/>
                  <w:color w:val="0000FF"/>
                  <w:sz w:val="20"/>
                  <w:u w:val="single"/>
                </w:rPr>
                <w:t>49</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54">
              <w:r>
                <w:rPr>
                  <w:rStyle w:val="InternetLink"/>
                  <w:rFonts w:ascii="Times New Roman;sans-serif" w:hAnsi="Times New Roman;sans-serif"/>
                  <w:b/>
                  <w:color w:val="0000FF"/>
                  <w:sz w:val="20"/>
                  <w:u w:val="single"/>
                </w:rPr>
                <w:t>Controls and Procedures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54">
              <w:r>
                <w:rPr>
                  <w:rStyle w:val="InternetLink"/>
                  <w:rFonts w:ascii="Times New Roman;sans-serif" w:hAnsi="Times New Roman;sans-serif"/>
                  <w:b w:val="false"/>
                  <w:color w:val="0000FF"/>
                  <w:sz w:val="20"/>
                  <w:u w:val="single"/>
                </w:rPr>
                <w:t>50</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634ea450e9e46fd9b783c0e98e5b545_157">
              <w:r>
                <w:rPr>
                  <w:rStyle w:val="InternetLink"/>
                  <w:rFonts w:ascii="Times New Roman;sans-serif" w:hAnsi="Times New Roman;sans-serif"/>
                  <w:b/>
                  <w:color w:val="0000FF"/>
                  <w:sz w:val="20"/>
                  <w:u w:val="single"/>
                </w:rPr>
                <w:t>PART II. OTHER INFORMATION</w:t>
              </w:r>
            </w:hyperlink>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60">
              <w:r>
                <w:rPr>
                  <w:rStyle w:val="InternetLink"/>
                  <w:rFonts w:ascii="Times New Roman;sans-serif" w:hAnsi="Times New Roman;sans-serif"/>
                  <w:b/>
                  <w:color w:val="0000FF"/>
                  <w:sz w:val="20"/>
                  <w:u w:val="single"/>
                </w:rPr>
                <w:t>Legal Proceedings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60">
              <w:r>
                <w:rPr>
                  <w:rStyle w:val="InternetLink"/>
                  <w:rFonts w:ascii="Times New Roman;sans-serif" w:hAnsi="Times New Roman;sans-serif"/>
                  <w:b w:val="false"/>
                  <w:color w:val="0000FF"/>
                  <w:sz w:val="20"/>
                  <w:u w:val="single"/>
                </w:rPr>
                <w:t>51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63">
              <w:r>
                <w:rPr>
                  <w:rStyle w:val="InternetLink"/>
                  <w:rFonts w:ascii="Times New Roman;sans-serif" w:hAnsi="Times New Roman;sans-serif"/>
                  <w:b/>
                  <w:color w:val="0000FF"/>
                  <w:sz w:val="20"/>
                  <w:u w:val="single"/>
                </w:rPr>
                <w:t>Risk Factors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63">
              <w:r>
                <w:rPr>
                  <w:rStyle w:val="InternetLink"/>
                  <w:rFonts w:ascii="Times New Roman;sans-serif" w:hAnsi="Times New Roman;sans-serif"/>
                  <w:b w:val="false"/>
                  <w:color w:val="0000FF"/>
                  <w:sz w:val="20"/>
                  <w:u w:val="single"/>
                </w:rPr>
                <w:t>51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66">
              <w:r>
                <w:rPr>
                  <w:rStyle w:val="InternetLink"/>
                  <w:rFonts w:ascii="Times New Roman;sans-serif" w:hAnsi="Times New Roman;sans-serif"/>
                  <w:b/>
                  <w:color w:val="0000FF"/>
                  <w:sz w:val="20"/>
                  <w:u w:val="single"/>
                </w:rPr>
                <w:t>Unregistered Sales of Equity Securities and Use of Proceeds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66">
              <w:r>
                <w:rPr>
                  <w:rStyle w:val="InternetLink"/>
                  <w:rFonts w:ascii="Times New Roman;sans-serif" w:hAnsi="Times New Roman;sans-serif"/>
                  <w:b w:val="false"/>
                  <w:color w:val="0000FF"/>
                  <w:sz w:val="20"/>
                  <w:u w:val="single"/>
                </w:rPr>
                <w:t>71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69">
              <w:r>
                <w:rPr>
                  <w:rStyle w:val="InternetLink"/>
                  <w:rFonts w:ascii="Times New Roman;sans-serif" w:hAnsi="Times New Roman;sans-serif"/>
                  <w:b/>
                  <w:color w:val="0000FF"/>
                  <w:sz w:val="20"/>
                  <w:u w:val="single"/>
                </w:rPr>
                <w:t>Defaults Upon Senior Securities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69">
              <w:r>
                <w:rPr>
                  <w:rStyle w:val="InternetLink"/>
                  <w:rFonts w:ascii="Times New Roman;sans-serif" w:hAnsi="Times New Roman;sans-serif"/>
                  <w:b w:val="false"/>
                  <w:color w:val="0000FF"/>
                  <w:sz w:val="20"/>
                  <w:u w:val="single"/>
                </w:rPr>
                <w:t>71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72">
              <w:r>
                <w:rPr>
                  <w:rStyle w:val="InternetLink"/>
                  <w:rFonts w:ascii="Times New Roman;sans-serif" w:hAnsi="Times New Roman;sans-serif"/>
                  <w:b/>
                  <w:color w:val="0000FF"/>
                  <w:sz w:val="20"/>
                  <w:u w:val="single"/>
                </w:rPr>
                <w:t>Mine Safety Disclosures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72">
              <w:r>
                <w:rPr>
                  <w:rStyle w:val="InternetLink"/>
                  <w:rFonts w:ascii="Times New Roman;sans-serif" w:hAnsi="Times New Roman;sans-serif"/>
                  <w:b w:val="false"/>
                  <w:color w:val="0000FF"/>
                  <w:sz w:val="20"/>
                  <w:u w:val="single"/>
                </w:rPr>
                <w:t>71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75">
              <w:r>
                <w:rPr>
                  <w:rStyle w:val="InternetLink"/>
                  <w:rFonts w:ascii="Times New Roman;sans-serif" w:hAnsi="Times New Roman;sans-serif"/>
                  <w:b/>
                  <w:color w:val="0000FF"/>
                  <w:sz w:val="20"/>
                  <w:u w:val="single"/>
                </w:rPr>
                <w:t>Other Information</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75">
              <w:r>
                <w:rPr>
                  <w:rStyle w:val="InternetLink"/>
                  <w:rFonts w:ascii="Times New Roman;sans-serif" w:hAnsi="Times New Roman;sans-serif"/>
                  <w:b w:val="false"/>
                  <w:color w:val="0000FF"/>
                  <w:sz w:val="20"/>
                  <w:u w:val="single"/>
                </w:rPr>
                <w:t>71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81">
              <w:r>
                <w:rPr>
                  <w:rStyle w:val="InternetLink"/>
                  <w:rFonts w:ascii="Times New Roman;sans-serif" w:hAnsi="Times New Roman;sans-serif"/>
                  <w:b/>
                  <w:color w:val="0000FF"/>
                  <w:sz w:val="20"/>
                  <w:u w:val="single"/>
                </w:rPr>
                <w:t>Exhibits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81">
              <w:r>
                <w:rPr>
                  <w:rStyle w:val="InternetLink"/>
                  <w:rFonts w:ascii="Times New Roman;sans-serif" w:hAnsi="Times New Roman;sans-serif"/>
                  <w:b w:val="false"/>
                  <w:color w:val="0000FF"/>
                  <w:sz w:val="20"/>
                  <w:u w:val="single"/>
                </w:rPr>
                <w:t>72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634ea450e9e46fd9b783c0e98e5b545_184">
              <w:r>
                <w:rPr>
                  <w:rStyle w:val="InternetLink"/>
                  <w:rFonts w:ascii="Times New Roman;sans-serif" w:hAnsi="Times New Roman;sans-serif"/>
                  <w:b/>
                  <w:color w:val="0000FF"/>
                  <w:sz w:val="20"/>
                  <w:u w:val="single"/>
                </w:rPr>
                <w:t>Signatures</w:t>
              </w:r>
            </w:hyperlink>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634ea450e9e46fd9b783c0e98e5b545_184">
              <w:r>
                <w:rPr>
                  <w:rStyle w:val="InternetLink"/>
                  <w:rFonts w:ascii="Times New Roman;sans-serif" w:hAnsi="Times New Roman;sans-serif"/>
                  <w:b w:val="false"/>
                  <w:color w:val="0000FF"/>
                  <w:sz w:val="20"/>
                  <w:u w:val="single"/>
                </w:rPr>
                <w:t>73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8024" w:type="dxa"/>
        <w:jc w:val="left"/>
        <w:tblInd w:w="0" w:type="dxa"/>
        <w:tblLayout w:type="fixed"/>
        <w:tblCellMar>
          <w:top w:w="28" w:type="dxa"/>
          <w:left w:w="28" w:type="dxa"/>
          <w:bottom w:w="28" w:type="dxa"/>
          <w:right w:w="28" w:type="dxa"/>
        </w:tblCellMar>
      </w:tblPr>
      <w:tblGrid>
        <w:gridCol w:w="1902"/>
        <w:gridCol w:w="1665"/>
        <w:gridCol w:w="1682"/>
        <w:gridCol w:w="219"/>
        <w:gridCol w:w="623"/>
        <w:gridCol w:w="122"/>
        <w:gridCol w:w="122"/>
        <w:gridCol w:w="122"/>
        <w:gridCol w:w="122"/>
        <w:gridCol w:w="219"/>
        <w:gridCol w:w="623"/>
        <w:gridCol w:w="122"/>
        <w:gridCol w:w="109"/>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subscription and maintenance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subscription and maintenance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share</w:t>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in computing basic net income per share</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2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used in computing diluted net income per share</w:t>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2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06"/>
        <w:gridCol w:w="2380"/>
        <w:gridCol w:w="2404"/>
        <w:gridCol w:w="245"/>
        <w:gridCol w:w="529"/>
        <w:gridCol w:w="136"/>
        <w:gridCol w:w="136"/>
        <w:gridCol w:w="136"/>
        <w:gridCol w:w="136"/>
        <w:gridCol w:w="245"/>
        <w:gridCol w:w="529"/>
        <w:gridCol w:w="136"/>
        <w:gridCol w:w="109"/>
        <w:gridCol w:w="109"/>
        <w:gridCol w:w="109"/>
        <w:gridCol w:w="160"/>
      </w:tblGrid>
      <w:tr>
        <w:trPr/>
        <w:tc>
          <w:tcPr>
            <w:tcW w:w="270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7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reclassifications:</w:t>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(loss) gain on derivative instruments (net of tax effect of $2 and zero, respectively)</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Change in net unrealized loss on available-for-sale debt securities (net of tax effect of zero for all periods presented)</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defined benefit pension items (net of tax effect of zero for all periods presented)</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cumulative foreign currency translation gain (loss) (net of tax effect of $(3) and zero, respectively)</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gain (loss)</w:t>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comprehensive income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8292" w:type="dxa"/>
        <w:jc w:val="left"/>
        <w:tblInd w:w="0" w:type="dxa"/>
        <w:tblLayout w:type="fixed"/>
        <w:tblCellMar>
          <w:top w:w="28" w:type="dxa"/>
          <w:left w:w="28" w:type="dxa"/>
          <w:bottom w:w="28" w:type="dxa"/>
          <w:right w:w="28" w:type="dxa"/>
        </w:tblCellMar>
      </w:tblPr>
      <w:tblGrid>
        <w:gridCol w:w="1947"/>
        <w:gridCol w:w="1708"/>
        <w:gridCol w:w="1715"/>
        <w:gridCol w:w="238"/>
        <w:gridCol w:w="785"/>
        <w:gridCol w:w="132"/>
        <w:gridCol w:w="109"/>
        <w:gridCol w:w="109"/>
        <w:gridCol w:w="109"/>
        <w:gridCol w:w="282"/>
        <w:gridCol w:w="933"/>
        <w:gridCol w:w="225"/>
      </w:tblGrid>
      <w:tr>
        <w:trPr/>
        <w:tc>
          <w:tcPr>
            <w:tcW w:w="194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marketable securities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software, furniture and leasehold improvements,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assets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notes payable, net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deferred revenue</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income taxes payable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Long-term deferred income taxes </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notes payable, net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liabilities</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and additional paid-in capital</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stockholders’ equity </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and stockholders’ equity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10,833 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9120" w:type="dxa"/>
        <w:jc w:val="left"/>
        <w:tblInd w:w="0" w:type="dxa"/>
        <w:tblLayout w:type="fixed"/>
        <w:tblCellMar>
          <w:top w:w="28" w:type="dxa"/>
          <w:left w:w="28" w:type="dxa"/>
          <w:bottom w:w="28" w:type="dxa"/>
          <w:right w:w="28" w:type="dxa"/>
        </w:tblCellMar>
      </w:tblPr>
      <w:tblGrid>
        <w:gridCol w:w="2259"/>
        <w:gridCol w:w="1986"/>
        <w:gridCol w:w="1994"/>
        <w:gridCol w:w="196"/>
        <w:gridCol w:w="556"/>
        <w:gridCol w:w="109"/>
        <w:gridCol w:w="109"/>
        <w:gridCol w:w="109"/>
        <w:gridCol w:w="109"/>
        <w:gridCol w:w="196"/>
        <w:gridCol w:w="556"/>
        <w:gridCol w:w="941"/>
      </w:tblGrid>
      <w:tr>
        <w:trPr/>
        <w:tc>
          <w:tcPr>
            <w:tcW w:w="2259"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to obtain a contract with a customer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business combinations: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Prepaid expenses and other assets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liabilities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maturities of marketable securities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Taxes paid related to net share settlement of equity awards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Repurchases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1" w:type="dxa"/>
            <w:tcBorders/>
            <w:shd w:fill="CCEEFF" w:val="clear"/>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1,892 </w:t>
            </w:r>
          </w:p>
        </w:tc>
        <w:tc>
          <w:tcPr>
            <w:tcW w:w="9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1,681 </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cash flow disclosure: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common stock issued to settle liability-classified restricted common stock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AUTODESK,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millions, except share and per share data, or as otherwise noted)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1</w:t>
      </w:r>
      <w:r>
        <w:rPr>
          <w:rFonts w:ascii="Times New Roman;sans-serif" w:hAnsi="Times New Roman;sans-serif"/>
          <w:b w:val="false"/>
          <w:color w:val="000000"/>
          <w:sz w:val="20"/>
        </w:rPr>
        <w:t xml:space="preserve">. </w:t>
      </w:r>
      <w:r>
        <w:rPr>
          <w:rFonts w:ascii="Times New Roman;sans-serif" w:hAnsi="Times New Roman;sans-serif"/>
          <w:b/>
          <w:i/>
          <w:color w:val="000000"/>
          <w:sz w:val="20"/>
        </w:rPr>
        <w:t>Basis of Presentation</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Autodesk, Inc. (“Autodesk,” “we,” “us,” “our,” or the “Company”) as of April 30, 2025, and for the three months ended April 30, 2025 and 2024,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April 30, 2025, are not necessarily indicative of the results for the entire fiscal year ending January 31, 2026, or for any other period. Further, the balance sheet as of January 31, 2025,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2025.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2025, filed on March 6,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2</w:t>
      </w:r>
      <w:r>
        <w:rPr>
          <w:rFonts w:ascii="Times New Roman;sans-serif" w:hAnsi="Times New Roman;sans-serif"/>
          <w:b w:val="false"/>
          <w:color w:val="000000"/>
          <w:sz w:val="20"/>
        </w:rPr>
        <w:t xml:space="preserve">. </w:t>
      </w:r>
      <w:r>
        <w:rPr>
          <w:rFonts w:ascii="Times New Roman;sans-serif" w:hAnsi="Times New Roman;sans-serif"/>
          <w:b/>
          <w:i/>
          <w:color w:val="000000"/>
          <w:sz w:val="20"/>
        </w:rPr>
        <w:t>Recently Issued Accounting Standards</w:t>
      </w:r>
      <w:r>
        <w:rPr>
          <w:color w:val="000000"/>
        </w:rPr>
        <w:t xml:space="preserv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With the exception of those discussed below, there have been no recent changes in accounting pronouncements issued by the Financial Accounting Standards Board (“FASB”) or adopted by the Company during the three months ended April 30, 2025, that are applicable to the Company.</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No. 2024-03, “Income Statement-Reporting Comprehensive Income-Expense Disaggregation Disclosures” (“ASU 2024-03”), which requires disaggregated disclosures, in the notes to the financial 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Autodesk’s definition of selling expenses. ASU 2024-03 is effective for Autodesk’s fiscal year beginning February 1, 2027, and interim periods for Autodesk’s fiscal year beginning February 1, 2028. Early adoption is permitted. Autodesk is currently evaluating the effect of adopting ASU 2024-03 on its disclosures. </w:t>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Adopted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No. 2023-09, “Income Taxes (Topic 740): Improvement to Income Tax Disclosures”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Autodesk adopted the disclosure requirements of ASU 2023-09 for Autodesk’s fiscal year beginning February 1, 2025 on a prospective basis.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Improvements to Reportable Segment Disclosures” (“ASU 2023-07”), which are intended to improve reportable segment disclosure requirements. 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All disclosure requirements of ASU 2023-07 are required for entities with a single reportable segment. Autodesk adopted the annual disclosures of ASU 2023-07 for our fiscal year ended January 31, 2025 and adopted for interim periods beginning February 1, 2025.</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i/>
          <w:color w:val="000000"/>
          <w:sz w:val="20"/>
        </w:rPr>
        <w:t>3</w:t>
      </w:r>
      <w:r>
        <w:rPr>
          <w:rFonts w:ascii="Times New Roman;sans-serif" w:hAnsi="Times New Roman;sans-serif"/>
          <w:b w:val="false"/>
          <w:color w:val="000000"/>
          <w:sz w:val="20"/>
        </w:rPr>
        <w:t xml:space="preserve">. </w:t>
      </w:r>
      <w:r>
        <w:rPr>
          <w:rFonts w:ascii="Times New Roman;sans-serif" w:hAnsi="Times New Roman;sans-serif"/>
          <w:b/>
          <w:i/>
          <w:color w:val="000000"/>
          <w:sz w:val="20"/>
        </w:rPr>
        <w:t>Revenue Recognition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Disaggregation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recognizes revenue from the sale of (1) product subscriptions, cloud service offerings, and enterprise business agreements (“EBAs”), (2) fees for maintenance plan agreements purchased with software licenses, and (3) consulting and other products and services. The three categories are presented as line items on Autodesk’s Consolidated Statements of Operations.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Information regarding the components of Autodesk's net revenue from contracts with customers by product family, geographic location, sales channel, and product type is as follows:</w:t>
      </w:r>
      <w:r>
        <w:rPr>
          <w:color w:val="000000"/>
        </w:rPr>
        <w:t> </w:t>
      </w:r>
    </w:p>
    <w:tbl>
      <w:tblPr>
        <w:tblW w:w="6996" w:type="dxa"/>
        <w:jc w:val="left"/>
        <w:tblInd w:w="0" w:type="dxa"/>
        <w:tblLayout w:type="fixed"/>
        <w:tblCellMar>
          <w:top w:w="28" w:type="dxa"/>
          <w:left w:w="28" w:type="dxa"/>
          <w:bottom w:w="28" w:type="dxa"/>
          <w:right w:w="28" w:type="dxa"/>
        </w:tblCellMar>
      </w:tblPr>
      <w:tblGrid>
        <w:gridCol w:w="1473"/>
        <w:gridCol w:w="1293"/>
        <w:gridCol w:w="1298"/>
        <w:gridCol w:w="219"/>
        <w:gridCol w:w="623"/>
        <w:gridCol w:w="122"/>
        <w:gridCol w:w="122"/>
        <w:gridCol w:w="122"/>
        <w:gridCol w:w="122"/>
        <w:gridCol w:w="219"/>
        <w:gridCol w:w="623"/>
        <w:gridCol w:w="122"/>
        <w:gridCol w:w="109"/>
        <w:gridCol w:w="109"/>
        <w:gridCol w:w="109"/>
        <w:gridCol w:w="311"/>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revenue by product family: </w:t>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Architecture, Engineering, Construction and Operations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AutoCAD and AutoCAD LT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Media and Entertainment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geographic area:</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Americas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sales channel:</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type:</w:t>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Payments for subscriptions are typically due in annual installments or upfront. Autodesk does not have any material variable consideration, such as obligations for returns, refunds, warranties, or amounts due to customers for which significant estimation or judgment is required as of the reporting date.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Remaining performance obligations consist of tota</w:t>
      </w:r>
      <w:r>
        <w:rPr>
          <w:rFonts w:ascii="Times New Roman;sans-serif" w:hAnsi="Times New Roman;sans-serif"/>
          <w:b w:val="false"/>
          <w:color w:val="000000"/>
          <w:sz w:val="20"/>
          <w:shd w:fill="FFFFFF" w:val="clear"/>
        </w:rPr>
        <w:t>l short-term, long-term, a</w:t>
      </w:r>
      <w:r>
        <w:rPr>
          <w:rFonts w:ascii="Times New Roman;sans-serif" w:hAnsi="Times New Roman;sans-serif"/>
          <w:b w:val="false"/>
          <w:color w:val="000000"/>
          <w:sz w:val="20"/>
        </w:rPr>
        <w:t>nd unbilled deferred revenue. As of April 30, 2025, Autodesk had remaining performance obligations of $7.16 billion, which represents the total transaction price allocated to remaining performance obligations, which are generally recognized over the next three years. We expect to recognize $4.55 billion or 64% of our remaining performance obligations as revenue during the next 12 months. We expect to recognize the remaining $2.61 billion or 36% of our remaining performance obligations as revenue thereafter.</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remaining performance obligations may be impacted by the specific timing, duration, and size of customer subscription and support agreements, the specific timing of customer renewals, and foreign currency fluctuations.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Balances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receive payments from customers based on a billing schedule as established in our contracts. Contract assets relate to performance completed in advance of scheduled billings. Contract assets were not material as of April 30, 2025. Deferred revenue relates to billings in advance of performance under the contract. The primary changes in our contract assets and deferred revenues are due to our performance under the contracts and billings.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during the three months ended April 30, 2025 and 2024, that was included in the deferred revenue balances at January 31, 2025 and 2024, was $1.35 billion and $1.19 billion, respectively. The satisfaction of performance obligations typically lags behind payments received under revenue contracts from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4</w:t>
      </w:r>
      <w:r>
        <w:rPr>
          <w:rFonts w:ascii="Times New Roman;sans-serif" w:hAnsi="Times New Roman;sans-serif"/>
          <w:b w:val="false"/>
          <w:color w:val="000000"/>
          <w:sz w:val="20"/>
        </w:rPr>
        <w:t xml:space="preserve">. </w:t>
      </w:r>
      <w:r>
        <w:rPr>
          <w:rFonts w:ascii="Times New Roman;sans-serif" w:hAnsi="Times New Roman;sans-serif"/>
          <w:b/>
          <w:i/>
          <w:color w:val="000000"/>
          <w:sz w:val="20"/>
        </w:rPr>
        <w:t>Concentration of Credit Risk</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acts as administrative agent and a lender under Autodesk’s $1.5 billion revolving credit facility. See Note 13, “Borrowing Arrangements,” in the Notes to Condensed Consolidated Financial Statements for further discussion.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from the Company's largest distributor TD Synnex Corporation and its global affiliates (“TD Synnex”) accounted for 20% and 38% of Autodesk’s total net revenue during the three months ended April 30, 2025 and 2024, respectively. The majority of the net revenue from sales to TD Synnex is from sales outside of the United States. In addition, TD Synnex accounted for 8% and 5% of trade accounts receivable at April 30, 2025, and January 31, 2025, respectively. No other customer accounted for more than 10% of Autodesk's total net revenue or trade accounts receivable for each of the respective periods.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i/>
          <w:color w:val="000000"/>
          <w:sz w:val="20"/>
        </w:rPr>
        <w:t>5</w:t>
      </w:r>
      <w:r>
        <w:rPr>
          <w:rFonts w:ascii="Times New Roman;sans-serif" w:hAnsi="Times New Roman;sans-serif"/>
          <w:b w:val="false"/>
          <w:color w:val="000000"/>
          <w:sz w:val="20"/>
        </w:rPr>
        <w:t xml:space="preserve">. </w:t>
      </w:r>
      <w:r>
        <w:rPr>
          <w:rFonts w:ascii="Times New Roman;sans-serif" w:hAnsi="Times New Roman;sans-serif"/>
          <w:b/>
          <w:i/>
          <w:color w:val="000000"/>
          <w:sz w:val="20"/>
        </w:rPr>
        <w:t>Financial Instruments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Company's financial instruments by significant investment category as of April 30, 2025, and January 31, 2025: </w:t>
      </w:r>
    </w:p>
    <w:tbl>
      <w:tblPr>
        <w:tblW w:w="10000" w:type="dxa"/>
        <w:jc w:val="left"/>
        <w:tblInd w:w="0" w:type="dxa"/>
        <w:tblLayout w:type="fixed"/>
        <w:tblCellMar>
          <w:top w:w="28" w:type="dxa"/>
          <w:left w:w="28" w:type="dxa"/>
          <w:bottom w:w="28" w:type="dxa"/>
          <w:right w:w="28" w:type="dxa"/>
        </w:tblCellMar>
      </w:tblPr>
      <w:tblGrid>
        <w:gridCol w:w="958"/>
        <w:gridCol w:w="837"/>
        <w:gridCol w:w="845"/>
        <w:gridCol w:w="283"/>
        <w:gridCol w:w="803"/>
        <w:gridCol w:w="158"/>
        <w:gridCol w:w="109"/>
        <w:gridCol w:w="109"/>
        <w:gridCol w:w="109"/>
        <w:gridCol w:w="500"/>
        <w:gridCol w:w="1035"/>
        <w:gridCol w:w="280"/>
        <w:gridCol w:w="109"/>
        <w:gridCol w:w="109"/>
        <w:gridCol w:w="109"/>
        <w:gridCol w:w="508"/>
        <w:gridCol w:w="1052"/>
        <w:gridCol w:w="285"/>
        <w:gridCol w:w="109"/>
        <w:gridCol w:w="109"/>
        <w:gridCol w:w="109"/>
        <w:gridCol w:w="201"/>
        <w:gridCol w:w="572"/>
        <w:gridCol w:w="112"/>
        <w:gridCol w:w="109"/>
        <w:gridCol w:w="109"/>
        <w:gridCol w:w="109"/>
        <w:gridCol w:w="109"/>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Commercial paper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Short-term </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mortgage-backed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(4) (5)</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(2)Primarily consists of agency mortgage-backed securities, mortgage backed securities and U.S. government securities.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(3)Primarily consists of agency collateralized mortgage obligations and agency bonds.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(4)See Note 11, “Deferred Compensation” for more information.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(5)Included in “Prepaid expenses and other current assets” or “Long-term other assets” in the accompanying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495"/>
        <w:jc w:val="left"/>
        <w:rPr/>
      </w:pPr>
      <w:r>
        <w:rPr/>
      </w:r>
    </w:p>
    <w:tbl>
      <w:tblPr>
        <w:tblW w:w="10108" w:type="dxa"/>
        <w:jc w:val="left"/>
        <w:tblInd w:w="0" w:type="dxa"/>
        <w:tblLayout w:type="fixed"/>
        <w:tblCellMar>
          <w:top w:w="28" w:type="dxa"/>
          <w:left w:w="28" w:type="dxa"/>
          <w:bottom w:w="28" w:type="dxa"/>
          <w:right w:w="28" w:type="dxa"/>
        </w:tblCellMar>
      </w:tblPr>
      <w:tblGrid>
        <w:gridCol w:w="958"/>
        <w:gridCol w:w="837"/>
        <w:gridCol w:w="844"/>
        <w:gridCol w:w="283"/>
        <w:gridCol w:w="803"/>
        <w:gridCol w:w="158"/>
        <w:gridCol w:w="109"/>
        <w:gridCol w:w="109"/>
        <w:gridCol w:w="109"/>
        <w:gridCol w:w="500"/>
        <w:gridCol w:w="1035"/>
        <w:gridCol w:w="280"/>
        <w:gridCol w:w="109"/>
        <w:gridCol w:w="109"/>
        <w:gridCol w:w="109"/>
        <w:gridCol w:w="508"/>
        <w:gridCol w:w="1052"/>
        <w:gridCol w:w="285"/>
        <w:gridCol w:w="109"/>
        <w:gridCol w:w="109"/>
        <w:gridCol w:w="109"/>
        <w:gridCol w:w="201"/>
        <w:gridCol w:w="572"/>
        <w:gridCol w:w="112"/>
        <w:gridCol w:w="109"/>
        <w:gridCol w:w="109"/>
        <w:gridCol w:w="109"/>
        <w:gridCol w:w="109"/>
        <w:gridCol w:w="109"/>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699" w:type="dxa"/>
            <w:gridSpan w:val="6"/>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U.S. government securities </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Asset-backed securities </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mortgage-backed securities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(4)</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(5) (6)</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(2)Consists primarily of corporate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(3)Consists primarily of agency discount bonds, agency mortgage-backed securities, mortgage-backed securities, and US treasury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(4)Consists primarily of agency collateralized mortgage obligations and supranational bonds.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(5)See Note 11, “Deferred Compensation” for more information.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“Prepaid expenses and other current assets,” or “Long-term other assets,” in the accompanying Condensed Consolidated Balance Sheets.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values of investments classified as marketable debt securities by contractual maturity date as of April 30, 2025: </w:t>
      </w:r>
    </w:p>
    <w:tbl>
      <w:tblPr>
        <w:tblW w:w="3329" w:type="dxa"/>
        <w:jc w:val="left"/>
        <w:tblInd w:w="0" w:type="dxa"/>
        <w:tblLayout w:type="fixed"/>
        <w:tblCellMar>
          <w:top w:w="28" w:type="dxa"/>
          <w:left w:w="28" w:type="dxa"/>
          <w:bottom w:w="28" w:type="dxa"/>
          <w:right w:w="28" w:type="dxa"/>
        </w:tblCellMar>
      </w:tblPr>
      <w:tblGrid>
        <w:gridCol w:w="871"/>
        <w:gridCol w:w="760"/>
        <w:gridCol w:w="769"/>
        <w:gridCol w:w="236"/>
        <w:gridCol w:w="508"/>
        <w:gridCol w:w="185"/>
      </w:tblGrid>
      <w:tr>
        <w:trPr/>
        <w:tc>
          <w:tcPr>
            <w:tcW w:w="87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1 year</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in 1 year through 5 years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in 5 years through 10 years</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after 10 years</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both April 30, 2025, and January 31, 2025,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three months ended April 30, 2025.</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monitors all marketable debt securities for potential credit losses by reviewing indicators such as, but not limited to, current credit rating, change in credit rating, credit outlook, and default risk. There were no allowances for credit losses as of both April 30, 2025, and January 31, 2025. There were no write offs of accrued interest receivables for both the three months ended April 30, 2025 and 2024.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material realized gains or losses for the sales or redemptions of marketable debt securities during both the three months ended April 30, 2025 and 2024. Realized gains and losses from the sales or redemptions of marketable debt securities are recorded in “Interest and other income, net” on the Company's Condensed Consolidated Statements of Operations.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the sale and maturity of marketable debt securities were as follows: </w:t>
      </w:r>
    </w:p>
    <w:tbl>
      <w:tblPr>
        <w:tblW w:w="5465" w:type="dxa"/>
        <w:jc w:val="left"/>
        <w:tblInd w:w="0" w:type="dxa"/>
        <w:tblLayout w:type="fixed"/>
        <w:tblCellMar>
          <w:top w:w="28" w:type="dxa"/>
          <w:left w:w="28" w:type="dxa"/>
          <w:bottom w:w="28" w:type="dxa"/>
          <w:right w:w="28" w:type="dxa"/>
        </w:tblCellMar>
      </w:tblPr>
      <w:tblGrid>
        <w:gridCol w:w="712"/>
        <w:gridCol w:w="624"/>
        <w:gridCol w:w="628"/>
        <w:gridCol w:w="109"/>
        <w:gridCol w:w="265"/>
        <w:gridCol w:w="265"/>
        <w:gridCol w:w="476"/>
        <w:gridCol w:w="1023"/>
        <w:gridCol w:w="265"/>
        <w:gridCol w:w="109"/>
        <w:gridCol w:w="109"/>
        <w:gridCol w:w="109"/>
        <w:gridCol w:w="196"/>
        <w:gridCol w:w="421"/>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8" w:type="dxa"/>
            <w:gridSpan w:val="6"/>
            <w:tcBorders/>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Strategic investments in equity securities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both April 30, 2025, and January 31, 2025, Autodesk had $168 million in direct investments in privately held companies. These strategic investments in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 These strategic investments in equity securities are generally subject to a security-specific restriction which limits the sale or transfer of the respective equity security during the holding period.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the carrying value of our strategic investment equity securities with no readily determined fair values measured using the measurement alternative are included in “Interest and other income, net” on the Company's Condensed Consolidated Statements of Operations. These adjustments were as follows:</w:t>
      </w:r>
    </w:p>
    <w:tbl>
      <w:tblPr>
        <w:tblW w:w="8456" w:type="dxa"/>
        <w:jc w:val="left"/>
        <w:tblInd w:w="0" w:type="dxa"/>
        <w:tblLayout w:type="fixed"/>
        <w:tblCellMar>
          <w:top w:w="28" w:type="dxa"/>
          <w:left w:w="28" w:type="dxa"/>
          <w:bottom w:w="28" w:type="dxa"/>
          <w:right w:w="28" w:type="dxa"/>
        </w:tblCellMar>
      </w:tblPr>
      <w:tblGrid>
        <w:gridCol w:w="1212"/>
        <w:gridCol w:w="1064"/>
        <w:gridCol w:w="1069"/>
        <w:gridCol w:w="257"/>
        <w:gridCol w:w="532"/>
        <w:gridCol w:w="143"/>
        <w:gridCol w:w="143"/>
        <w:gridCol w:w="143"/>
        <w:gridCol w:w="143"/>
        <w:gridCol w:w="257"/>
        <w:gridCol w:w="532"/>
        <w:gridCol w:w="143"/>
        <w:gridCol w:w="109"/>
        <w:gridCol w:w="109"/>
        <w:gridCol w:w="109"/>
        <w:gridCol w:w="603"/>
        <w:gridCol w:w="1067"/>
        <w:gridCol w:w="340"/>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Cumulative Amount as of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Upward adjustments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Negative adjustments, including impairments </w:t>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adjustments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Realized gains for the disposition of strategic investment equity securities for both the three months ended April 30, 2025 and 2024 were immaterial.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the Company's financial instruments measured at fair value on a recurring basis by significant investment category as of April 30, 2025, and January 31, 2025: </w:t>
      </w:r>
    </w:p>
    <w:tbl>
      <w:tblPr>
        <w:tblW w:w="7780" w:type="dxa"/>
        <w:jc w:val="left"/>
        <w:tblInd w:w="0" w:type="dxa"/>
        <w:tblLayout w:type="fixed"/>
        <w:tblCellMar>
          <w:top w:w="28" w:type="dxa"/>
          <w:left w:w="28" w:type="dxa"/>
          <w:bottom w:w="28" w:type="dxa"/>
          <w:right w:w="28" w:type="dxa"/>
        </w:tblCellMar>
      </w:tblPr>
      <w:tblGrid>
        <w:gridCol w:w="950"/>
        <w:gridCol w:w="838"/>
        <w:gridCol w:w="852"/>
        <w:gridCol w:w="109"/>
        <w:gridCol w:w="109"/>
        <w:gridCol w:w="109"/>
        <w:gridCol w:w="109"/>
        <w:gridCol w:w="109"/>
        <w:gridCol w:w="109"/>
        <w:gridCol w:w="109"/>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Commercial paper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Short-term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mortgage-backed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assets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liabilities (6)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(2)Primarily consists of agency mortgage-backed securities, mortgage backed securities and U.S. government securities.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(3)Primarily consists of agency collateralized mortgage obligations and agency bonds.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(4)See Note 11, “Deferred Compensation” for more information.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(5)Included in “Prepaid expenses and other current assets” or “Long-term other assets” in the accompanying Condensed Consolidated Balance Sheets.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“Other accrued liabilities” in the accompanying Condensed Consolidated Balance Sheets.</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6761" w:type="dxa"/>
        <w:jc w:val="left"/>
        <w:tblInd w:w="0" w:type="dxa"/>
        <w:tblLayout w:type="fixed"/>
        <w:tblCellMar>
          <w:top w:w="28" w:type="dxa"/>
          <w:left w:w="28" w:type="dxa"/>
          <w:bottom w:w="28" w:type="dxa"/>
          <w:right w:w="28" w:type="dxa"/>
        </w:tblCellMar>
      </w:tblPr>
      <w:tblGrid>
        <w:gridCol w:w="858"/>
        <w:gridCol w:w="756"/>
        <w:gridCol w:w="770"/>
        <w:gridCol w:w="109"/>
        <w:gridCol w:w="109"/>
        <w:gridCol w:w="109"/>
        <w:gridCol w:w="196"/>
        <w:gridCol w:w="421"/>
        <w:gridCol w:w="109"/>
        <w:gridCol w:w="109"/>
        <w:gridCol w:w="109"/>
        <w:gridCol w:w="109"/>
        <w:gridCol w:w="196"/>
        <w:gridCol w:w="421"/>
        <w:gridCol w:w="109"/>
        <w:gridCol w:w="109"/>
        <w:gridCol w:w="109"/>
        <w:gridCol w:w="109"/>
        <w:gridCol w:w="196"/>
        <w:gridCol w:w="406"/>
        <w:gridCol w:w="109"/>
        <w:gridCol w:w="109"/>
        <w:gridCol w:w="109"/>
        <w:gridCol w:w="109"/>
        <w:gridCol w:w="196"/>
        <w:gridCol w:w="556"/>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U.S. government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Asset backed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Agency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Mutual funds (5)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assets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contract liabilities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(1)Included in “Cash and cash equivalents” in the accompanying Condensed Consolidated Balance Sheets. These investments are classified as debt securities.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(2)Consists primarily of corporate debt securities.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(3)Consists primarily of agency discount bonds, agency mortgage-backed securities, mortgage-backed securities, and US treasury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(4)Consists primarily of agency collateralized mortgage obligations and supranational bonds.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(5)See Note 11, “Deferred Compensation” for more information.</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(6)Included in “Prepaid expenses and other current assets,” or “Long-term other assets,” in the accompanying Condensed Consolidated Balance Sheets.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(7)Included in “Other accrued liabilities” in the accompanying Condensed Consolidated Balance Sheets. </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TextBody"/>
        <w:bidi w:val="0"/>
        <w:spacing w:before="0" w:after="0"/>
        <w:ind w:left="0" w:right="0" w:firstLine="225"/>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6. Equity Compensation </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restricted stock activity for the three months ended April 30, 2025, is as follows:</w:t>
      </w:r>
    </w:p>
    <w:tbl>
      <w:tblPr>
        <w:tblW w:w="6402" w:type="dxa"/>
        <w:jc w:val="left"/>
        <w:tblInd w:w="0" w:type="dxa"/>
        <w:tblLayout w:type="fixed"/>
        <w:tblCellMar>
          <w:top w:w="28" w:type="dxa"/>
          <w:left w:w="28" w:type="dxa"/>
          <w:bottom w:w="28" w:type="dxa"/>
          <w:right w:w="28" w:type="dxa"/>
        </w:tblCellMar>
      </w:tblPr>
      <w:tblGrid>
        <w:gridCol w:w="1351"/>
        <w:gridCol w:w="1187"/>
        <w:gridCol w:w="1196"/>
        <w:gridCol w:w="374"/>
        <w:gridCol w:w="374"/>
        <w:gridCol w:w="377"/>
        <w:gridCol w:w="109"/>
        <w:gridCol w:w="109"/>
        <w:gridCol w:w="109"/>
        <w:gridCol w:w="239"/>
        <w:gridCol w:w="788"/>
        <w:gridCol w:w="189"/>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Unvested</w:t>
              <w:br/>
              <w:t>restricted</w:t>
              <w:b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grant</w:t>
              <w:br/>
              <w:t>date fair value</w:t>
              <w:br/>
              <w:t>per share</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at January 31, 2025</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Performance Adjustment (1)</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at April 30, 2025</w:t>
            </w:r>
          </w:p>
        </w:tc>
        <w:tc>
          <w:tcPr>
            <w:tcW w:w="7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5,802 </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(1)Based on Autodesk's financial results and relative total stockholder return for the fiscal 2025 performance period. The performance stock units were attained at rates ranging from 95% to 108% of the target award.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shares vested during the three months ended April 30, 2025 and 2024, was $428 million and $396 million,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2025, Autodesk granted 2 million restricted stock units. Restricted stock units are not considered outstanding stock at the time of grant, as the holders of these units are not entitled to any of the rights of a stockholder, including voting rights.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recorded stock-based compensation expense related to restricted stock units of $140 million and $127 million during the three months ended April 30, 2025 and 2024,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2025, Autodesk granted 332 thousand performance stock units for which the ultimate number of shares earned is determined based on the achievement of performance criteria at the end of the stated performance and service period. The performance criteria for the majority of the performance stock units are based on revenue and non-GAAP operating income less stock-based compensation expense goals adopted by the Compensation and Human Resource Committee and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the performance stock units have the following vesting schedule: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 to one third of the performance stock units may vest following year one, depending upon the achievement of the performance criteria for fiscal 2026 as well as 1-year Relative TSR (covering year one) or vest following year three depending the achievement of the performance criteria for fiscal 2026 as well as a 3-year Relative TSR (covering years one, two and three).</w:t>
      </w:r>
    </w:p>
    <w:p>
      <w:pPr>
        <w:pStyle w:val="TextBody"/>
        <w:bidi w:val="0"/>
        <w:spacing w:before="0" w:after="0"/>
        <w:ind w:left="0" w:right="0" w:firstLine="45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 to one third of the performance stock units may vest following year two, depending upon the achievement of the performance criteria for fiscal 2027 as well as 2-year Relative TSR (covering years one and two) or vest following year three depending the achievement of the performance criteria for fiscal 2027 as well as a 3-year Relative TSR (covering years one, two and three).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Up to one third of the performance stock units may vest following year three, depending upon the achievement of the performance criteria for fiscal 2028 as well as 3-year Relative TSR (covering years one, two and three) or vest following year three depending the achievement of the performance criteria for fiscal 2028 as well as a 3-year Relative TSR (covering years one, two and three).</w: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 criteria for the performance stock units vested during the three months ended April 30, 2025, was based on revenue and free cash flow goals adopted by the Compensation and Human Resource Committee.</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stock units are not considered outstanding stock at the time of grant, as the holders of these units are not entitled to any of the rights of a stockholder, including voting rights.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recorded stock-based compensation expense related to performance stock units of $21 million and $6 million for the three months ended April 30, 2025 and 2024, respectively.</w:t>
      </w:r>
    </w:p>
    <w:p>
      <w:pPr>
        <w:pStyle w:val="TextBody"/>
        <w:bidi w:val="0"/>
        <w:spacing w:before="0" w:after="0"/>
        <w:ind w:left="0" w:right="0" w:firstLine="45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1998 Employee Qualified Stock Purchase Plan (“ESPP”)</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ESPP activity for the three months ended April 30, 2025 and 2024, is as follows:</w:t>
      </w:r>
    </w:p>
    <w:tbl>
      <w:tblPr>
        <w:tblW w:w="8277" w:type="dxa"/>
        <w:jc w:val="left"/>
        <w:tblInd w:w="0" w:type="dxa"/>
        <w:tblLayout w:type="fixed"/>
        <w:tblCellMar>
          <w:top w:w="28" w:type="dxa"/>
          <w:left w:w="28" w:type="dxa"/>
          <w:bottom w:w="28" w:type="dxa"/>
          <w:right w:w="28" w:type="dxa"/>
        </w:tblCellMar>
      </w:tblPr>
      <w:tblGrid>
        <w:gridCol w:w="1989"/>
        <w:gridCol w:w="1754"/>
        <w:gridCol w:w="1761"/>
        <w:gridCol w:w="201"/>
        <w:gridCol w:w="665"/>
        <w:gridCol w:w="112"/>
        <w:gridCol w:w="112"/>
        <w:gridCol w:w="112"/>
        <w:gridCol w:w="112"/>
        <w:gridCol w:w="201"/>
        <w:gridCol w:w="665"/>
        <w:gridCol w:w="112"/>
        <w:gridCol w:w="109"/>
        <w:gridCol w:w="109"/>
        <w:gridCol w:w="109"/>
        <w:gridCol w:w="154"/>
      </w:tblGrid>
      <w:tr>
        <w:trPr/>
        <w:tc>
          <w:tcPr>
            <w:tcW w:w="198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Issued shares (in thousands)</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price of issued shares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grant date fair value of shares granted under the ESPP (1)</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(1)Calculated as of the award grant date using the Black-Scholes Merton (“BSM”) option pricing model. </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 for the three months ended April 30, 2025 and 2024, as follows:</w:t>
      </w:r>
    </w:p>
    <w:tbl>
      <w:tblPr>
        <w:tblW w:w="8469" w:type="dxa"/>
        <w:jc w:val="left"/>
        <w:tblInd w:w="0" w:type="dxa"/>
        <w:tblLayout w:type="fixed"/>
        <w:tblCellMar>
          <w:top w:w="28" w:type="dxa"/>
          <w:left w:w="28" w:type="dxa"/>
          <w:bottom w:w="28" w:type="dxa"/>
          <w:right w:w="28" w:type="dxa"/>
        </w:tblCellMar>
      </w:tblPr>
      <w:tblGrid>
        <w:gridCol w:w="2103"/>
        <w:gridCol w:w="1845"/>
        <w:gridCol w:w="1857"/>
        <w:gridCol w:w="309"/>
        <w:gridCol w:w="665"/>
        <w:gridCol w:w="172"/>
        <w:gridCol w:w="309"/>
        <w:gridCol w:w="665"/>
        <w:gridCol w:w="172"/>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subscription and maintenance revenue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Cost of other revenue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related to stock awards and ESPP purchases</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68" w:before="0" w:after="0"/>
        <w:ind w:left="0" w:right="0" w:firstLine="495"/>
        <w:jc w:val="left"/>
        <w:rPr>
          <w:color w:val="000000"/>
        </w:rPr>
      </w:pPr>
      <w:r>
        <w:rPr>
          <w:color w:val="000000"/>
        </w:rPr>
        <w:t> </w:t>
      </w:r>
      <w:r>
        <w:rPr>
          <w:rFonts w:ascii="Times New Roman;sans-serif" w:hAnsi="Times New Roman;sans-serif"/>
          <w:b w:val="false"/>
          <w:color w:val="000000"/>
          <w:sz w:val="20"/>
        </w:rPr>
        <w:t>During the three months ended April 30, 2025, Autodesk recorded $54 million in stock-based compensation expense reflecting a cumulative adjustment since fiscal 1999 related to the Company’s ESPP. The differences were not material to any prior interim or annual periods, nor to the current 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6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Stock-based Compensation Expense Assumptions </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determines the grant date fair value of its share-based payment awards BSM option pricing model or the quoted stock price on the date of grant, unless the awards are subject to market conditions, in which case Autodesk uses the Monte Carlo simulation model. The Monte Carlo simulation model uses multiple input variables to estimate the probability that market conditions will be achieved. Autodesk uses the following assumptions to estimate the fair value of stock-based awards:</w:t>
      </w:r>
    </w:p>
    <w:tbl>
      <w:tblPr>
        <w:tblW w:w="10205" w:type="dxa"/>
        <w:jc w:val="left"/>
        <w:tblInd w:w="0" w:type="dxa"/>
        <w:tblLayout w:type="fixed"/>
        <w:tblCellMar>
          <w:top w:w="28" w:type="dxa"/>
          <w:left w:w="28" w:type="dxa"/>
          <w:bottom w:w="28" w:type="dxa"/>
          <w:right w:w="28" w:type="dxa"/>
        </w:tblCellMar>
      </w:tblPr>
      <w:tblGrid>
        <w:gridCol w:w="868"/>
        <w:gridCol w:w="760"/>
        <w:gridCol w:w="766"/>
        <w:gridCol w:w="617"/>
        <w:gridCol w:w="617"/>
        <w:gridCol w:w="619"/>
        <w:gridCol w:w="285"/>
        <w:gridCol w:w="285"/>
        <w:gridCol w:w="285"/>
        <w:gridCol w:w="341"/>
        <w:gridCol w:w="328"/>
        <w:gridCol w:w="327"/>
        <w:gridCol w:w="109"/>
        <w:gridCol w:w="109"/>
        <w:gridCol w:w="109"/>
        <w:gridCol w:w="631"/>
        <w:gridCol w:w="631"/>
        <w:gridCol w:w="633"/>
        <w:gridCol w:w="277"/>
        <w:gridCol w:w="277"/>
        <w:gridCol w:w="277"/>
        <w:gridCol w:w="314"/>
        <w:gridCol w:w="302"/>
        <w:gridCol w:w="438"/>
      </w:tblGrid>
      <w:tr>
        <w:trPr/>
        <w:tc>
          <w:tcPr>
            <w:tcW w:w="86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2024</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 Stock Units</w:t>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Performance Stock Units </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ESPP </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Range of expected volatility</w:t>
            </w:r>
          </w:p>
        </w:tc>
        <w:tc>
          <w:tcPr>
            <w:tcW w:w="18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29.7 - 33.4%</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29.1 - 29.5%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28.7 - 34.5%</w:t>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Range of expected lives (in years)</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0.5 - 2.0</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dividends</w:t>
            </w:r>
          </w:p>
        </w:tc>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Range of risk-free interest rates</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3.8 - 4.1%</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4.0 - 4.3%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4.6 - 5.4%</w:t>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07" w:type="dxa"/>
            <w:gridSpan w:val="12"/>
            <w:tcBorders/>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estimates expected volatility for stock-based awards based on the average of the following two measures: (1) a measure of historical volatility in the trading market for the Company’s common stock, and (2) the implied volatility of traded options to purchase shares of the Company’s common stock. The expected volatility for performance stock units subject to market conditions includes the expected volatility of companies within the S&amp;P North American Technology Software Index with a market capitalization over $2.0 billion, depending on the award type.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range of expected lives of ESPP awards are based upon the four six-month exercise periods within a 24-month offering period.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does not currently pay, and does not anticipate paying in the foreseeable future, any cash dividends. Consequently, an expected dividend yield of zero is used in the BSM option pricing model and the Monte Carlo simulation model.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risk-free interest rate used in the BSM option pricing model and the Monte Carlo simulation model for stock-based awards is the historical yield on U.S. Treasury securities with equivalent remaining lives.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Autodesk recognizes expense only for the stock-based awards that ultimately vest. Autodesk accounts for forfeitures of our stock-based awards as those forfeitures occur.</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7. Income Tax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color w:val="000000"/>
        </w:rPr>
      </w:pPr>
      <w:r>
        <w:rPr>
          <w:color w:val="000000"/>
        </w:rPr>
        <w:t> </w:t>
      </w:r>
      <w:r>
        <w:rPr>
          <w:rFonts w:ascii="Times New Roman;sans-serif" w:hAnsi="Times New Roman;sans-serif"/>
          <w:b w:val="false"/>
          <w:color w:val="000000"/>
          <w:sz w:val="20"/>
        </w:rPr>
        <w:t>Autodesk had income tax expense of $82 million, relative to pre-tax income of $234 million for the three months ended April 30, 2025, and income tax expense of $57 million, relative to pre-tax income of $309 million for the three months ended April 30, 2024. Our effective tax rate for the three months ended April 30, 2025, differs from the U.S. federal statutory rate of 21% primarily due to a nondeductible cumulative adjustment of stock-based compensation related to the Company’s ESPP and withholding tax, offset by varying tax rates on foreign earnings, tax deductible stock-based compensation, and tax credits.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color w:val="000000"/>
        </w:rPr>
      </w:pPr>
      <w:r>
        <w:rPr>
          <w:color w:val="000000"/>
        </w:rPr>
        <w:t> </w:t>
      </w:r>
      <w:r>
        <w:rPr>
          <w:rFonts w:ascii="Times New Roman;sans-serif" w:hAnsi="Times New Roman;sans-serif"/>
          <w:b w:val="false"/>
          <w:color w:val="000000"/>
          <w:sz w:val="20"/>
        </w:rPr>
        <w:t xml:space="preserve">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The Company continues to retain a valuation allowance against Portugal, New Zealand, California, Massachusetts, and Michigan deferred tax assets and deferred tax assets that will convert to a capital loss upon reversal in Australia and the U.S., as we do not have sufficient income of the appropriate character to benefit from these deferred tax assets. </w:t>
      </w:r>
    </w:p>
    <w:p>
      <w:pPr>
        <w:pStyle w:val="TextBody"/>
        <w:bidi w:val="0"/>
        <w:spacing w:before="0" w:after="0"/>
        <w:ind w:left="0" w:right="0" w:firstLine="495"/>
        <w:jc w:val="left"/>
        <w:rPr/>
      </w:pPr>
      <w:r>
        <w:rPr/>
      </w:r>
    </w:p>
    <w:p>
      <w:pPr>
        <w:pStyle w:val="TextBody"/>
        <w:bidi w:val="0"/>
        <w:spacing w:before="0" w:after="0"/>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i/>
          <w:color w:val="000000"/>
          <w:sz w:val="20"/>
        </w:rPr>
        <w:t>8</w:t>
      </w:r>
      <w:r>
        <w:rPr>
          <w:rFonts w:ascii="Times New Roman;sans-serif" w:hAnsi="Times New Roman;sans-serif"/>
          <w:b w:val="false"/>
          <w:color w:val="000000"/>
          <w:sz w:val="20"/>
        </w:rPr>
        <w:t xml:space="preserve">. </w:t>
      </w:r>
      <w:r>
        <w:rPr>
          <w:rFonts w:ascii="Times New Roman;sans-serif" w:hAnsi="Times New Roman;sans-serif"/>
          <w:b/>
          <w:i/>
          <w:color w:val="000000"/>
          <w:sz w:val="20"/>
        </w:rPr>
        <w:t xml:space="preserve">Intangible Assets, Net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Company's intangible assets, net, as of April 30, 2025, and January 31, 2025:</w:t>
      </w:r>
    </w:p>
    <w:tbl>
      <w:tblPr>
        <w:tblW w:w="7702" w:type="dxa"/>
        <w:jc w:val="left"/>
        <w:tblInd w:w="0" w:type="dxa"/>
        <w:tblLayout w:type="fixed"/>
        <w:tblCellMar>
          <w:top w:w="28" w:type="dxa"/>
          <w:left w:w="28" w:type="dxa"/>
          <w:bottom w:w="28" w:type="dxa"/>
          <w:right w:w="28" w:type="dxa"/>
        </w:tblCellMar>
      </w:tblPr>
      <w:tblGrid>
        <w:gridCol w:w="675"/>
        <w:gridCol w:w="591"/>
        <w:gridCol w:w="594"/>
        <w:gridCol w:w="485"/>
        <w:gridCol w:w="1376"/>
        <w:gridCol w:w="269"/>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patents</w:t>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r>
        <w:rPr>
          <w:rFonts w:ascii="Times New Roman;sans-serif" w:hAnsi="Times New Roman;sans-serif"/>
          <w:b w:val="false"/>
          <w:color w:val="000000"/>
          <w:sz w:val="20"/>
        </w:rPr>
        <w:t>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(1)Includes the effects of foreign currency translation.</w:t>
      </w:r>
    </w:p>
    <w:p>
      <w:pPr>
        <w:pStyle w:val="TextBody"/>
        <w:bidi w:val="0"/>
        <w:spacing w:before="0" w:after="0"/>
        <w:ind w:left="0" w:right="0" w:hanging="90"/>
        <w:jc w:val="left"/>
        <w:rPr/>
      </w:pPr>
      <w:r>
        <w:rPr/>
      </w:r>
    </w:p>
    <w:tbl>
      <w:tblPr>
        <w:tblW w:w="7702" w:type="dxa"/>
        <w:jc w:val="left"/>
        <w:tblInd w:w="0" w:type="dxa"/>
        <w:tblLayout w:type="fixed"/>
        <w:tblCellMar>
          <w:top w:w="28" w:type="dxa"/>
          <w:left w:w="28" w:type="dxa"/>
          <w:bottom w:w="28" w:type="dxa"/>
          <w:right w:w="28" w:type="dxa"/>
        </w:tblCellMar>
      </w:tblPr>
      <w:tblGrid>
        <w:gridCol w:w="675"/>
        <w:gridCol w:w="591"/>
        <w:gridCol w:w="594"/>
        <w:gridCol w:w="485"/>
        <w:gridCol w:w="1376"/>
        <w:gridCol w:w="269"/>
        <w:gridCol w:w="109"/>
        <w:gridCol w:w="109"/>
        <w:gridCol w:w="109"/>
        <w:gridCol w:w="461"/>
        <w:gridCol w:w="1348"/>
        <w:gridCol w:w="260"/>
        <w:gridCol w:w="109"/>
        <w:gridCol w:w="109"/>
        <w:gridCol w:w="109"/>
        <w:gridCol w:w="196"/>
        <w:gridCol w:w="421"/>
        <w:gridCol w:w="109"/>
        <w:gridCol w:w="109"/>
        <w:gridCol w:w="154"/>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technologies</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names and patents</w:t>
            </w:r>
          </w:p>
        </w:tc>
        <w:tc>
          <w:tcPr>
            <w:tcW w:w="1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2,018 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(1)Includes the effects of foreign currency translation.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9. Cloud Computing Arrangements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$340 million and $327 million at April 30, 2025, and January 31, 2025, respectively. Accumulated amortization was $141 million and $136 million at April 30, 2025, and January 31, 2025, respectively. Amortization expense for the three months ended April 30, 2025 and 2024, was $10 million and $13 million,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10</w:t>
      </w:r>
      <w:r>
        <w:rPr>
          <w:rFonts w:ascii="Times New Roman;sans-serif" w:hAnsi="Times New Roman;sans-serif"/>
          <w:b w:val="false"/>
          <w:color w:val="000000"/>
          <w:sz w:val="20"/>
        </w:rPr>
        <w:t xml:space="preserve">. </w:t>
      </w:r>
      <w:r>
        <w:rPr>
          <w:rFonts w:ascii="Times New Roman;sans-serif" w:hAnsi="Times New Roman;sans-serif"/>
          <w:b/>
          <w:i/>
          <w:color w:val="000000"/>
          <w:sz w:val="20"/>
        </w:rPr>
        <w:t xml:space="preserve">Goodwill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Goodwill consists of the excess of the consideration transferred over the fair value of net assets acquired in business combinations. The following table summarizes the changes in the carrying amount of goodwill for the three months ended April 30, 2025, (in millions):</w:t>
      </w:r>
    </w:p>
    <w:p>
      <w:pPr>
        <w:pStyle w:val="TextBody"/>
        <w:bidi w:val="0"/>
        <w:spacing w:lineRule="auto" w:line="288" w:before="0" w:after="0"/>
        <w:jc w:val="left"/>
        <w:rPr>
          <w:color w:val="000000"/>
        </w:rPr>
      </w:pPr>
      <w:r>
        <w:rPr>
          <w:color w:val="000000"/>
        </w:rPr>
        <w:t> </w:t>
      </w:r>
    </w:p>
    <w:tbl>
      <w:tblPr>
        <w:tblW w:w="3680" w:type="dxa"/>
        <w:jc w:val="left"/>
        <w:tblInd w:w="0" w:type="dxa"/>
        <w:tblLayout w:type="fixed"/>
        <w:tblCellMar>
          <w:top w:w="28" w:type="dxa"/>
          <w:left w:w="28" w:type="dxa"/>
          <w:bottom w:w="28" w:type="dxa"/>
          <w:right w:w="28" w:type="dxa"/>
        </w:tblCellMar>
      </w:tblPr>
      <w:tblGrid>
        <w:gridCol w:w="1005"/>
        <w:gridCol w:w="882"/>
        <w:gridCol w:w="887"/>
        <w:gridCol w:w="196"/>
        <w:gridCol w:w="55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31, 2025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Effect of foreign currency translation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April 30, 2025 (1)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 </w:t>
      </w:r>
    </w:p>
    <w:p>
      <w:pPr>
        <w:pStyle w:val="TextBody"/>
        <w:bidi w:val="0"/>
        <w:spacing w:lineRule="auto" w:line="288" w:before="0" w:after="0"/>
        <w:ind w:left="0" w:right="0" w:hanging="450"/>
        <w:jc w:val="left"/>
        <w:rPr/>
      </w:pPr>
      <w:r>
        <w:rPr>
          <w:rFonts w:ascii="Times New Roman;sans-serif" w:hAnsi="Times New Roman;sans-serif"/>
          <w:b w:val="false"/>
          <w:color w:val="000000"/>
          <w:sz w:val="18"/>
        </w:rPr>
        <w:t xml:space="preserve">(1)Accumulated impairment losses as of both </w:t>
      </w:r>
      <w:r>
        <w:rPr>
          <w:rFonts w:ascii="Times New Roman;sans-serif" w:hAnsi="Times New Roman;sans-serif"/>
          <w:b w:val="false"/>
          <w:color w:val="000000"/>
          <w:sz w:val="20"/>
        </w:rPr>
        <w:t>January 31, 2025 and</w:t>
      </w:r>
      <w:r>
        <w:rPr>
          <w:color w:val="000000"/>
        </w:rPr>
        <w:t xml:space="preserve"> </w:t>
      </w:r>
      <w:r>
        <w:rPr>
          <w:rFonts w:ascii="Times New Roman;sans-serif" w:hAnsi="Times New Roman;sans-serif"/>
          <w:b w:val="false"/>
          <w:color w:val="000000"/>
          <w:sz w:val="20"/>
        </w:rPr>
        <w:t>April 30, 2025, were $149 million.</w:t>
      </w:r>
    </w:p>
    <w:p>
      <w:pPr>
        <w:pStyle w:val="TextBody"/>
        <w:bidi w:val="0"/>
        <w:spacing w:before="0" w:after="0"/>
        <w:jc w:val="left"/>
        <w:rPr/>
      </w:pPr>
      <w:r>
        <w:rPr/>
      </w:r>
    </w:p>
    <w:p>
      <w:pPr>
        <w:pStyle w:val="TextBody"/>
        <w:bidi w:val="0"/>
        <w:spacing w:lineRule="auto" w:line="288" w:before="0" w:after="0"/>
        <w:ind w:left="0" w:right="0" w:hanging="9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11. Deferred Compensation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April 30, 2025, Autodesk had investments in debt and equity securities that are held in a rabbi trust under non-qualified deferred compensation plans and a corresponding deferred compensation liability totaling $120 million. Of this amount, $15 million was classified as current and $105 million was classified as non-current in the Condensed Consolidated Balance Sheets. Of the $118 million related to the investments in a rabbi trust as of January 31, 2025, $12 million was classified as current and $106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Costs to obtain a contract with a customer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commissions earned by our internal sales personnel and our solution providers are considered incremental and recoverable costs of obtaining a contract with a customer. The ending balance of assets recognized from costs to obtain a contract with a customer was $587 million as of April 30, 2025, and $467 million as of January 31, 2025. These assets are recorded in “Prepaid expenses and other current assets” and “Long-term other assets” in the Condensed Consolidated Balance Sheet. Of the total amount as of April 30, 2025, $325 million was recorded in “Prepaid expenses and other current assets” and $262 million was recorded in “Long-term other assets” in the Condensed Consolidated Balance Sheets. Amortization expense related to assets recognized from costs to obtain a contract with a customer was $96 million and $41 million during the three months ended April 30, 2025 and 2024, respectively. Autodesk did not recognize any contract cost impairment losses during the three months ended April 30, 2025 and 2024.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12. Computer Equipment, Software, Furniture, and Leasehold Improvements, Net </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Computer equipment, software, furniture and equipment, and leasehold improvements, and the related accumulated depreciation were as follows:</w:t>
      </w:r>
      <w:r>
        <w:rPr>
          <w:color w:val="000000"/>
        </w:rPr>
        <w:t> </w:t>
      </w:r>
    </w:p>
    <w:tbl>
      <w:tblPr>
        <w:tblW w:w="8335" w:type="dxa"/>
        <w:jc w:val="left"/>
        <w:tblInd w:w="0" w:type="dxa"/>
        <w:tblLayout w:type="fixed"/>
        <w:tblCellMar>
          <w:top w:w="28" w:type="dxa"/>
          <w:left w:w="28" w:type="dxa"/>
          <w:bottom w:w="28" w:type="dxa"/>
          <w:right w:w="28" w:type="dxa"/>
        </w:tblCellMar>
      </w:tblPr>
      <w:tblGrid>
        <w:gridCol w:w="1961"/>
        <w:gridCol w:w="1723"/>
        <w:gridCol w:w="1730"/>
        <w:gridCol w:w="312"/>
        <w:gridCol w:w="670"/>
        <w:gridCol w:w="173"/>
        <w:gridCol w:w="109"/>
        <w:gridCol w:w="109"/>
        <w:gridCol w:w="109"/>
        <w:gridCol w:w="365"/>
        <w:gridCol w:w="785"/>
        <w:gridCol w:w="289"/>
      </w:tblGrid>
      <w:tr>
        <w:trPr/>
        <w:tc>
          <w:tcPr>
            <w:tcW w:w="1961"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hardware, at cost</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 at cost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equipment, at cost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 land and buildings, at cost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w:t>
            </w:r>
          </w:p>
        </w:tc>
        <w:tc>
          <w:tcPr>
            <w:tcW w:w="2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equipment, software, furniture, and leasehold improvements, net</w:t>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13. Borrowing Arrangements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Company entered into an Amended and Restated Credit Agreement (the “2022 Credit Agreement”) by and among the Company, the lenders party thereto and Citibank, N.A. (“Citibank”), as administrative agent, which provided for an unsecured revolving loan facility in the aggregate principal amount of $1.5 billion, with an option to increase the principal amount to $2.0 billion subject to receipt of additional commitments and other customary conditions. The revolving credit facility was available for working capital or other business needs. The 2022 Credit Agreement contained customary covenants that, among other things, restricted the imposition of liens on Autodesk’s assets, and restricted Autodesk’s ability to incur additional indebtedness or make dispositions of assets if Autodesk fails to maintain compliance with the financial covenants. The 2022 Credit Agreement required the Company to maintain a maximum leverage ratio of Consolidated Covenant Debt to Consolidated EBITDA (each as defined in the 2022 Credit Agreement) no greater than 3.50:1.00 during the term of the credit facility, subject to adjustment following the consummation of certain acquisitions up to 4.00:1.00 for up to four consecutive fiscal quarters. At April 30, 2025, Autodesk was in compliance with the 2022 Credit Agreement covenants. At April 30, 2025, Autodesk had no outstanding borrowings under the 2022 Credit Agreement. Revolving loans under the 2022 Credit Agreement will bore interest, at the Company’s option, at either (i) a per annum rate equal to the Base Rate (as defined in the 2022 Credit Agreement) plus a margin of between 0.000% and 0.375%, depending on the Company’s Public Debt Rating (as defined in the 2022 Credit Agreement), or (ii) a per annum rate equal to the rate at which dollar deposits are offered in the Secured Overnight Financing Rate, plus a margin of between 0.785% and 1.375%, depending on the Company’s Public Debt Rating. The interest rates for the revolving credit facility were subject to upward or downward adjustments, on an annual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achieved, or failed to achieve, certain sustainability-linked targets based on two key performance indicator metrics: (i) the amount of scope 1 and 2 greenhouse gas emissions from the global operations of the Company and its subsidiaries during a fiscal year less qualified emissions reduction instruments and (ii) the percentage of employees of the Company and its subsidiaries identifying as female working in technical roles. On May 8, 2025, the Company entered into a new credit agreement (the “2025 Credit Agreement”) and terminated its existing 2022 Credit Agreement. See Note 22, “Subsequent Events” for more information.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Autodesk issued $1.0 billion aggregate principal amount of 2.4% notes due December 15, 2031 (“2021 Notes”). Net of a discount of $3 million and issuance costs of $9 million, Autodesk received net proceeds of $988 million from issuance of the 2021 Notes. Both the discount and issuance costs are being amortized to interest expense over the term of the 2021 Notes using the effective interest method. The 2021 Notes were designated as sustainability bonds, the net proceeds of which are used to fund environmentally and socially responsible projects in the following areas: eco-efficient products, production technologies, and processes, sustainable water and wastewater management, renewable energy &amp; energy efficiency, green buildings, pollution prevention and control, and socioeconomic advancement and empowerment.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In January 2020, Autodesk issued $500 million aggregate principal amount of 2.85% notes due January 15, 2030 (“2020 Notes”). Net of a discount of $1 million and issuance costs of $5 million, Autodesk received net proceeds of $494 million from issuance of the 2020 Notes. Both the discount and issuance costs are being amortized to interest expense over the term of the 2020 Notes using the effective interest method. The proceeds of the 2020 Notes were used for the repayment of $450 million</w:t>
      </w:r>
      <w:r>
        <w:rPr>
          <w:color w:val="000000"/>
          <w:shd w:fill="FFFFFF" w:val="clear"/>
        </w:rPr>
        <w:t xml:space="preserve"> </w:t>
      </w:r>
      <w:r>
        <w:rPr>
          <w:rFonts w:ascii="Times New Roman;sans-serif" w:hAnsi="Times New Roman;sans-serif"/>
          <w:b w:val="false"/>
          <w:color w:val="000000"/>
          <w:sz w:val="20"/>
          <w:shd w:fill="FFFFFF" w:val="clear"/>
        </w:rPr>
        <w:t>of debt due June 15, 2020</w:t>
      </w:r>
      <w:r>
        <w:rPr>
          <w:rFonts w:ascii="Times New Roman;sans-serif" w:hAnsi="Times New Roman;sans-serif"/>
          <w:b w:val="false"/>
          <w:color w:val="000000"/>
          <w:sz w:val="20"/>
        </w:rPr>
        <w:t>, and the remainder is available for general corporate purposes.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2017, Autodesk issued $500 million aggregate principal amount of 3.5% notes due June 15, 2027 (the “2017 Notes”). Net of a discount of $3 million and issuance costs of $5 million, Autodesk received net proceeds of $492 million from issuance of the 2017 Notes. Both the discount and issuance costs are being amortized to interest expense over the term of the 2017 Notes using the effective interest method. The proceeds of the 2017 Notes have been used for the repayment of $400 million of debt due December 15, 2017, and the remainder is available for general corporate purposes.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2015, Autodesk issued $300 million aggregate principal amount of 4.375% notes due June 15, 2025 (“2015 Notes”). Net of a discount of $1 million, and issuance costs of $3 million, Autodesk received net proceeds of $296 million from issuance of the 2015 Notes. Both the discount and issuance costs are being amortized to interest expense over the respective term of the 2015 Notes using the effective interest method. The proceeds of the 2015 Notes are available for general corporate purposes.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2021 Notes, 2020 Notes, 2017 Notes, and the 2015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 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quoted market prices, the approximate fair value of the notes as of April 30, 2025, were as follows: </w:t>
      </w:r>
    </w:p>
    <w:tbl>
      <w:tblPr>
        <w:tblW w:w="4375" w:type="dxa"/>
        <w:jc w:val="left"/>
        <w:tblInd w:w="0" w:type="dxa"/>
        <w:tblLayout w:type="fixed"/>
        <w:tblCellMar>
          <w:top w:w="28" w:type="dxa"/>
          <w:left w:w="28" w:type="dxa"/>
          <w:bottom w:w="28" w:type="dxa"/>
          <w:right w:w="28" w:type="dxa"/>
        </w:tblCellMar>
      </w:tblPr>
      <w:tblGrid>
        <w:gridCol w:w="342"/>
        <w:gridCol w:w="300"/>
        <w:gridCol w:w="302"/>
        <w:gridCol w:w="595"/>
        <w:gridCol w:w="1279"/>
        <w:gridCol w:w="331"/>
        <w:gridCol w:w="109"/>
        <w:gridCol w:w="109"/>
        <w:gridCol w:w="109"/>
        <w:gridCol w:w="229"/>
        <w:gridCol w:w="491"/>
        <w:gridCol w:w="17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2015 Notes</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2017 Notes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2020 Notes</w:t>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 Notes</w:t>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future principal payments for all borrowings as of April 30, 2025, were as follows (in millions):</w:t>
      </w:r>
    </w:p>
    <w:tbl>
      <w:tblPr>
        <w:tblW w:w="3569" w:type="dxa"/>
        <w:jc w:val="center"/>
        <w:tblInd w:w="0" w:type="dxa"/>
        <w:tblLayout w:type="fixed"/>
        <w:tblCellMar>
          <w:top w:w="28" w:type="dxa"/>
          <w:left w:w="28" w:type="dxa"/>
          <w:bottom w:w="28" w:type="dxa"/>
          <w:right w:w="28" w:type="dxa"/>
        </w:tblCellMar>
      </w:tblPr>
      <w:tblGrid>
        <w:gridCol w:w="725"/>
        <w:gridCol w:w="638"/>
        <w:gridCol w:w="646"/>
        <w:gridCol w:w="196"/>
        <w:gridCol w:w="556"/>
        <w:gridCol w:w="109"/>
        <w:gridCol w:w="109"/>
        <w:gridCol w:w="109"/>
        <w:gridCol w:w="109"/>
        <w:gridCol w:w="109"/>
        <w:gridCol w:w="109"/>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 (remainder)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principal outstanding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i/>
          <w:color w:val="000000"/>
          <w:sz w:val="20"/>
        </w:rPr>
        <w:t>14</w:t>
      </w:r>
      <w:r>
        <w:rPr>
          <w:rFonts w:ascii="Times New Roman;sans-serif" w:hAnsi="Times New Roman;sans-serif"/>
          <w:b w:val="false"/>
          <w:color w:val="000000"/>
          <w:sz w:val="20"/>
        </w:rPr>
        <w:t xml:space="preserve">. </w:t>
      </w:r>
      <w:r>
        <w:rPr>
          <w:rFonts w:ascii="Times New Roman;sans-serif" w:hAnsi="Times New Roman;sans-serif"/>
          <w:b/>
          <w:i/>
          <w:color w:val="000000"/>
          <w:sz w:val="20"/>
        </w:rPr>
        <w:t xml:space="preserve">Leases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Autodesk has operating leases for real estate and certain equipment. Leases have remaining lease terms of less than 1 year to 65 years, some of which include options to extend the lease with renewal terms from 1 year to 7 years</w:t>
      </w:r>
      <w:r>
        <w:rPr>
          <w:color w:val="0070C0"/>
        </w:rPr>
        <w:t xml:space="preserve"> </w:t>
      </w:r>
      <w:r>
        <w:rPr>
          <w:rFonts w:ascii="Times New Roman;sans-serif" w:hAnsi="Times New Roman;sans-serif"/>
          <w:b w:val="false"/>
          <w:color w:val="000000"/>
          <w:sz w:val="20"/>
        </w:rPr>
        <w:t xml:space="preserve">and some of which include options to terminate the leases from less than 1 year to 5 years. Options to extend or terminate the lease are considered in determining the lease term when it is reasonably certain that the option will be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 with the exception of “Lease-related asset impairments” which is presented in “Adjustments to reconcile net income to net cash provided by operating activities”.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During the fiscal quarter ended</w:t>
      </w:r>
      <w:r>
        <w:rPr>
          <w:color w:val="000000"/>
        </w:rPr>
        <w:t xml:space="preserve"> </w:t>
      </w:r>
      <w:r>
        <w:rPr>
          <w:rFonts w:ascii="Times New Roman;sans-serif" w:hAnsi="Times New Roman;sans-serif"/>
          <w:b w:val="false"/>
          <w:color w:val="000000"/>
          <w:sz w:val="18"/>
        </w:rPr>
        <w:t>April 30, 2025, A</w:t>
      </w:r>
      <w:r>
        <w:rPr>
          <w:rFonts w:ascii="Times New Roman;sans-serif" w:hAnsi="Times New Roman;sans-serif"/>
          <w:b w:val="false"/>
          <w:color w:val="000000"/>
          <w:sz w:val="20"/>
        </w:rPr>
        <w:t>utodesk recorded total operating lease right-of-use assets impairment charges of $9 million. Autodesk did not recognize any charges during the fiscal quarter ended April 30, 2024. Autodesk assessed the asset groupings for disaggregation based on the proposed changes in use of the facilities. For asset groups where impairment was triggered, Autodesk utilized an income approach to value the asset groups by developing discounted cash flow models. The significant assumptions used in the discounted cash flow models for each of the asset groups included projected sublease income over the remaining lease terms, expected downtime prior to the commencement of future subleases, expected lease incentives offered to future tenants, and discount rates that reflected the level of risk associated with these future cash flows. These significant assumptions are considered Level 1 and Level 2 inputs in accordance with the fair value hierarchy described in Note 1, “Business and Summary of Significant Accounting Policies” in our Annual Report on Form 10-K for the fiscal year ended January 31, 2025. The operating lease right-of-use assets impairment charges are included in “Restructuring, other exit costs, and facility reductions” in the Company’s Consolidated Statements of Operations. See Note 16, “Restructuring, Other Exit Costs, and Facility Reductions” for more details.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operating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942"/>
        <w:gridCol w:w="2505"/>
        <w:gridCol w:w="2523"/>
        <w:gridCol w:w="266"/>
        <w:gridCol w:w="449"/>
        <w:gridCol w:w="147"/>
        <w:gridCol w:w="147"/>
        <w:gridCol w:w="147"/>
        <w:gridCol w:w="147"/>
        <w:gridCol w:w="266"/>
        <w:gridCol w:w="449"/>
        <w:gridCol w:w="217"/>
      </w:tblGrid>
      <w:tr>
        <w:trPr/>
        <w:tc>
          <w:tcPr>
            <w:tcW w:w="2942"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7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leases included in operating cash flows (1)</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increase in operating lease liabilities arising from obtaining operating lease right-of-use assets and lease modifications</w:t>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Includes $3 million and $4 million in variable lease payments for the three months ended April 30, 2025 and 2024, respectively, not included in “Operating lease liabilities” and “Long-term operating lease liabilities” on the Condensed Consolidated Balance Sheets.</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were as follows:</w:t>
      </w:r>
    </w:p>
    <w:tbl>
      <w:tblPr>
        <w:tblW w:w="3800" w:type="dxa"/>
        <w:jc w:val="left"/>
        <w:tblInd w:w="0" w:type="dxa"/>
        <w:tblLayout w:type="fixed"/>
        <w:tblCellMar>
          <w:top w:w="28" w:type="dxa"/>
          <w:left w:w="28" w:type="dxa"/>
          <w:bottom w:w="28" w:type="dxa"/>
          <w:right w:w="28" w:type="dxa"/>
        </w:tblCellMar>
      </w:tblPr>
      <w:tblGrid>
        <w:gridCol w:w="1094"/>
        <w:gridCol w:w="963"/>
        <w:gridCol w:w="972"/>
        <w:gridCol w:w="196"/>
        <w:gridCol w:w="421"/>
        <w:gridCol w:w="154"/>
      </w:tblGrid>
      <w:tr>
        <w:trPr/>
        <w:tc>
          <w:tcPr>
            <w:tcW w:w="109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ending</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 (remainder)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2030</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amounts in the table above do not include sublease income payments of $62 million. Autodesk expects to receive sublease income payments of approximately $41 million for remaining fiscal 2026 through fiscal 2030 and $21 million thereafter.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April 30, 2025, Autodesk had no material additional operating lease minimum lease payments for executed leases that have not yet commenced.</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15. Derivative Instruments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derivatives designated as hedging instruments on Autodesk’s Condensed Consolidated Statements of Operations were as follows for the three months ended April 30, 2025 and 2024 (amounts presented include any income tax effects):</w:t>
      </w:r>
    </w:p>
    <w:tbl>
      <w:tblPr>
        <w:tblW w:w="10205" w:type="dxa"/>
        <w:jc w:val="left"/>
        <w:tblInd w:w="0" w:type="dxa"/>
        <w:tblLayout w:type="fixed"/>
        <w:tblCellMar>
          <w:top w:w="28" w:type="dxa"/>
          <w:left w:w="28" w:type="dxa"/>
          <w:bottom w:w="28" w:type="dxa"/>
          <w:right w:w="28" w:type="dxa"/>
        </w:tblCellMar>
      </w:tblPr>
      <w:tblGrid>
        <w:gridCol w:w="2574"/>
        <w:gridCol w:w="2255"/>
        <w:gridCol w:w="2261"/>
        <w:gridCol w:w="109"/>
        <w:gridCol w:w="109"/>
        <w:gridCol w:w="233"/>
        <w:gridCol w:w="233"/>
        <w:gridCol w:w="420"/>
        <w:gridCol w:w="857"/>
        <w:gridCol w:w="233"/>
        <w:gridCol w:w="109"/>
        <w:gridCol w:w="109"/>
        <w:gridCol w:w="109"/>
        <w:gridCol w:w="196"/>
        <w:gridCol w:w="241"/>
        <w:gridCol w:w="157"/>
      </w:tblGrid>
      <w:tr>
        <w:trPr/>
        <w:tc>
          <w:tcPr>
            <w:tcW w:w="257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921" w:type="dxa"/>
            <w:gridSpan w:val="6"/>
            <w:tcBorders/>
          </w:tcPr>
          <w:p>
            <w:pPr>
              <w:pStyle w:val="TableContents"/>
              <w:bidi w:val="0"/>
              <w:spacing w:before="0" w:after="283"/>
              <w:jc w:val="left"/>
              <w:rPr>
                <w:sz w:val="4"/>
                <w:szCs w:val="4"/>
              </w:rPr>
            </w:pPr>
            <w:r>
              <w:rPr>
                <w:sz w:val="4"/>
                <w:szCs w:val="4"/>
              </w:rPr>
            </w:r>
          </w:p>
        </w:tc>
      </w:tr>
      <w:tr>
        <w:trPr/>
        <w:tc>
          <w:tcPr>
            <w:tcW w:w="7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18"/>
              </w:rPr>
              <w:t>Amount of (loss) gain recognized in accumulated other comprehensive income, net of tax,</w:t>
            </w:r>
            <w:r>
              <w:rPr>
                <w:color w:val="000000"/>
                <w:shd w:fill="CCEEFF" w:val="clear"/>
              </w:rPr>
              <w:t xml:space="preserve"> </w:t>
            </w:r>
            <w:r>
              <w:rPr>
                <w:rFonts w:ascii="Times New Roman;sans-serif" w:hAnsi="Times New Roman;sans-serif"/>
                <w:b w:val="false"/>
                <w:color w:val="000000"/>
                <w:sz w:val="18"/>
                <w:shd w:fill="CCEEFF" w:val="clear"/>
              </w:rPr>
              <w:t>(effective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and location of gain (loss) reclassified from accumulated other comprehensive loss into income (effective portion)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r>
      <w:tr>
        <w:trPr/>
        <w:tc>
          <w:tcPr>
            <w:tcW w:w="7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gains or losses recognized in net income of derivatives not designated as hedging instruments on Autodesk’s Condensed Consolidated Statements of Operations were as follows for the three months ended April 30, 2025 and 2024, (amounts presented include any income tax effects):</w:t>
      </w:r>
    </w:p>
    <w:tbl>
      <w:tblPr>
        <w:tblW w:w="6250" w:type="dxa"/>
        <w:jc w:val="left"/>
        <w:tblInd w:w="0" w:type="dxa"/>
        <w:tblLayout w:type="fixed"/>
        <w:tblCellMar>
          <w:top w:w="28" w:type="dxa"/>
          <w:left w:w="28" w:type="dxa"/>
          <w:bottom w:w="28" w:type="dxa"/>
          <w:right w:w="28" w:type="dxa"/>
        </w:tblCellMar>
      </w:tblPr>
      <w:tblGrid>
        <w:gridCol w:w="962"/>
        <w:gridCol w:w="842"/>
        <w:gridCol w:w="851"/>
        <w:gridCol w:w="109"/>
        <w:gridCol w:w="109"/>
        <w:gridCol w:w="269"/>
        <w:gridCol w:w="269"/>
        <w:gridCol w:w="484"/>
        <w:gridCol w:w="1003"/>
        <w:gridCol w:w="269"/>
        <w:gridCol w:w="109"/>
        <w:gridCol w:w="109"/>
        <w:gridCol w:w="109"/>
        <w:gridCol w:w="196"/>
        <w:gridCol w:w="406"/>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83" w:type="dxa"/>
            <w:gridSpan w:val="6"/>
            <w:tcBorders/>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(loss)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5, “Financial Instruments” for the fair values of derivative instruments in Autodesk’s Condensed Consolidated Balance Sheets as of April 30, 2025, and January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225"/>
        <w:jc w:val="left"/>
        <w:rPr/>
      </w:pPr>
      <w:r>
        <w:rPr>
          <w:rFonts w:ascii="Times New Roman;sans-serif" w:hAnsi="Times New Roman;sans-serif"/>
          <w:b w:val="false"/>
          <w:i/>
          <w:color w:val="000000"/>
          <w:sz w:val="20"/>
        </w:rPr>
        <w:t>Foreign currency contracts designated as cash flow hedges</w:t>
      </w:r>
      <w:r>
        <w:rPr>
          <w:color w:val="000000"/>
        </w:rPr>
        <w:t xml:space="preserv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$1.90 billion at April 30, 2025, and $1.52 billion at January 31, 2025. Outstanding contracts are recognized as either assets or liabilities on the Company's Condensed Consolidated Balance Sheet at fair value. The majority of the net gain of $1 million remaining in “Accumulated other comprehensive loss” as of April 30, 2025, is expected to be recognized into earnings within the next 24 months. </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Derivatives not designated as hedging instruments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$684 million at April 30, 2025, and $1.14 billion at January 31, 2025. </w:t>
      </w:r>
    </w:p>
    <w:p>
      <w:pPr>
        <w:pStyle w:val="TextBody"/>
        <w:bidi w:val="0"/>
        <w:spacing w:before="0" w:after="0"/>
        <w:ind w:left="0" w:right="0" w:firstLine="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16. Restructuring, Other Exit Costs, and Facility Reductions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2026, Autodesk initiated a restructuring plan (“2026 Plan”) to support Autodesk's initiatives to optimize its go-to-market organization and, at the same time, to reallocate resources to Autodesk’s strategic priorities of investments in cloud, platform and artificial intelligence. With this restructuring plan, Autodesk is realigning roles to maximize talent investments and to distribute critical expertise globally. Autodesk expects to complete the 2026 Plan by the end of fiscal 2026.</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restructuring and other exit costs liability as of April 30, 2025:</w:t>
      </w:r>
    </w:p>
    <w:p>
      <w:pPr>
        <w:pStyle w:val="TextBody"/>
        <w:bidi w:val="0"/>
        <w:spacing w:before="0" w:after="0"/>
        <w:ind w:left="0" w:right="0" w:firstLine="720"/>
        <w:jc w:val="left"/>
        <w:rPr/>
      </w:pPr>
      <w:r>
        <w:rPr/>
      </w:r>
    </w:p>
    <w:tbl>
      <w:tblPr>
        <w:tblW w:w="9493" w:type="dxa"/>
        <w:jc w:val="left"/>
        <w:tblInd w:w="0" w:type="dxa"/>
        <w:tblLayout w:type="fixed"/>
        <w:tblCellMar>
          <w:top w:w="28" w:type="dxa"/>
          <w:left w:w="28" w:type="dxa"/>
          <w:bottom w:w="28" w:type="dxa"/>
          <w:right w:w="28" w:type="dxa"/>
        </w:tblCellMar>
      </w:tblPr>
      <w:tblGrid>
        <w:gridCol w:w="869"/>
        <w:gridCol w:w="763"/>
        <w:gridCol w:w="768"/>
        <w:gridCol w:w="650"/>
        <w:gridCol w:w="1099"/>
        <w:gridCol w:w="365"/>
        <w:gridCol w:w="109"/>
        <w:gridCol w:w="109"/>
        <w:gridCol w:w="109"/>
        <w:gridCol w:w="323"/>
        <w:gridCol w:w="546"/>
        <w:gridCol w:w="180"/>
        <w:gridCol w:w="109"/>
        <w:gridCol w:w="109"/>
        <w:gridCol w:w="109"/>
        <w:gridCol w:w="244"/>
        <w:gridCol w:w="431"/>
        <w:gridCol w:w="136"/>
        <w:gridCol w:w="109"/>
        <w:gridCol w:w="109"/>
        <w:gridCol w:w="109"/>
        <w:gridCol w:w="109"/>
        <w:gridCol w:w="109"/>
        <w:gridCol w:w="551"/>
        <w:gridCol w:w="932"/>
        <w:gridCol w:w="437"/>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Balances, January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Balances, April 30, 2025</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terminations costs (1)</w:t>
            </w:r>
          </w:p>
        </w:tc>
        <w:tc>
          <w:tcPr>
            <w:tcW w:w="6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exit costs (2)</w:t>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Recorded in the Condensed Consolidated Balance Sheets under “Accrued compensation."</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Recorded in the Condensed Consolidated Balance Sheets under “Accounts payable."</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Recorded in the Condensed Consolidated Statements of Operations under “Restructuring, other exit costs, and facility reductions”.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April 30, 2025, Autodesk recorded $9 million in lease right-of-use assets impairments and $5 million in impairment charges to computer equipment, software, furniture, and leasehold improvements for facility reductions related to the 2026 Plan. These costs are included in “Restructuring, other exit costs, and facility reductions” on the Company's Condensed Consolidated Statements of Operations.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17. Commitments and Contingencies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Guarantees and Indemnifications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 </w:t>
      </w:r>
    </w:p>
    <w:p>
      <w:pPr>
        <w:pStyle w:val="TextBody"/>
        <w:bidi w:val="0"/>
        <w:spacing w:before="0" w:after="0"/>
        <w:ind w:left="0" w:right="0" w:firstLine="225"/>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is involved in a variety of claims, suits, inquiries, investigations,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has provided the SEC and USAO with certain documents and information and will continue to cooperate with the SEC and USAO. At this stage, the Company cannot reasonably estimate the amount of any possible financial loss that could result from this matter.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2024, Michael Barkasi filed a purported federal securities class action complaint in the Northern District of California against the Company, our Chief Executive Officer, Andrew Anagnost, and our former Chief Financial Officer, Deborah L. Clifford. The complaint, which was filed shortly after the Company’s announcement of the Internal Investigation, generally alleges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At this stage, the Company cannot reasonably estimate the amount of any possible financial loss that could result from this matter.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18. Stockholders' Equity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stockholders' equity by component, net of tax, for the three months ended April 30, 2025, are as follows: </w:t>
      </w:r>
    </w:p>
    <w:tbl>
      <w:tblPr>
        <w:tblW w:w="10205" w:type="dxa"/>
        <w:jc w:val="center"/>
        <w:tblInd w:w="0" w:type="dxa"/>
        <w:tblLayout w:type="fixed"/>
        <w:tblCellMar>
          <w:top w:w="28" w:type="dxa"/>
          <w:left w:w="28" w:type="dxa"/>
          <w:bottom w:w="28" w:type="dxa"/>
          <w:right w:w="28" w:type="dxa"/>
        </w:tblCellMar>
      </w:tblPr>
      <w:tblGrid>
        <w:gridCol w:w="933"/>
        <w:gridCol w:w="618"/>
        <w:gridCol w:w="622"/>
        <w:gridCol w:w="242"/>
        <w:gridCol w:w="237"/>
        <w:gridCol w:w="163"/>
        <w:gridCol w:w="163"/>
        <w:gridCol w:w="163"/>
        <w:gridCol w:w="163"/>
        <w:gridCol w:w="294"/>
        <w:gridCol w:w="835"/>
        <w:gridCol w:w="163"/>
        <w:gridCol w:w="109"/>
        <w:gridCol w:w="109"/>
        <w:gridCol w:w="109"/>
        <w:gridCol w:w="495"/>
        <w:gridCol w:w="1104"/>
        <w:gridCol w:w="276"/>
        <w:gridCol w:w="109"/>
        <w:gridCol w:w="109"/>
        <w:gridCol w:w="109"/>
        <w:gridCol w:w="284"/>
        <w:gridCol w:w="828"/>
        <w:gridCol w:w="158"/>
        <w:gridCol w:w="109"/>
        <w:gridCol w:w="109"/>
        <w:gridCol w:w="109"/>
        <w:gridCol w:w="319"/>
        <w:gridCol w:w="905"/>
        <w:gridCol w:w="259"/>
      </w:tblGrid>
      <w:tr>
        <w:trPr/>
        <w:tc>
          <w:tcPr>
            <w:tcW w:w="9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17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deficit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2173" w:type="dxa"/>
            <w:gridSpan w:val="3"/>
            <w:vMerge w:val="continue"/>
            <w:tcBorders/>
            <w:tcMar>
              <w:top w:w="0" w:type="dxa"/>
              <w:left w:w="0" w:type="dxa"/>
              <w:bottom w:w="0" w:type="dxa"/>
              <w:right w:w="0" w:type="dxa"/>
            </w:tcMar>
            <w:vAlign w:val="center"/>
          </w:tcPr>
          <w:p>
            <w:pPr>
              <w:pStyle w:val="Normal"/>
              <w:bidi w:val="0"/>
              <w:jc w:val="left"/>
              <w:rPr/>
            </w:pPr>
            <w:r>
              <w:rPr/>
            </w:r>
          </w:p>
        </w:tc>
        <w:tc>
          <w:tcPr>
            <w:tcW w:w="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2025</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Common shares issued under stock plans </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shares (1)</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April 30, 2025</w:t>
            </w:r>
          </w:p>
        </w:tc>
        <w:tc>
          <w:tcPr>
            <w:tcW w:w="4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(1)During the three months ended April 30, 2025, Autodesk repurchased 1 million shares at an average repurchase price of $268.67 per share. At April 30, 2025, $3.53 billion and $5 billion remained available for repurchase under the November 2022 and November 2024 repurchase programs approved by the Board of Directors, respectively.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stockholders' equity by component, net of tax, for the three months ended April 30, 2024, are as follows:</w:t>
      </w:r>
    </w:p>
    <w:tbl>
      <w:tblPr>
        <w:tblW w:w="10205" w:type="dxa"/>
        <w:jc w:val="center"/>
        <w:tblInd w:w="0" w:type="dxa"/>
        <w:tblLayout w:type="fixed"/>
        <w:tblCellMar>
          <w:top w:w="28" w:type="dxa"/>
          <w:left w:w="28" w:type="dxa"/>
          <w:bottom w:w="28" w:type="dxa"/>
          <w:right w:w="28" w:type="dxa"/>
        </w:tblCellMar>
      </w:tblPr>
      <w:tblGrid>
        <w:gridCol w:w="1096"/>
        <w:gridCol w:w="645"/>
        <w:gridCol w:w="649"/>
        <w:gridCol w:w="242"/>
        <w:gridCol w:w="237"/>
        <w:gridCol w:w="157"/>
        <w:gridCol w:w="157"/>
        <w:gridCol w:w="157"/>
        <w:gridCol w:w="157"/>
        <w:gridCol w:w="283"/>
        <w:gridCol w:w="804"/>
        <w:gridCol w:w="157"/>
        <w:gridCol w:w="109"/>
        <w:gridCol w:w="109"/>
        <w:gridCol w:w="109"/>
        <w:gridCol w:w="474"/>
        <w:gridCol w:w="1057"/>
        <w:gridCol w:w="265"/>
        <w:gridCol w:w="109"/>
        <w:gridCol w:w="109"/>
        <w:gridCol w:w="109"/>
        <w:gridCol w:w="275"/>
        <w:gridCol w:w="802"/>
        <w:gridCol w:w="153"/>
        <w:gridCol w:w="109"/>
        <w:gridCol w:w="109"/>
        <w:gridCol w:w="109"/>
        <w:gridCol w:w="313"/>
        <w:gridCol w:w="889"/>
        <w:gridCol w:w="255"/>
      </w:tblGrid>
      <w:tr>
        <w:trPr/>
        <w:tc>
          <w:tcPr>
            <w:tcW w:w="109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39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and 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stockholders' equity </w:t>
            </w:r>
          </w:p>
        </w:tc>
      </w:tr>
      <w:tr>
        <w:trPr/>
        <w:tc>
          <w:tcPr>
            <w:tcW w:w="239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3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45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2024</w:t>
            </w:r>
          </w:p>
        </w:tc>
        <w:tc>
          <w:tcPr>
            <w:tcW w:w="4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shares issued under stock plans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of liability-classified restricted common shares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4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shares (1)</w:t>
            </w:r>
          </w:p>
        </w:tc>
        <w:tc>
          <w:tcPr>
            <w:tcW w:w="4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April 30, 2024</w:t>
            </w:r>
          </w:p>
        </w:tc>
        <w:tc>
          <w:tcPr>
            <w:tcW w:w="4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390"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(1)During the three months ended April 30, 2024, Autodesk repurchased 33 thousand shares at an average repurchase price of $254.81 per share. At April 30, 2024, $4.73 billion remained available for repurchase under the November 2022 repurchase program approved by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19. Accumulated Other Comprehensive Loss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taxes, consisted of the following at April 30, 2025:</w:t>
      </w:r>
    </w:p>
    <w:tbl>
      <w:tblPr>
        <w:tblW w:w="10205" w:type="dxa"/>
        <w:jc w:val="center"/>
        <w:tblInd w:w="0" w:type="dxa"/>
        <w:tblLayout w:type="fixed"/>
        <w:tblCellMar>
          <w:top w:w="28" w:type="dxa"/>
          <w:left w:w="28" w:type="dxa"/>
          <w:bottom w:w="28" w:type="dxa"/>
          <w:right w:w="28" w:type="dxa"/>
        </w:tblCellMar>
      </w:tblPr>
      <w:tblGrid>
        <w:gridCol w:w="919"/>
        <w:gridCol w:w="478"/>
        <w:gridCol w:w="482"/>
        <w:gridCol w:w="463"/>
        <w:gridCol w:w="782"/>
        <w:gridCol w:w="258"/>
        <w:gridCol w:w="109"/>
        <w:gridCol w:w="109"/>
        <w:gridCol w:w="109"/>
        <w:gridCol w:w="627"/>
        <w:gridCol w:w="1058"/>
        <w:gridCol w:w="350"/>
        <w:gridCol w:w="109"/>
        <w:gridCol w:w="109"/>
        <w:gridCol w:w="109"/>
        <w:gridCol w:w="390"/>
        <w:gridCol w:w="689"/>
        <w:gridCol w:w="219"/>
        <w:gridCol w:w="109"/>
        <w:gridCol w:w="109"/>
        <w:gridCol w:w="109"/>
        <w:gridCol w:w="364"/>
        <w:gridCol w:w="810"/>
        <w:gridCol w:w="204"/>
        <w:gridCol w:w="109"/>
        <w:gridCol w:w="109"/>
        <w:gridCol w:w="109"/>
        <w:gridCol w:w="196"/>
        <w:gridCol w:w="446"/>
        <w:gridCol w:w="162"/>
      </w:tblGrid>
      <w:tr>
        <w:trPr/>
        <w:tc>
          <w:tcPr>
            <w:tcW w:w="91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 on 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2025</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before reclassifications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gains reclassified from accumulated other comprehensive loss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 period other comprehensive (loss) income</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April 30, 2025</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taxes, consisted of the following at April 30, 2024:</w:t>
      </w:r>
    </w:p>
    <w:tbl>
      <w:tblPr>
        <w:tblW w:w="10205" w:type="dxa"/>
        <w:jc w:val="left"/>
        <w:tblInd w:w="0" w:type="dxa"/>
        <w:tblLayout w:type="fixed"/>
        <w:tblCellMar>
          <w:top w:w="28" w:type="dxa"/>
          <w:left w:w="28" w:type="dxa"/>
          <w:bottom w:w="28" w:type="dxa"/>
          <w:right w:w="28" w:type="dxa"/>
        </w:tblCellMar>
      </w:tblPr>
      <w:tblGrid>
        <w:gridCol w:w="919"/>
        <w:gridCol w:w="478"/>
        <w:gridCol w:w="482"/>
        <w:gridCol w:w="463"/>
        <w:gridCol w:w="782"/>
        <w:gridCol w:w="258"/>
        <w:gridCol w:w="109"/>
        <w:gridCol w:w="109"/>
        <w:gridCol w:w="109"/>
        <w:gridCol w:w="627"/>
        <w:gridCol w:w="1058"/>
        <w:gridCol w:w="350"/>
        <w:gridCol w:w="109"/>
        <w:gridCol w:w="109"/>
        <w:gridCol w:w="109"/>
        <w:gridCol w:w="390"/>
        <w:gridCol w:w="689"/>
        <w:gridCol w:w="219"/>
        <w:gridCol w:w="109"/>
        <w:gridCol w:w="109"/>
        <w:gridCol w:w="109"/>
        <w:gridCol w:w="364"/>
        <w:gridCol w:w="810"/>
        <w:gridCol w:w="204"/>
        <w:gridCol w:w="109"/>
        <w:gridCol w:w="109"/>
        <w:gridCol w:w="109"/>
        <w:gridCol w:w="196"/>
        <w:gridCol w:w="446"/>
        <w:gridCol w:w="162"/>
      </w:tblGrid>
      <w:tr>
        <w:trPr/>
        <w:tc>
          <w:tcPr>
            <w:tcW w:w="91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 on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Unrealized Gains (Losses) on 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Defined Benefit Pension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January 31, 2024</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 gains reclassified from accumulated other comprehensive loss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effects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current period other comprehensive income (loss)</w:t>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April 30, 2024</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Reclassifications related to gains and losses on available-for-sale debt securities are included in “Interest and other income, net.” Refer to Note 15, “Derivative Instruments,” for the amount and location of reclassifications related to derivative instruments. Reclassifications of the defined benefit pension components of net periodic benefit cost are included in “Interest and other income, net.”</w:t>
      </w:r>
    </w:p>
    <w:p>
      <w:pPr>
        <w:pStyle w:val="TextBody"/>
        <w:bidi w:val="0"/>
        <w:spacing w:lineRule="auto" w:line="288" w:before="0" w:after="0"/>
        <w:ind w:left="0" w:right="0" w:firstLine="45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i/>
          <w:color w:val="000000"/>
          <w:sz w:val="20"/>
        </w:rPr>
        <w:t>20</w:t>
      </w:r>
      <w:r>
        <w:rPr>
          <w:rFonts w:ascii="Times New Roman;sans-serif" w:hAnsi="Times New Roman;sans-serif"/>
          <w:b w:val="false"/>
          <w:color w:val="000000"/>
          <w:sz w:val="20"/>
        </w:rPr>
        <w:t xml:space="preserve">. </w:t>
      </w:r>
      <w:r>
        <w:rPr>
          <w:rFonts w:ascii="Times New Roman;sans-serif" w:hAnsi="Times New Roman;sans-serif"/>
          <w:b/>
          <w:i/>
          <w:color w:val="000000"/>
          <w:sz w:val="20"/>
        </w:rPr>
        <w:t xml:space="preserve">Net Income Per Share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 is computed using the weighted average number of shares of common stock outstanding for the period. Diluted net income per share is computed using the weighted average number of shares of common stock outstanding for the period and potentially dilutive common shares, including the effect of restricted stock units, performance share awards, and stock options using the treasury stock method. The following table sets forth the computation of the numerators and denominators used in the basic and diluted net income per share amounts:</w:t>
      </w:r>
    </w:p>
    <w:tbl>
      <w:tblPr>
        <w:tblW w:w="7884" w:type="dxa"/>
        <w:jc w:val="left"/>
        <w:tblInd w:w="0" w:type="dxa"/>
        <w:tblLayout w:type="fixed"/>
        <w:tblCellMar>
          <w:top w:w="28" w:type="dxa"/>
          <w:left w:w="28" w:type="dxa"/>
          <w:bottom w:w="28" w:type="dxa"/>
          <w:right w:w="28" w:type="dxa"/>
        </w:tblCellMar>
      </w:tblPr>
      <w:tblGrid>
        <w:gridCol w:w="1850"/>
        <w:gridCol w:w="1625"/>
        <w:gridCol w:w="1639"/>
        <w:gridCol w:w="240"/>
        <w:gridCol w:w="572"/>
        <w:gridCol w:w="133"/>
        <w:gridCol w:w="133"/>
        <w:gridCol w:w="133"/>
        <w:gridCol w:w="133"/>
        <w:gridCol w:w="240"/>
        <w:gridCol w:w="572"/>
        <w:gridCol w:w="133"/>
        <w:gridCol w:w="109"/>
        <w:gridCol w:w="109"/>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 for basic net income per share—weighted average shares</w:t>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 for dilutive net income per share</w:t>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income per share</w:t>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0.71 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24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3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computation of diluted net income per share does not include shares that are anti-dilutive under the treasury stock method because their exercise prices are higher than the average market value of Autodesk’s stock during the periods. For the three months ended April 30, 2025 and 2024, there were 180 thousand and 48 thousand anti-dilutive shares excluded from the computation of diluted net income per share, respectively.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21. Segments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Autodesk operates in one operating and reportable segment, the Company as a whole. Autodesk is a global leader in 3D design, engineering and entertainment technology solutions, spanning architecture, engineering, construction, product design, manufacturing, media, and entertainment. Autodesk’s software products are offered through a hybrid of desktop and cloud functionality. The chief operating decision maker (“CODM”) assesses performance and decides how to allocate resources based on consolidated net income as reported on the Condensed Consolidated Statements of Operations. Operating segments are defined as components of an enterprise for which separate financial information is evaluated regularly by the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description of Autodesk’s products and offerings and accounting policies are described in Note 1, “Business and Summary of Significant Accounting Policies” in Autodesk’s Annual Report on Form 10-K for the fiscal year ended January 31, 2025, filed on March 6, 2025. The measure of Autodesk’s segment assets is reported on the Condensed Consolidated Balance Sheets as total assets. Autodesk determined that the Company’s Chief Executive Officer, serves as the CODM.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CODM reviews financial information presented on a consolidated basis for purposes of allocating resources, evaluating financial performance, and making operating decisions of Autodesk. Consolidated net income is indicative of financial performance and is monitored by the CODM. The CODM considers budget to actual comparisons of total net revenue and consolidated net income on a regular basis when assessing the operating results and making resource decisions to improve profitability. The CODM also uses the budget to actual comparisons of total net revenue and consolidated net income to make decisions aligned with Autodesk’s strategic initiatives and go-to market strategies and capital allocation priorities.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Autodesk’s reported segment total net revenue, segment profit, and significant segment expenses:</w:t>
      </w:r>
    </w:p>
    <w:p>
      <w:pPr>
        <w:pStyle w:val="TextBody"/>
        <w:bidi w:val="0"/>
        <w:spacing w:before="0" w:after="0"/>
        <w:ind w:left="0" w:right="0" w:firstLine="450"/>
        <w:jc w:val="left"/>
        <w:rPr/>
      </w:pPr>
      <w:r>
        <w:rPr/>
      </w:r>
    </w:p>
    <w:tbl>
      <w:tblPr>
        <w:tblW w:w="6220" w:type="dxa"/>
        <w:jc w:val="left"/>
        <w:tblInd w:w="0" w:type="dxa"/>
        <w:tblLayout w:type="fixed"/>
        <w:tblCellMar>
          <w:top w:w="28" w:type="dxa"/>
          <w:left w:w="28" w:type="dxa"/>
          <w:bottom w:w="28" w:type="dxa"/>
          <w:right w:w="28" w:type="dxa"/>
        </w:tblCellMar>
      </w:tblPr>
      <w:tblGrid>
        <w:gridCol w:w="1409"/>
        <w:gridCol w:w="1235"/>
        <w:gridCol w:w="1240"/>
        <w:gridCol w:w="219"/>
        <w:gridCol w:w="621"/>
        <w:gridCol w:w="121"/>
        <w:gridCol w:w="121"/>
        <w:gridCol w:w="121"/>
        <w:gridCol w:w="121"/>
        <w:gridCol w:w="219"/>
        <w:gridCol w:w="621"/>
        <w:gridCol w:w="172"/>
      </w:tblGrid>
      <w:tr>
        <w:trPr/>
        <w:tc>
          <w:tcPr>
            <w:tcW w:w="140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(1):</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subscription and maintenance revenue (2)</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other revenue (2)</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 (2)</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(2)</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(2)</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transaction model (3)</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expense,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net income</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(1)Significant expense categories and amounts align with the segment-level information that is regularly provided to the CODM.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(2)The amounts of new transaction model and stock-based compensation are excluded from this line and presented separately within this table. </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(3)New transaction model costs include sales incentives to solution providers, transaction fees, and internal operating costs.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Autodesk’s other segment disclosures: </w:t>
      </w:r>
    </w:p>
    <w:tbl>
      <w:tblPr>
        <w:tblW w:w="6539" w:type="dxa"/>
        <w:jc w:val="left"/>
        <w:tblInd w:w="0" w:type="dxa"/>
        <w:tblLayout w:type="fixed"/>
        <w:tblCellMar>
          <w:top w:w="28" w:type="dxa"/>
          <w:left w:w="28" w:type="dxa"/>
          <w:bottom w:w="28" w:type="dxa"/>
          <w:right w:w="28" w:type="dxa"/>
        </w:tblCellMar>
      </w:tblPr>
      <w:tblGrid>
        <w:gridCol w:w="1523"/>
        <w:gridCol w:w="1334"/>
        <w:gridCol w:w="1343"/>
        <w:gridCol w:w="279"/>
        <w:gridCol w:w="471"/>
        <w:gridCol w:w="155"/>
        <w:gridCol w:w="155"/>
        <w:gridCol w:w="155"/>
        <w:gridCol w:w="155"/>
        <w:gridCol w:w="279"/>
        <w:gridCol w:w="471"/>
        <w:gridCol w:w="219"/>
      </w:tblGrid>
      <w:tr>
        <w:trPr/>
        <w:tc>
          <w:tcPr>
            <w:tcW w:w="1523"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Depreciation, amortization, and accretion expense </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costs to obtain a contract with a customer</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significant non-cash items include stock-based compensation. See disclosure in table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regarding Autodesk's long-lived assets by geographic area were as follows:</w:t>
      </w:r>
    </w:p>
    <w:tbl>
      <w:tblPr>
        <w:tblW w:w="5336" w:type="dxa"/>
        <w:jc w:val="left"/>
        <w:tblInd w:w="0" w:type="dxa"/>
        <w:tblLayout w:type="fixed"/>
        <w:tblCellMar>
          <w:top w:w="28" w:type="dxa"/>
          <w:left w:w="28" w:type="dxa"/>
          <w:bottom w:w="28" w:type="dxa"/>
          <w:right w:w="28" w:type="dxa"/>
        </w:tblCellMar>
      </w:tblPr>
      <w:tblGrid>
        <w:gridCol w:w="874"/>
        <w:gridCol w:w="769"/>
        <w:gridCol w:w="772"/>
        <w:gridCol w:w="312"/>
        <w:gridCol w:w="670"/>
        <w:gridCol w:w="173"/>
        <w:gridCol w:w="109"/>
        <w:gridCol w:w="109"/>
        <w:gridCol w:w="109"/>
        <w:gridCol w:w="365"/>
        <w:gridCol w:w="785"/>
        <w:gridCol w:w="289"/>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Long-lived assets (1):</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Americas </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long-lived assets</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(1)Long-lived assets exclude deferred tax assets, marketable securities, goodwill, and intangible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22. Subsequent Events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2025, the Company entered into the 2025 Credit Agreement by and among the Company, the lenders party thereto and Citibank, N.A. (“Citibank”), as administrative agent, which provides for an unsecured revolving loan facility in the aggregate principal amount of $1.5 billion, with an option to increase the principal amount to $2 billion subject to receipt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commitments and other customary conditions. The revolving credit facility is available for working capital and general corporate purposes. The 2025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2025 Credit Agreement requires the Company to maintain a maximum leverage ratio of Consolidated Covenant Debt to Consolidated EBITDA (each as defined in the 2025 Credit Agreement) no greater than 3.50:1.00 during the term of the credit facility, subject to adjustment following the consummation of certain acquisitions up to 4.00:1.00 for up to four consecutive fiscal quarters. Revolving loans under the 2025 Credit Agreement will bear interest, at the Company’s option, at either (i) a per annum rate equal to the Base Rate (as defined in the 2025 Credit Agreement) or (ii) a per annum rate equal to the rate at which dollar deposits are offered in the Secured Overnight Financing Rate, plus a margin of between 0.575% and 1.000%, depending on the Company’s Public Debt Rating. The Company is also obligated to pay to each lender a facility fee on a quarterly basis based on amounts committed (whether used or unused) under the revolving facility of between 0.050% and 0.125% per annum, depending on the Company’s Public Debt Rating. The scheduled termination date under the 2025 Credit Agreement is May 8, 2030, which termination date may be extended with respect to some or all of the commitments under the 2025 Credit Agreement subject to certain terms and conditions, including the consent of each lender holding commitments to be extended. As of May 29, 2025, Autodesk had no outstanding borrowings under the 2025 Credit Agreement.</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2.MANAGEMENT’S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i/>
          <w:color w:val="000000"/>
          <w:sz w:val="20"/>
        </w:rPr>
        <w:t xml:space="preserve">The discussion in our MD&amp;A and elsewhere in this Quarterly Report on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Months Ended April 30, 2025,” and in </w:t>
      </w:r>
      <w:r>
        <w:rPr>
          <w:color w:val="212529"/>
        </w:rPr>
        <w:t>“</w:t>
      </w:r>
      <w:r>
        <w:rPr>
          <w:rFonts w:ascii="Times New Roman;sans-serif" w:hAnsi="Times New Roman;sans-serif"/>
          <w:b w:val="false"/>
          <w:i/>
          <w:color w:val="212529"/>
          <w:sz w:val="20"/>
        </w:rPr>
        <w:t>Results of Operations-Overview.” </w:t>
      </w:r>
      <w:r>
        <w:rPr>
          <w:rFonts w:ascii="Times New Roman;sans-serif" w:hAnsi="Times New Roman;sans-serif"/>
          <w:b w:val="false"/>
          <w:i/>
          <w:color w:val="000000"/>
          <w:sz w:val="20"/>
        </w:rPr>
        <w:t>Examples of such forward-looking statements may relate to items such as future net revenue, operating expenses, recurring revenue, net revenue retention rate, cash flow, remaining performance obligations, and other future financial results (by product type and geography); the transition to annual billings for multi-year contracts; the implementation of new transaction models;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global trade wars or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restructuring activities; cybersecurity and privacy issues or incidents;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anticipated benefits of our products;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A glossary of terms used in this Quarterly Report on Form 10-Q appears at the end of this Item 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is changing how the world is designed and made. Our technology spans architecture, engineering, construction, product design, manufacturing, media and entertainment, empowering innovators everywhere to solve challenges big and small. From greener buildings to smarter products to more mesmerizing blockbusters, Autodesk technology helps our customers to design and make a better world for all.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is to drive customer workflow convergence by delivering a trusted design and make platform that connects people through automation, data, and insights to help them achieve better outcomes for their businesses and the world. To drive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execution of our strategy, we are focused on three strategic priorities: build the platform of choice for Design and Make, accelerate adoption of Fusion, Forma, and Flow, and transform how customers experience Autodesk.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Product Evolution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offer subscriptions for individual products and Industry Collections, EBAs, and cloud service offerings (collectively referred to as “subscription plans”). Subscription plans are designed to give our customers more flexibility with how they use our offerings and to attract a broader range of customers, such as project-based users and small businesses.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subscription plans represent a hybrid of desktop software and cloud functionality, which provides a device-independent, collaborative design workflow for designers and their stakeholders. Our cloud offerings, for example, Autodesk Construction Cloud, Autodesk Build, Fusion, Flow Production Tracking, Autodesk Forma,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Industry Collections provide our customers with access to a broader selection of Autodesk solutions and services, simplifying the customers’ ability to benefit from a complete set of tools for their industry.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support our strategic priority of digital transformation in Architecture, Engineering, Construction and Operations (“AECO”), we are strengthening our AECO solutions’ foundation with both organic and inorganic investments. In fiscal 2025, we acquired Payapps Limited (“Payapps”), a leading cloud-based software platform for managing construction-related payments. This acquisition will deepen Autodesk Construction Cloud’s footprint and provide a robust payment management offering to serve the needs of general contractors and trade contractors. Through automating the application of the payment process, Payapps’ solution provides greater transparency, reduces risk and helps accelerate time-to-payment. In fiscal 2024, we launched the first set of capabilities in Autodesk Forma, an industry cloud that unifies workflows across the teams that design, build, and operate the built environment. Autodesk Forma’s initial capabilities enable the early-stage planning and design process with automation and Artificial Intelligence (“AI”)-powered insights that simplify the exploration of design concepts, offload repetitive tasks, and help evaluate environmental qualities surrounding a building site.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manufacturing, our strategy is to combine organic and acquired software in existing and adjacent verticals to create end-to-end, cloud-based solutions for our customers that drive efficiency and sustainability. We continue to attract global manufacturing leaders and disruptive startups with our generative design and cloud-based Fusion that converges the design process with manufacturing. In fiscal 2024, we acquired a provider of simulation technology that enables factory and logistics center operators to optimize their processes.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anticipate that we will continue to acquire products, technology, and businesses as compelling opportunities become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Reach</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products and services globally, through a combination of direct and indirect channels. Our direct channels include, but are not limited to, internal sales resources focused on selling our highly specialized solutions in our largest accounts, Solution Providers focused on serving certain Flex and subscription customers through our new transaction model, and business transacted through our online Autodesk branded store. Our indirect channels primarily include distributors, resellers, direct market resellers, volume channel partners, and product-specific resellers. During fiscal 2023, we entered into transition agreements with certain of our distributors, including TD Synnex and Ingram Micro Inc., to provide transition distribution activities for a one-to-two-year period. In fiscal 2025, we entered into a new distribution agreement with TD Synnex for government business in certain jurisdictions. Existing distribution agreements will continue in emerging markets. We transitioned our token-based Flex offerings to the new transaction model in most countries during fiscal 2023 and fiscal 2024. We transitioned most of our subscription offerings in our major markets in fiscal 2025. In this new transaction model, Solution Providers provide a quote to customers but the actual transaction occurs directly between Autodesk and the customer. During fiscal 2026, we expect the change in recognition of sales incentives to Solution Providers from contra revenue to operating costs under the new transaction model to positively impact calculated revenue growth, while being broadly neutral to calculated operating profit and free cash flow dollars, and to result in a calculated negative impact to operating margin. See Part I, Item 1, “Financial Statements,” Note 3, “Revenue Recognition” in the Notes to the Condensed Consolidated Financial Statements for further detail on the results of our indirect and direct channel sales for the three months ended April 30, 2025 and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our channel mix will continue to change as we scale our business. With the continued growth of our online Autodesk branded store and our new transaction model, we are transacting directly with more end customers, rather than through distributors, without substantial disruption to our revenue. We expect our indirect channel will continue to transact and support a considerable portion of our customers. We also expect our transition to annual billings for multi-year contracts to impact the timing of our billings and cash collections. We employ a variety of incentive programs and promotions to align our direct and indirect channels with our business strategies.</w:t>
      </w:r>
    </w:p>
    <w:p>
      <w:pPr>
        <w:pStyle w:val="TextBody"/>
        <w:bidi w:val="0"/>
        <w:spacing w:before="0" w:after="0"/>
        <w:ind w:left="0" w:right="0" w:firstLine="45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Platform Capabilities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building a trusted, outcome-focused platform for critical customer workflows that enables end-to-end digital transformation for our customers and partners within and between the industries we serve. We aim to accelerate these customer workloads by providing granular, interoperable and accessible data.</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do this by focusing on building the next generation of technology and services as trusted, shared capabilities. We aim to centralize critical and duplicative capabilities across key offerings. These include foundational capabilities to make our offers safer, faster, easier, and globally scalable, as well as capabilities that can accelerate new sources of value for our customers.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One example of these shared capabilities is Autodesk AI. We have been investing in AI for over a decade. Our focus is on building AI capabilities that add value to our customers’ workloads through augmentation, automation and analysis.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One of our key strategies is to maintain an API based architecture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Platform Services to support innovators that build solutions to facilitate the development of a single connected ecosystem for the future of how things are designed, made, and used.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competitive advantages afforded by our technology, our large global network of distributors, resellers, Solution Providers, third-party developers, customers, educators, educational institutions, learning partners, and students is a key competitive advantage that has been cultivated over an extensive period. This network of partners and relationships provides us with a broad and deep reach into volume markets worldwide. Our distributor, reseller and Solution Provider network is extensive and provides our customers with the resources to purchase, deploy, learn, and support our solutions quickly and easily. We have a significant number of registered third-party developers who create products that work well with our solutions and extend them to a variety of specialized applications.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Impact at Autodesk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 is committed to advancing a more sustainable, resilient, and inclusive world. We take action as a business to support our employees, customers, and communities in our collective opportunity to design and make a better world for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focus our efforts to advance positive outcomes across three primary areas: energy and materials, health and resilience, and work and prosperity. These impact opportunity areas are derived from the UN Sustainable Development Goals (“SDGs”) and have been identified through a multi-pronged process to align the top needs of our stakeholders, the issues that are most important to our business, and the areas we are best placed to accelerate positive impact at scale.</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opportunities primarily manifest as outcomes through how our customers leverage our technology to design and make net-zero carbon buildings, resilient infrastructure, more sustainable products, and a thriving workforce. We support and amplify these opportunities through powering our business with 100% renewable energy, neutralizing greenhouse gas emissions associated with our operations, developing an inclusive culture and supporting students and educators with tools and training to equip the next generation of innovators. We advance these opportunities with industry innovators through collaboration with our customers and partners, deploying philanthropic capital to changemakers, and providing software donations, and training to our wider ecosystem. Autodesk committed to target 1% of annual operating profit for the long-term support of our impact programs, which includes our philanthropic work and our climate commitments.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programs align with our operational priorities and long-term growth strategy. We aim to maintain our commitments, fostering trust with stakeholders and enabling compliance with global regulations.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our impact and governance program is available in our annual impact report on our website at www.autodesk.com. Information contained on or accessible through our website is not part of or incorporated by reference into this report.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Assumptions Behind Our Strategy</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depends upon many assumptions, including: making our technology available to mainstream markets; leveraging our large global network of distributors, resellers, Solution Providers, third-party developers, customers, educators, educational institutions, learning partners, and students; improving the performance and functionality of our products and platform;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Part II, Item 1A, “Risk Factors.”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1, “Business and Summary of Significant Accounting Policies,” in the Notes to Consolidated Financial Statements in our Annual Report on Form 10-K for the fiscal year ended January 31, 2025.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months ended April 30, 2025, as compared to those disclosed in our Annual Report on Form 10-K for the fiscal year ended January 31, 2025. We believe these policies are the most critical to aid in fully understanding and evaluating our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Overview of the Three Months Ended April 30,</w:t>
      </w:r>
      <w:r>
        <w:rPr>
          <w:color w:val="000000"/>
        </w:rPr>
        <w:t xml:space="preserve"> </w:t>
      </w:r>
      <w:r>
        <w:rPr>
          <w:rFonts w:ascii="Times New Roman;sans-serif" w:hAnsi="Times New Roman;sans-serif"/>
          <w:b/>
          <w:color w:val="000000"/>
          <w:sz w:val="20"/>
        </w:rPr>
        <w:t xml:space="preserve">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Total net revenue increased 15% to $1.63 billion, during the three months ended April 30, 2025, compared to the same period in the prior fiscal year.</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Recurring revenue as a percentage of net revenue was 97% for both the three months ended April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Net revenue retention rate (“NR3”) was slightly above 110%, on a constant currency basis, for the three months ended April 30, 2025, and was within the range of 100% and 110%, on a constant currency basis, for the three months ended April 30, 2024.</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Deferred revenue was $3.93 billion, a decrease of 5% compared to the fourth quarter in the prior fiscal year.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Remaining performance obligations (short-term and long-term deferred revenue plus unbilled deferred revenue) (“RPO”) was $7.16 billion, an increase of 3% compared to the fourth quarter in the prior fiscal year.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Current remaining performance obligations was $4.55 billion, an increase of 2% compared to the fourth quarter in the prior fiscal year. </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Analysis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revenue increased 15% during the three months ended April 30, 2025, as compared to the same period in the prior fiscal year, primarily due to an increase in subscription revenue. For further discussion of these results, see below under the heading “Results of Operations.”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significantly upon major distributors and resellers in both the U.S. and international regions, including TD Synnex Corporation and its global affiliates (collectively, “TD Synnex”). Total revenue from TD Synnex accounted for 20% and 38% of our total net revenue for the three months ended April 30, 2025 and 2024, respectively. Our customers through TD Synnex are the resellers and end users who purchase our software subscriptions and services. In connection with our new transaction model, we entered into agreements to provide transition distribution activities with certain distributors and entered into a new distribution agreement with TD Synnex for government business in certain jurisdictions. We maintained distribution relationships in emerging markets. We have increased our selling efforts with Solution Providers in connection with our new transaction model. Consequently, we believe our business is not substantially dependent on TD Synnex.</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Recurring Revenue and Net Revenue Retention Rate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outlines our recurring revenue metric for the three months ended April 30, 2025 and 2024:</w:t>
      </w:r>
    </w:p>
    <w:tbl>
      <w:tblPr>
        <w:tblW w:w="10205" w:type="dxa"/>
        <w:jc w:val="center"/>
        <w:tblInd w:w="0" w:type="dxa"/>
        <w:tblLayout w:type="fixed"/>
        <w:tblCellMar>
          <w:top w:w="28" w:type="dxa"/>
          <w:left w:w="28" w:type="dxa"/>
          <w:bottom w:w="28" w:type="dxa"/>
          <w:right w:w="28" w:type="dxa"/>
        </w:tblCellMar>
      </w:tblPr>
      <w:tblGrid>
        <w:gridCol w:w="963"/>
        <w:gridCol w:w="824"/>
        <w:gridCol w:w="827"/>
        <w:gridCol w:w="502"/>
        <w:gridCol w:w="1425"/>
        <w:gridCol w:w="655"/>
        <w:gridCol w:w="109"/>
        <w:gridCol w:w="109"/>
        <w:gridCol w:w="109"/>
        <w:gridCol w:w="208"/>
        <w:gridCol w:w="446"/>
        <w:gridCol w:w="115"/>
        <w:gridCol w:w="115"/>
        <w:gridCol w:w="115"/>
        <w:gridCol w:w="115"/>
        <w:gridCol w:w="165"/>
        <w:gridCol w:w="166"/>
        <w:gridCol w:w="277"/>
        <w:gridCol w:w="109"/>
        <w:gridCol w:w="109"/>
        <w:gridCol w:w="109"/>
        <w:gridCol w:w="489"/>
        <w:gridCol w:w="1388"/>
        <w:gridCol w:w="756"/>
      </w:tblGrid>
      <w:tr>
        <w:trPr/>
        <w:tc>
          <w:tcPr>
            <w:tcW w:w="96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2024</w:t>
            </w:r>
          </w:p>
        </w:tc>
      </w:tr>
      <w:tr>
        <w:trPr/>
        <w:tc>
          <w:tcPr>
            <w:tcW w:w="2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(In millions, except percentage data) </w:t>
            </w:r>
          </w:p>
        </w:tc>
        <w:tc>
          <w:tcPr>
            <w:tcW w:w="25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Recurring revenue</w:t>
            </w:r>
            <w:r>
              <w:rPr>
                <w:color w:val="000000"/>
              </w:rPr>
              <w:t xml:space="preserve"> </w:t>
            </w:r>
            <w:r>
              <w:rPr>
                <w:rFonts w:ascii="Times New Roman;sans-serif" w:hAnsi="Times New Roman;sans-serif"/>
                <w:b w:val="false"/>
                <w:color w:val="000000"/>
                <w:sz w:val="18"/>
              </w:rPr>
              <w:t xml:space="preserve">(1)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1,381 </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 a percentage of net revenue</w:t>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2960" w:type="dxa"/>
            <w:gridSpan w:val="6"/>
            <w:tcBorders/>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2960" w:type="dxa"/>
            <w:gridSpan w:val="6"/>
            <w:tcBorders/>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2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(1)The acquisition of a business may cause variability in the comparison of recurring revenue in this table above and recurring revenue derived from the revenue reported in the Condensed Consolidated Statements of Operations.</w:t>
      </w:r>
    </w:p>
    <w:p>
      <w:pPr>
        <w:pStyle w:val="TextBody"/>
        <w:bidi w:val="0"/>
        <w:spacing w:before="0" w:after="0"/>
        <w:ind w:left="0" w:right="0" w:hanging="90"/>
        <w:jc w:val="left"/>
        <w:rPr/>
      </w:pPr>
      <w:r>
        <w:rPr/>
      </w:r>
    </w:p>
    <w:p>
      <w:pPr>
        <w:pStyle w:val="TextBody"/>
        <w:bidi w:val="0"/>
        <w:spacing w:lineRule="auto" w:line="288" w:before="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NR3 was slightly above 110%, on a constant currency basis, for the three months ended April 30, 2025, in part due to our new transaction model, and was within the range of 100% and 110%, on a constant currency basis, for the three months ended April 30, 2024.</w:t>
      </w:r>
    </w:p>
    <w:p>
      <w:pPr>
        <w:pStyle w:val="TextBody"/>
        <w:bidi w:val="0"/>
        <w:spacing w:before="0" w:after="60"/>
        <w:ind w:left="0" w:right="0" w:firstLine="45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Analysis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amount of our revenue in the United States, Germany, Japan, the United Kingdom and Canada.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impact of foreign exchange rate changes on our net revenue and total spend:</w:t>
      </w:r>
    </w:p>
    <w:tbl>
      <w:tblPr>
        <w:tblW w:w="10205" w:type="dxa"/>
        <w:jc w:val="left"/>
        <w:tblInd w:w="0" w:type="dxa"/>
        <w:tblLayout w:type="fixed"/>
        <w:tblCellMar>
          <w:top w:w="28" w:type="dxa"/>
          <w:left w:w="28" w:type="dxa"/>
          <w:bottom w:w="28" w:type="dxa"/>
          <w:right w:w="28" w:type="dxa"/>
        </w:tblCellMar>
      </w:tblPr>
      <w:tblGrid>
        <w:gridCol w:w="308"/>
        <w:gridCol w:w="270"/>
        <w:gridCol w:w="271"/>
        <w:gridCol w:w="438"/>
        <w:gridCol w:w="438"/>
        <w:gridCol w:w="1033"/>
        <w:gridCol w:w="133"/>
        <w:gridCol w:w="133"/>
        <w:gridCol w:w="133"/>
        <w:gridCol w:w="622"/>
        <w:gridCol w:w="622"/>
        <w:gridCol w:w="1463"/>
        <w:gridCol w:w="133"/>
        <w:gridCol w:w="133"/>
        <w:gridCol w:w="133"/>
        <w:gridCol w:w="1077"/>
        <w:gridCol w:w="1077"/>
        <w:gridCol w:w="1081"/>
        <w:gridCol w:w="109"/>
        <w:gridCol w:w="109"/>
        <w:gridCol w:w="109"/>
        <w:gridCol w:w="109"/>
        <w:gridCol w:w="109"/>
        <w:gridCol w:w="162"/>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 compared to</w:t>
              <w:br/>
              <w:t>prior fiscal year</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 percent change compared to</w:t>
              <w:br/>
              <w:t>prior fiscal year (1)</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Positive/Negative/Neutral impact from foreign exchange rate changes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Negative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spend </w:t>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Positive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5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(1)Please refer to the Glossary of Terms for the definitions of our constant currency growth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pStyle w:val="TextBody"/>
        <w:bidi w:val="0"/>
        <w:spacing w:before="0" w:after="0"/>
        <w:ind w:left="0" w:right="0" w:firstLine="27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Part I, Item 1, “Financial Statements,” Note 3, “Revenue Recognition,” for more details on Autodesk's performance obligations. </w:t>
      </w:r>
    </w:p>
    <w:tbl>
      <w:tblPr>
        <w:tblW w:w="4932" w:type="dxa"/>
        <w:jc w:val="center"/>
        <w:tblInd w:w="0" w:type="dxa"/>
        <w:tblLayout w:type="fixed"/>
        <w:tblCellMar>
          <w:top w:w="28" w:type="dxa"/>
          <w:left w:w="28" w:type="dxa"/>
          <w:bottom w:w="28" w:type="dxa"/>
          <w:right w:w="28" w:type="dxa"/>
        </w:tblCellMar>
      </w:tblPr>
      <w:tblGrid>
        <w:gridCol w:w="726"/>
        <w:gridCol w:w="639"/>
        <w:gridCol w:w="645"/>
        <w:gridCol w:w="263"/>
        <w:gridCol w:w="746"/>
        <w:gridCol w:w="146"/>
        <w:gridCol w:w="109"/>
        <w:gridCol w:w="109"/>
        <w:gridCol w:w="109"/>
        <w:gridCol w:w="311"/>
        <w:gridCol w:w="883"/>
        <w:gridCol w:w="246"/>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Unbilled deferred revenue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RPO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RPO consisted of the following:</w:t>
      </w:r>
    </w:p>
    <w:tbl>
      <w:tblPr>
        <w:tblW w:w="5768" w:type="dxa"/>
        <w:jc w:val="left"/>
        <w:tblInd w:w="0" w:type="dxa"/>
        <w:tblLayout w:type="fixed"/>
        <w:tblCellMar>
          <w:top w:w="28" w:type="dxa"/>
          <w:left w:w="28" w:type="dxa"/>
          <w:bottom w:w="28" w:type="dxa"/>
          <w:right w:w="28" w:type="dxa"/>
        </w:tblCellMar>
      </w:tblPr>
      <w:tblGrid>
        <w:gridCol w:w="521"/>
        <w:gridCol w:w="457"/>
        <w:gridCol w:w="462"/>
        <w:gridCol w:w="109"/>
        <w:gridCol w:w="109"/>
        <w:gridCol w:w="109"/>
        <w:gridCol w:w="109"/>
        <w:gridCol w:w="1156"/>
        <w:gridCol w:w="109"/>
        <w:gridCol w:w="316"/>
        <w:gridCol w:w="900"/>
        <w:gridCol w:w="178"/>
        <w:gridCol w:w="109"/>
        <w:gridCol w:w="109"/>
        <w:gridCol w:w="109"/>
        <w:gridCol w:w="196"/>
        <w:gridCol w:w="556"/>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c>
          <w:tcPr>
            <w:tcW w:w="1233" w:type="dxa"/>
            <w:gridSpan w:val="6"/>
            <w:tcBorders/>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Non-current 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RPO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the amount of RPO will change from quarter to quarter for several reasons, including the specific timing, duration, and size of customer subscription and support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 As customers continue to transition from multi-year subscription contracts billed upfront to annual billing installments, some customers may choose annual contracts instead. If this were to occur, we would expect it to proportionately reduce the unbilled portion of our total remaining performance obligations and would expect it to impact total RPO growth rates negatively. Deferred revenue, billings, current RPO, revenue, non-GAAP operating margin, and free cash flow would remain broadly unchanged in this scenario. </w:t>
      </w:r>
    </w:p>
    <w:p>
      <w:pPr>
        <w:pStyle w:val="TextBody"/>
        <w:bidi w:val="0"/>
        <w:spacing w:before="0" w:after="0"/>
        <w:ind w:left="0" w:right="0" w:firstLine="450"/>
        <w:jc w:val="left"/>
        <w:rPr/>
      </w:pPr>
      <w:r>
        <w:rPr/>
      </w: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Balance Sheet and Cash Flow Items </w:t>
      </w:r>
    </w:p>
    <w:p>
      <w:pPr>
        <w:pStyle w:val="TextBody"/>
        <w:bidi w:val="0"/>
        <w:spacing w:before="0" w:after="0"/>
        <w:ind w:left="0" w:right="0" w:firstLine="22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April 30, 2025, we had $2.30 billion in cash, cash equivalents, and marketable securities. Our cash flow from operations increased to $564 million for the three months ended April 30, 2025, compared to $494 million for the three months ended April 30, 2024. We repurchased 1 million shares of our common stock for $353 million during the three months ended April 30, 2025. Comparatively, we repurchased 33 thousand shares of our common stock for $9 million during the three months ended April 30, 2024. See further discussion regarding the balance sheet and cash flow activities under the heading “Liquidity and Capital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Overview</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investment in cloud products and a subscription business model, backed by a strong balance sheet, give us a robust foundation to successfully navigate complex geopolitical and global macro-economic challenges. However, material scarcity, supply chain disruption and resulting inflationary pressures, higher interest rates, a global labor shortage, ongoing geopolitical conflicts, economic and regulatory uncertainty, the potential for global trade wars, and foreign exchange rate fluctuations, may impact our outlook. We also expect our continued transition to annual billings for multi-year contracts to impact the timing of our billings and cash collections. The extent of the impact of these risks on our business in remaining fiscal 2026 and beyond will depend on several factors, some of which are out of our control. Further discussion of the potential impacts of these risks on our business can be found in Part II, Item 1A, “Risk Factors.”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transitioned our token-based Flex offerings to the new transaction model in most countries during fiscal 2023 and fiscal 2024. We transitioned most of our subscription offerings in our major markets in fiscal 2025. In this new transaction model, Solution Providers provide a quote to customers but the actual transaction occurs directly between Autodesk and the customer.</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incentives to Solution Providers are recorded as operating expenses under the new transaction model as we contract directly with end customers. Accordingly, we expect sales incentives paid to resellers recorded as a reduction of transaction price and subsequently recognized as a reduction to subscription revenue over the contract period to continue to decrease as we have transitioned to the new transaction model. Most of the sales incentives payments to Solution Providers in our new transaction model are considered incremental and recoverable costs of obtaining a contract with a customer and are capitalized and included in “Prepaid expenses and other current assets” and “Long-term other assets” on the Consolidated Balance Sheets. The deferred costs are amortized over the period of benefit and recorded to “Sales and Marketing” on the Consolidated Statement of Operations. The sales incentives not qualifying for capitalization are recorded to “Sales and Marketing” on the Consolidated Statement of Operations as the costs are incurred under the incentive program requirements. During fiscal 2026, we expect the change in recognition of sales incentives to indirect channels from contra revenue to operating expenses under the new transaction model to positively impact calculated revenue growth, while being broadly neutral to calculated operating profit and free cash flow dollars, and to result in a calculated negative impact to operating margin.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Net Revenue</w:t>
      </w:r>
    </w:p>
    <w:p>
      <w:pPr>
        <w:pStyle w:val="TextBody"/>
        <w:bidi w:val="0"/>
        <w:spacing w:before="0" w:after="0"/>
        <w:jc w:val="left"/>
        <w:rPr/>
      </w:pPr>
      <w:r>
        <w:rPr/>
      </w: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Revenue by Income Statement Presentation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revenue consists of fees for maintenance plan agreements purchased with software licenses. Under our maintenance plan, customers are eligible to receive unspecified upgrades, when and if available, and technical support. We recognize maintenance revenue ratably over the term of the agreements, which is generally one year.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revenue consists of revenue from other products and services and is recognized as the products are delivered and services are performed.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64"/>
        <w:gridCol w:w="443"/>
        <w:gridCol w:w="446"/>
        <w:gridCol w:w="229"/>
        <w:gridCol w:w="651"/>
        <w:gridCol w:w="127"/>
        <w:gridCol w:w="109"/>
        <w:gridCol w:w="109"/>
        <w:gridCol w:w="109"/>
        <w:gridCol w:w="245"/>
        <w:gridCol w:w="530"/>
        <w:gridCol w:w="136"/>
        <w:gridCol w:w="136"/>
        <w:gridCol w:w="136"/>
        <w:gridCol w:w="136"/>
        <w:gridCol w:w="210"/>
        <w:gridCol w:w="150"/>
        <w:gridCol w:w="330"/>
        <w:gridCol w:w="109"/>
        <w:gridCol w:w="109"/>
        <w:gridCol w:w="109"/>
        <w:gridCol w:w="229"/>
        <w:gridCol w:w="651"/>
        <w:gridCol w:w="127"/>
        <w:gridCol w:w="109"/>
        <w:gridCol w:w="109"/>
        <w:gridCol w:w="109"/>
        <w:gridCol w:w="1095"/>
        <w:gridCol w:w="1095"/>
        <w:gridCol w:w="1558"/>
      </w:tblGrid>
      <w:tr>
        <w:trPr/>
        <w:tc>
          <w:tcPr>
            <w:tcW w:w="56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subscription renewal revenue driven by expansion of subscriber base in prior periods. Also contributing to the growth was an increase in revenue from Cloud Service offerings.</w:t>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Maintenance</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subscription and maintenance revenue</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8"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075" w:type="dxa"/>
            <w:gridSpan w:val="6"/>
            <w:tcBorders/>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075" w:type="dxa"/>
            <w:gridSpan w:val="6"/>
            <w:tcBorders/>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8"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8"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8" w:type="dxa"/>
            <w:gridSpan w:val="3"/>
            <w:tcBorders/>
            <w:vAlign w:val="center"/>
          </w:tcPr>
          <w:p>
            <w:pPr>
              <w:pStyle w:val="TableContents"/>
              <w:bidi w:val="0"/>
              <w:spacing w:before="0" w:after="283"/>
              <w:jc w:val="left"/>
              <w:rPr>
                <w:sz w:val="4"/>
                <w:szCs w:val="4"/>
              </w:rPr>
            </w:pPr>
            <w:r>
              <w:rPr>
                <w:sz w:val="4"/>
                <w:szCs w:val="4"/>
              </w:rPr>
            </w:r>
          </w:p>
        </w:tc>
      </w:tr>
      <w:tr>
        <w:trPr/>
        <w:tc>
          <w:tcPr>
            <w:tcW w:w="1453"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 by Product Family</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offerings are focused in four primary product families: Architecture, Engineering, Construction and Operations (“AECO”), AutoCAD and AutoCAD LT, Manufacturing (“MFG”), and Media and Entertainment (“M&amp;E”).</w:t>
      </w:r>
    </w:p>
    <w:tbl>
      <w:tblPr>
        <w:tblW w:w="10205" w:type="dxa"/>
        <w:jc w:val="center"/>
        <w:tblInd w:w="0" w:type="dxa"/>
        <w:tblLayout w:type="fixed"/>
        <w:tblCellMar>
          <w:top w:w="28" w:type="dxa"/>
          <w:left w:w="28" w:type="dxa"/>
          <w:bottom w:w="28" w:type="dxa"/>
          <w:right w:w="28" w:type="dxa"/>
        </w:tblCellMar>
      </w:tblPr>
      <w:tblGrid>
        <w:gridCol w:w="864"/>
        <w:gridCol w:w="454"/>
        <w:gridCol w:w="427"/>
        <w:gridCol w:w="239"/>
        <w:gridCol w:w="680"/>
        <w:gridCol w:w="133"/>
        <w:gridCol w:w="109"/>
        <w:gridCol w:w="109"/>
        <w:gridCol w:w="109"/>
        <w:gridCol w:w="208"/>
        <w:gridCol w:w="446"/>
        <w:gridCol w:w="115"/>
        <w:gridCol w:w="115"/>
        <w:gridCol w:w="115"/>
        <w:gridCol w:w="115"/>
        <w:gridCol w:w="202"/>
        <w:gridCol w:w="204"/>
        <w:gridCol w:w="277"/>
        <w:gridCol w:w="109"/>
        <w:gridCol w:w="109"/>
        <w:gridCol w:w="109"/>
        <w:gridCol w:w="109"/>
        <w:gridCol w:w="239"/>
        <w:gridCol w:w="680"/>
        <w:gridCol w:w="133"/>
        <w:gridCol w:w="109"/>
        <w:gridCol w:w="109"/>
        <w:gridCol w:w="109"/>
        <w:gridCol w:w="884"/>
        <w:gridCol w:w="884"/>
        <w:gridCol w:w="887"/>
        <w:gridCol w:w="109"/>
        <w:gridCol w:w="109"/>
        <w:gridCol w:w="109"/>
        <w:gridCol w:w="109"/>
        <w:gridCol w:w="109"/>
        <w:gridCol w:w="109"/>
        <w:gridCol w:w="160"/>
      </w:tblGrid>
      <w:tr>
        <w:trPr/>
        <w:tc>
          <w:tcPr>
            <w:tcW w:w="86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Family:</w:t>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AECO</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AEC Collections, EBAs, and Autodesk Construction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AutoCAD and AutoCAD LT </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both AutoCAD and AutoCAD LT.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MFG</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growth in revenue from MFG Collections, EBA offerings, Inventor, and Fusion.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M&amp;E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due to revenue from the PIX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 by Geographic Area</w:t>
      </w:r>
    </w:p>
    <w:tbl>
      <w:tblPr>
        <w:tblW w:w="10205" w:type="dxa"/>
        <w:jc w:val="center"/>
        <w:tblInd w:w="0" w:type="dxa"/>
        <w:tblLayout w:type="fixed"/>
        <w:tblCellMar>
          <w:top w:w="28" w:type="dxa"/>
          <w:left w:w="28" w:type="dxa"/>
          <w:bottom w:w="28" w:type="dxa"/>
          <w:right w:w="28" w:type="dxa"/>
        </w:tblCellMar>
      </w:tblPr>
      <w:tblGrid>
        <w:gridCol w:w="572"/>
        <w:gridCol w:w="504"/>
        <w:gridCol w:w="507"/>
        <w:gridCol w:w="383"/>
        <w:gridCol w:w="1088"/>
        <w:gridCol w:w="213"/>
        <w:gridCol w:w="109"/>
        <w:gridCol w:w="109"/>
        <w:gridCol w:w="109"/>
        <w:gridCol w:w="201"/>
        <w:gridCol w:w="432"/>
        <w:gridCol w:w="111"/>
        <w:gridCol w:w="111"/>
        <w:gridCol w:w="111"/>
        <w:gridCol w:w="111"/>
        <w:gridCol w:w="165"/>
        <w:gridCol w:w="166"/>
        <w:gridCol w:w="262"/>
        <w:gridCol w:w="109"/>
        <w:gridCol w:w="109"/>
        <w:gridCol w:w="109"/>
        <w:gridCol w:w="533"/>
        <w:gridCol w:w="533"/>
        <w:gridCol w:w="1265"/>
        <w:gridCol w:w="109"/>
        <w:gridCol w:w="109"/>
        <w:gridCol w:w="109"/>
        <w:gridCol w:w="383"/>
        <w:gridCol w:w="1088"/>
        <w:gridCol w:w="213"/>
        <w:gridCol w:w="109"/>
        <w:gridCol w:w="163"/>
      </w:tblGrid>
      <w:tr>
        <w:trPr/>
        <w:tc>
          <w:tcPr>
            <w:tcW w:w="57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Constant currency change compared to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w:t>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Americas</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Americas</w:t>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EMEA</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APAC</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 Constant currency data not provided at this level.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international revenue will continue to comprise a majority of our net revenue. Unfavorable economic conditions, including in connection with the ongoing geopolitical conflicts (and any related political or economic responses and counter-responses or otherwise by various global actors or the general effect on the global economy), or global trade wars, in the countries that contribute a significant portion of our net revenue, including in emerging economies such as Brazil, India, and China, has had and may continue to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 by Sales Channel</w:t>
      </w:r>
    </w:p>
    <w:tbl>
      <w:tblPr>
        <w:tblW w:w="8988" w:type="dxa"/>
        <w:jc w:val="left"/>
        <w:tblInd w:w="0" w:type="dxa"/>
        <w:tblLayout w:type="fixed"/>
        <w:tblCellMar>
          <w:top w:w="28" w:type="dxa"/>
          <w:left w:w="28" w:type="dxa"/>
          <w:bottom w:w="28" w:type="dxa"/>
          <w:right w:w="28" w:type="dxa"/>
        </w:tblCellMar>
      </w:tblPr>
      <w:tblGrid>
        <w:gridCol w:w="857"/>
        <w:gridCol w:w="754"/>
        <w:gridCol w:w="759"/>
        <w:gridCol w:w="365"/>
        <w:gridCol w:w="1037"/>
        <w:gridCol w:w="203"/>
        <w:gridCol w:w="109"/>
        <w:gridCol w:w="109"/>
        <w:gridCol w:w="109"/>
        <w:gridCol w:w="206"/>
        <w:gridCol w:w="496"/>
        <w:gridCol w:w="114"/>
        <w:gridCol w:w="114"/>
        <w:gridCol w:w="114"/>
        <w:gridCol w:w="114"/>
        <w:gridCol w:w="203"/>
        <w:gridCol w:w="203"/>
        <w:gridCol w:w="273"/>
        <w:gridCol w:w="109"/>
        <w:gridCol w:w="109"/>
        <w:gridCol w:w="109"/>
        <w:gridCol w:w="109"/>
        <w:gridCol w:w="365"/>
        <w:gridCol w:w="1037"/>
        <w:gridCol w:w="203"/>
        <w:gridCol w:w="109"/>
        <w:gridCol w:w="109"/>
        <w:gridCol w:w="109"/>
        <w:gridCol w:w="109"/>
        <w:gridCol w:w="109"/>
        <w:gridCol w:w="109"/>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Sales Channel:</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w:t>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Net Revenue </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April 30, 2025 and 2024, approximately 55% and 38%, respectively, of our revenue was derived from direct sales to customers. With the continued growth of our online Autodesk branded store and the introduction of our new transaction model, we have been decreasing our sales through resellers and distributors and transacting directly with more end customers. We anticipate that our revenue by direct sales channel will continue to increase as a percentage of total net revenue. We expect our indirect channel will continue to transact and support a considerable portion of our customers, particularly in emerging regions.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Net Revenue by Product Type </w:t>
      </w:r>
    </w:p>
    <w:tbl>
      <w:tblPr>
        <w:tblW w:w="10205" w:type="dxa"/>
        <w:jc w:val="left"/>
        <w:tblInd w:w="0" w:type="dxa"/>
        <w:tblLayout w:type="fixed"/>
        <w:tblCellMar>
          <w:top w:w="28" w:type="dxa"/>
          <w:left w:w="28" w:type="dxa"/>
          <w:bottom w:w="28" w:type="dxa"/>
          <w:right w:w="28" w:type="dxa"/>
        </w:tblCellMar>
      </w:tblPr>
      <w:tblGrid>
        <w:gridCol w:w="486"/>
        <w:gridCol w:w="428"/>
        <w:gridCol w:w="431"/>
        <w:gridCol w:w="313"/>
        <w:gridCol w:w="890"/>
        <w:gridCol w:w="174"/>
        <w:gridCol w:w="109"/>
        <w:gridCol w:w="109"/>
        <w:gridCol w:w="109"/>
        <w:gridCol w:w="199"/>
        <w:gridCol w:w="428"/>
        <w:gridCol w:w="110"/>
        <w:gridCol w:w="110"/>
        <w:gridCol w:w="110"/>
        <w:gridCol w:w="110"/>
        <w:gridCol w:w="165"/>
        <w:gridCol w:w="166"/>
        <w:gridCol w:w="260"/>
        <w:gridCol w:w="109"/>
        <w:gridCol w:w="109"/>
        <w:gridCol w:w="109"/>
        <w:gridCol w:w="109"/>
        <w:gridCol w:w="109"/>
        <w:gridCol w:w="109"/>
        <w:gridCol w:w="109"/>
        <w:gridCol w:w="313"/>
        <w:gridCol w:w="890"/>
        <w:gridCol w:w="174"/>
        <w:gridCol w:w="109"/>
        <w:gridCol w:w="109"/>
        <w:gridCol w:w="109"/>
        <w:gridCol w:w="885"/>
        <w:gridCol w:w="885"/>
        <w:gridCol w:w="1261"/>
      </w:tblGrid>
      <w:tr>
        <w:trPr/>
        <w:tc>
          <w:tcPr>
            <w:tcW w:w="48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13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by Product Type:</w:t>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Design</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AEC collections, AutoCAD Family, MFG collections and EBA offerings.</w:t>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Make</w:t>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growth in revenue from Autodesk Construction Cloud, Fusion and PIX.</w:t>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Net Revenue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358" w:type="dxa"/>
            <w:gridSpan w:val="6"/>
            <w:tcBorders/>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358" w:type="dxa"/>
            <w:gridSpan w:val="6"/>
            <w:tcBorders/>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r>
        <w:trPr/>
        <w:tc>
          <w:tcPr>
            <w:tcW w:w="134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and Operating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related expenses of network operations, stock-based compensation expense, and gains and losses on our operating expense cash flow hedges.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other revenue includes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sales expenses include salaries, bonuses, benefits, and stock-based compensation expense for our marketing and sales employees, the expense of travel, entertainment, and training for such personnel, sales commissions to employees and Solution Providers,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other exit costs, and facility reductions include charges related to the restructuring plan (“2026 Plan”) to support our initiatives to optimize our go-to-market organization and, at the same time, to reallocate resources to our strategic priorities of investments in cloud, platform and artificial intelligence. With this restructuring plan, we are realigning roles to maximize talent investments and to distribute critical expertise globally.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77"/>
        <w:gridCol w:w="359"/>
        <w:gridCol w:w="362"/>
        <w:gridCol w:w="206"/>
        <w:gridCol w:w="586"/>
        <w:gridCol w:w="114"/>
        <w:gridCol w:w="109"/>
        <w:gridCol w:w="109"/>
        <w:gridCol w:w="109"/>
        <w:gridCol w:w="109"/>
        <w:gridCol w:w="376"/>
        <w:gridCol w:w="196"/>
        <w:gridCol w:w="422"/>
        <w:gridCol w:w="109"/>
        <w:gridCol w:w="150"/>
        <w:gridCol w:w="150"/>
        <w:gridCol w:w="151"/>
        <w:gridCol w:w="165"/>
        <w:gridCol w:w="166"/>
        <w:gridCol w:w="256"/>
        <w:gridCol w:w="174"/>
        <w:gridCol w:w="174"/>
        <w:gridCol w:w="175"/>
        <w:gridCol w:w="210"/>
        <w:gridCol w:w="453"/>
        <w:gridCol w:w="117"/>
        <w:gridCol w:w="109"/>
        <w:gridCol w:w="109"/>
        <w:gridCol w:w="109"/>
        <w:gridCol w:w="109"/>
        <w:gridCol w:w="109"/>
        <w:gridCol w:w="109"/>
        <w:gridCol w:w="109"/>
        <w:gridCol w:w="109"/>
        <w:gridCol w:w="109"/>
        <w:gridCol w:w="1146"/>
        <w:gridCol w:w="823"/>
        <w:gridCol w:w="1171"/>
      </w:tblGrid>
      <w:tr>
        <w:trPr/>
        <w:tc>
          <w:tcPr>
            <w:tcW w:w="5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 compared to</w:t>
              <w:br/>
              <w:t>prior fiscal year</w:t>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 except percentages)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7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2024</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1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Subscription and maintenance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cloud hosting costs and the cumulative adjustment related to the Company’s Employee Stock Purchase Plan. See Part I, Item 1, “Financial Statements, Note 6, “Equity Compensation” for more details.</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employee-related costs driven by higher headcount.</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is primarily due to amortization of acquired developed technologies related to acquisitions in fiscal 2025.</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sales commissions to Solution Providers due to the recognition of these costs in marketing and sales expense under the new transaction model, the cumulative adjustment related to the Company’s Employee Stock Purchase Plan (see Part I, Item 1, “Financial Statements, Note 6, “Equity Compensation” for more details), and an increase in promotions expenses.</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employee-related costs driven by the cumulative adjustment related to the Company’s Employee Stock Purchase Plan (see Part I, Item 1, “Financial Statements, Note 6, “Equity Compensation” for more details) and an increase in cloud hosting costs.</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Increase primarily due to an increase in employee-related costs driven by the cumulative adjustment related to the Company’s Employee Stock Purchase Plan (see Part I, Item 1, “Financial Statements, Note 6, “Equity Compensation” for more details), and professional fees, partially offset by a decrease in acquisition-related costs and cloud hosting costs.</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is due to amortization of acquired intangibles as a result of acquisitions in fiscal 2025.</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increase is due to the restructuring plan initiated during the first quarter of fiscal 2026. See Part I, Item 1, “Financial Statements, Note 16, “Restructuring, other exit costs, and facility reductions” for more details.</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67" w:type="dxa"/>
            <w:gridSpan w:val="6"/>
            <w:tcBorders/>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4121" w:type="dxa"/>
            <w:gridSpan w:val="12"/>
            <w:tcBorders/>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r>
        <w:trPr/>
        <w:tc>
          <w:tcPr>
            <w:tcW w:w="1298"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highlights our expectation for the absolute dollar change between the second quarter of fiscal 2026, as compared to the second quarter of fiscal 2025:</w:t>
      </w:r>
    </w:p>
    <w:tbl>
      <w:tblPr>
        <w:tblW w:w="10205" w:type="dxa"/>
        <w:jc w:val="center"/>
        <w:tblInd w:w="0" w:type="dxa"/>
        <w:tblLayout w:type="fixed"/>
        <w:tblCellMar>
          <w:top w:w="28" w:type="dxa"/>
          <w:left w:w="28" w:type="dxa"/>
          <w:bottom w:w="28" w:type="dxa"/>
          <w:right w:w="28" w:type="dxa"/>
        </w:tblCellMar>
      </w:tblPr>
      <w:tblGrid>
        <w:gridCol w:w="959"/>
        <w:gridCol w:w="637"/>
        <w:gridCol w:w="622"/>
        <w:gridCol w:w="379"/>
        <w:gridCol w:w="379"/>
        <w:gridCol w:w="380"/>
        <w:gridCol w:w="2101"/>
        <w:gridCol w:w="1965"/>
        <w:gridCol w:w="2783"/>
      </w:tblGrid>
      <w:tr>
        <w:trPr/>
        <w:tc>
          <w:tcPr>
            <w:tcW w:w="95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Absolute dollar impact</w:t>
            </w:r>
          </w:p>
        </w:tc>
        <w:tc>
          <w:tcPr>
            <w:tcW w:w="6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Management Comments</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our cost of revenue to increase as our revenue grows.</w:t>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 and sales</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marketing and sales expenses to increase with the recognition of Solution Provider commissions under our new transaction model, partially offset by savings from the restructuring initiated in fiscal 2026.</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our research and development expenses to increase as we continue our investments in cloud, platform, and artificial intelligence partially offset by savings from the restructuring initiated in fiscal 2026.</w:t>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general and administrative expenses to increase as we continue to invest in general &amp; administrative functions to support overall company growth including the impact of acquisitions.</w:t>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Amortization of purchased intangibles </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Flat</w:t>
            </w:r>
          </w:p>
        </w:tc>
        <w:tc>
          <w:tcPr>
            <w:tcW w:w="6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our amortization of purchased intangibles to remain unchanged.</w:t>
            </w:r>
          </w:p>
        </w:tc>
      </w:tr>
      <w:tr>
        <w:trP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Increase</w:t>
            </w:r>
          </w:p>
        </w:tc>
        <w:tc>
          <w:tcPr>
            <w:tcW w:w="6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 expect restructuring, other exit costs, and facility reductions to increase as compared to the second quarter of fiscal 2025 due to the restructuring plan initiated during the first quarter of fiscal 2026.</w:t>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68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The following table sets forth the components of interest and other income (expense), net:</w:t>
      </w:r>
      <w:r>
        <w:rPr>
          <w:color w:val="000000"/>
        </w:rPr>
        <w:t> </w:t>
      </w:r>
    </w:p>
    <w:tbl>
      <w:tblPr>
        <w:tblW w:w="7016" w:type="dxa"/>
        <w:jc w:val="left"/>
        <w:tblInd w:w="0" w:type="dxa"/>
        <w:tblLayout w:type="fixed"/>
        <w:tblCellMar>
          <w:top w:w="28" w:type="dxa"/>
          <w:left w:w="28" w:type="dxa"/>
          <w:bottom w:w="28" w:type="dxa"/>
          <w:right w:w="28" w:type="dxa"/>
        </w:tblCellMar>
      </w:tblPr>
      <w:tblGrid>
        <w:gridCol w:w="1106"/>
        <w:gridCol w:w="972"/>
        <w:gridCol w:w="982"/>
        <w:gridCol w:w="109"/>
        <w:gridCol w:w="109"/>
        <w:gridCol w:w="109"/>
        <w:gridCol w:w="109"/>
        <w:gridCol w:w="298"/>
        <w:gridCol w:w="298"/>
        <w:gridCol w:w="536"/>
        <w:gridCol w:w="864"/>
        <w:gridCol w:w="298"/>
        <w:gridCol w:w="109"/>
        <w:gridCol w:w="109"/>
        <w:gridCol w:w="109"/>
        <w:gridCol w:w="196"/>
        <w:gridCol w:w="331"/>
        <w:gridCol w:w="109"/>
        <w:gridCol w:w="109"/>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investment (loss)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foreign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strategic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net, decreased by $9 million during the three months ended April 30, 2025, as compared to the same period in the prior fiscal year. The decrease in the three months ended April 30, 2025, as compared to the same period in the prior fiscal year was primarily due to a decrease in interest income and losses for investments in debt and equity securities that are held in a rabbi trust under non-qualified deferred compensation plans in the current period as compared to gains the prior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and investment income fluctuates based on average cash, marketable securities, debt balances, average maturities, and interest rates.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before="0" w:after="0"/>
        <w:ind w:left="0" w:right="0" w:firstLine="54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had an income tax expense of $82 million, relative to pre-tax income of $234 million for the three months ended April 30, 2025, and an income tax expense of $57 million, relative to pre-tax income of $309 million for the three months ended April 30, 2024. Income tax expense for the three months ended April 30, 2025, reflects U.S. and foreign tax expense, including withholding tax, reduced by tax-deductible stock-based compensation, and tax credits. The tax expense increased compared to April 30, 2024, primarily due to the election made in the U.S. regarding the timing of taxation of revenue, which reduced the taxable benefit arising from foreign-derived intangible income (“FDII”) and increased tax expense associated with global intangible low-taxed income (“GILTI”).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filed an election in the U.S. for fiscal year 2026 that will more closely align the timing of taxation of our revenue with our U.S. GAAP revenue recognition principles. The impact of this election increased our cash flow from operating activities and provision for income taxes due to the loss of taxation benefits through FDII and GILTI tax regimes.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pStyle w:val="TextBody"/>
        <w:bidi w:val="0"/>
        <w:spacing w:before="0" w:after="0"/>
        <w:ind w:left="0" w:right="0" w:firstLine="54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A significant amount of our earnings are generated by our European and Asia Pacific subsidiaries. Our future effective tax rates may be adversely affected to the extent earnings are lower than anticipated in countries where we have lower statutory tax rates.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U.S. Tax Cut and Jobs Act (“Tax Act”) enacted on December 22, 2017, eliminates the option to deduct research and development expenditures and requires taxpayers to capitalize and amortize such expenditures over five or fifteen years beginning in fiscal 2023. Although Congress is considering legislation that would defer the capitalization and amortization requirement with respect to domestic research and development expenditures, there is no assurance that the provision will be repealed or otherwise modified.</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Signed into law on August 16, 2022 in the U.S., the Inflation Reduction Act contains many revisions to the Internal Revenue Code effective in taxable years beginning after December 31, 2022, including a 15% corporate alternative minimum tax. We expect that this will not have a material impact on our provision for income taxes in the current fiscal year.</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Financial Information</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under GAAP discussed above, we believe the following non-GAAP measures are useful to investors in evaluating our operating performance. For the three months ended April 30, 2025 and 2024, our gross profit, income from operations, operating margin, net income, and diluted net income per share on a GAAP and non-GAAP basis were as follows (in millions except for operating margin and per share data):</w:t>
      </w:r>
    </w:p>
    <w:tbl>
      <w:tblPr>
        <w:tblW w:w="5853" w:type="dxa"/>
        <w:jc w:val="left"/>
        <w:tblInd w:w="0" w:type="dxa"/>
        <w:tblLayout w:type="fixed"/>
        <w:tblCellMar>
          <w:top w:w="28" w:type="dxa"/>
          <w:left w:w="28" w:type="dxa"/>
          <w:bottom w:w="28" w:type="dxa"/>
          <w:right w:w="28" w:type="dxa"/>
        </w:tblCellMar>
      </w:tblPr>
      <w:tblGrid>
        <w:gridCol w:w="1093"/>
        <w:gridCol w:w="963"/>
        <w:gridCol w:w="973"/>
        <w:gridCol w:w="196"/>
        <w:gridCol w:w="556"/>
        <w:gridCol w:w="256"/>
        <w:gridCol w:w="109"/>
        <w:gridCol w:w="109"/>
        <w:gridCol w:w="109"/>
        <w:gridCol w:w="196"/>
        <w:gridCol w:w="556"/>
        <w:gridCol w:w="256"/>
        <w:gridCol w:w="109"/>
        <w:gridCol w:w="109"/>
        <w:gridCol w:w="109"/>
        <w:gridCol w:w="154"/>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diluted net income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net income per share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compare financial results across accounting periods and to those of peer companies, and to better understand the long-term performance of our core business. We also use some of these measures for purposes of determining company-wide incentive compensation.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limitations in using non-GAAP financial measures because non-GAAP financial measures are not prepared in accordance with GAAP and may be different from non-GAAP financial measures used by other companies. The non-GAAP 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Financial Measures to Non-GAAP Financial Measures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 millions except for operating margin and per share data):</w:t>
      </w:r>
      <w:r>
        <w:rPr>
          <w:color w:val="000000"/>
        </w:rPr>
        <w:t> </w:t>
      </w:r>
    </w:p>
    <w:tbl>
      <w:tblPr>
        <w:tblW w:w="7638" w:type="dxa"/>
        <w:jc w:val="center"/>
        <w:tblInd w:w="0" w:type="dxa"/>
        <w:tblLayout w:type="fixed"/>
        <w:tblCellMar>
          <w:top w:w="28" w:type="dxa"/>
          <w:left w:w="28" w:type="dxa"/>
          <w:bottom w:w="28" w:type="dxa"/>
          <w:right w:w="28" w:type="dxa"/>
        </w:tblCellMar>
      </w:tblPr>
      <w:tblGrid>
        <w:gridCol w:w="1740"/>
        <w:gridCol w:w="1528"/>
        <w:gridCol w:w="1546"/>
        <w:gridCol w:w="196"/>
        <w:gridCol w:w="556"/>
        <w:gridCol w:w="256"/>
        <w:gridCol w:w="109"/>
        <w:gridCol w:w="109"/>
        <w:gridCol w:w="109"/>
        <w:gridCol w:w="196"/>
        <w:gridCol w:w="556"/>
        <w:gridCol w:w="256"/>
        <w:gridCol w:w="109"/>
        <w:gridCol w:w="109"/>
        <w:gridCol w:w="109"/>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481" w:type="dxa"/>
            <w:gridSpan w:val="4"/>
            <w:tcBorders/>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developed technologies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income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margin (1)</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developed technologies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strategic investments and dispositions,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Non-GAAP net income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income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purchased intangibles and developed technologies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Acquisition-related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other exit costs, and facility reductions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adjustments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net income per share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pPr>
      <w:r>
        <w:rPr>
          <w:rFonts w:ascii="Times New Roman;sans-serif" w:hAnsi="Times New Roman;sans-serif"/>
          <w:b w:val="false"/>
          <w:color w:val="000000"/>
          <w:sz w:val="20"/>
        </w:rPr>
        <w:t>(1)</w:t>
      </w:r>
      <w:r>
        <w:rPr>
          <w:rFonts w:ascii="Times New Roman;sans-serif" w:hAnsi="Times New Roman;sans-serif"/>
          <w:b w:val="false"/>
          <w:color w:val="000000"/>
          <w:sz w:val="18"/>
        </w:rPr>
        <w:t>Totals may not sum due to rounding.</w:t>
      </w:r>
    </w:p>
    <w:p>
      <w:pPr>
        <w:pStyle w:val="TextBody"/>
        <w:bidi w:val="0"/>
        <w:spacing w:before="0" w:after="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non-GAAP financial measures may exclude the following, as applicable:</w:t>
      </w:r>
    </w:p>
    <w:p>
      <w:pPr>
        <w:pStyle w:val="TextBody"/>
        <w:bidi w:val="0"/>
        <w:spacing w:before="0" w:after="0"/>
        <w:jc w:val="both"/>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Stock-based compensation expenses.</w:t>
      </w:r>
      <w:r>
        <w:rPr>
          <w:color w:val="000000"/>
        </w:rPr>
        <w:t> </w:t>
      </w:r>
      <w:r>
        <w:rPr>
          <w:rFonts w:ascii="Times New Roman;sans-serif" w:hAnsi="Times New Roman;sans-serif"/>
          <w:b w:val="false"/>
          <w:color w:val="000000"/>
          <w:sz w:val="20"/>
        </w:rPr>
        <w:t xml:space="preserve">We exclude stock-based compensation expenses from non-GAAP measures primarily because they are non-cash 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 use under FASB ASC Topic 718, we believe excluding stock-based compensation expenses allows investors to make meaningful comparisons between our recurring core business operating results and those of other companies.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Amortization of developed technologies and purchased intangibles.</w:t>
      </w:r>
      <w:r>
        <w:rPr>
          <w:color w:val="000000"/>
        </w:rPr>
        <w:t> </w:t>
      </w:r>
      <w:r>
        <w:rPr>
          <w:rFonts w:ascii="Times New Roman;sans-serif" w:hAnsi="Times New Roman;sans-serif"/>
          <w:b w:val="false"/>
          <w:color w:val="000000"/>
          <w:sz w:val="20"/>
        </w:rPr>
        <w:t>We incur amortization of acquisition-related developed technologies and purchased 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i/>
          <w:color w:val="000000"/>
          <w:sz w:val="20"/>
        </w:rPr>
        <w:t>Acquisition-related costs.</w:t>
      </w:r>
      <w:r>
        <w:rPr>
          <w:color w:val="000000"/>
        </w:rPr>
        <w:t xml:space="preserve"> </w:t>
      </w:r>
      <w:r>
        <w:rPr>
          <w:rFonts w:ascii="Times New Roman;sans-serif" w:hAnsi="Times New Roman;sans-serif"/>
          <w:b w:val="false"/>
          <w:color w:val="000000"/>
          <w:sz w:val="20"/>
        </w:rPr>
        <w:t>We exclude certain acquisition-related costs, including due diligence costs, professional fees in connection with an acquisition, 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our historical operating results and to other companies in our industry.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Restructuring, other exit costs, and facility reductions.</w:t>
      </w:r>
      <w:r>
        <w:rPr>
          <w:color w:val="000000"/>
        </w:rPr>
        <w:t> </w:t>
      </w:r>
      <w:r>
        <w:rPr>
          <w:rFonts w:ascii="Times New Roman;sans-serif" w:hAnsi="Times New Roman;sans-serif"/>
          <w:b w:val="false"/>
          <w:color w:val="000000"/>
          <w:sz w:val="20"/>
        </w:rPr>
        <w:t xml:space="preserve">These expenses are associated with realigning our business strategies based on current economic conditions. In connection with these restructuring actions or other exit actions, we recognize costs related to termination benefits for former employees whose positions were eliminated, the reduction of facilities, and cancellation of certain contracts. We exclude these charges because these expenses are not reflective of ongoing business and operating results. We believe it is useful for investors to understand the effects of these items on our total operating expenses. </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i/>
          <w:color w:val="000000"/>
          <w:sz w:val="20"/>
        </w:rPr>
        <w:t>Loss (gain) on strategic investments and dispositions.</w:t>
      </w:r>
      <w:r>
        <w:rPr>
          <w:color w:val="000000"/>
        </w:rPr>
        <w:t xml:space="preserve"> </w:t>
      </w:r>
      <w:r>
        <w:rPr>
          <w:rFonts w:ascii="Times New Roman;sans-serif" w:hAnsi="Times New Roman;sans-serif"/>
          <w:b w:val="false"/>
          <w:color w:val="000000"/>
          <w:sz w:val="20"/>
        </w:rPr>
        <w:t xml:space="preserve">We exclude gains and losses related to our strategic investments and dispositions of strategic 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i/>
          <w:color w:val="000000"/>
          <w:sz w:val="20"/>
        </w:rPr>
        <w:t xml:space="preserve">Income tax adjustments. </w:t>
      </w:r>
      <w:r>
        <w:rPr>
          <w:rFonts w:ascii="Times New Roman;sans-serif" w:hAnsi="Times New Roman;sans-serif"/>
          <w:b w:val="false"/>
          <w:color w:val="000000"/>
          <w:sz w:val="20"/>
        </w:rPr>
        <w:t xml:space="preserve">The income tax effects that are excluded from the non-GAAP measures relate to the tax impact on the difference between GAAP and non-GAAP expenses, primarily due to stock-based compensation, amortization of purchased intangibles, and restructuring, other exit costs, and facility reductions for GAAP and non-GAAP measures. We remove GAAP discrete tax items, including changes in valuation allowance, from the non-GAAP measure of net income (loss). The non-GAAP tax provision is based on a projected long-term annual non-GAAP effective tax rate. Management believes the income tax adjustments assist investors in understanding the tax provision and the effective tax rate related to ongoing operations. We believe the exclusion of the discrete tax items provides investors with useful supplemental information about our operational performance. </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April 30, 2025, our principal sources of liquidity were cash, cash equivalents, and marketable securities totaling $2.30 billion, net accounts receivable of $494 million, and our revolving loan facility.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Autodesk entered into an amended and restated credit agreement (“2022 Credit Agreement”) by and among Autodesk, the lenders party thereto, and Citibank, N.A., as agent, that provided for a revolving credit facility in the aggregate principal amount of $1.5 billion with an option to be increased up to $2.0 billion. At April 30, 2025, Autodesk had no outstanding borrowings under the 2022 Credit Agreement. As of May 8, 2025, the 2022 Credit Agreement was terminated and the Company entered into a new Credit Agreement (the “2025 Credit Agreement”) by and among the Company, the lenders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party thereto and Citibank, N.A. (“Citibank”), as administrative agent, which provides for an unsecured revolving loan facility in the aggregate principal amount of $1.5 billion, with an option to increase the principal amount to $2.0 billion subject to receipt of additional commitments and other customary conditions. The proceeds from the 2025 Credit Agreement are available for working capital and general corporate purposes. As of May 29, 2025, we have no amounts outstanding under the 2025 Credit Agreement. See Part I, Item 1, “Financial Statements,” Note 13, “Borrowing Arrangements,” and Note 22, “Subsequent Events” in the Notes to Condensed Consolidated Financial Statements for further discussion on our covenant requirements and additional information with respect to the 2025 Credit Agreement. If we are unable to remain in compliance with the covenants under the 2025 Credit Agreement, we will not be able to draw on our revolving credit facility.</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30, 2025, we have $2.30 billion aggregate principal amount of notes outstanding, with $300 million due in the second quarter of fiscal 2026. See Part I, Item 1, “Financial Statements,” Note 13, “Borrowing Arrangements,” in the Notes to Condensed Consolidated Financial Statements for further discussion.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$1.5 billion revolving credit facility.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balances are concentrated in a few locations around the world, with substantial amounts held outside of the United States. As of April 30, 2025, approximately 62% of our total cash or cash equivalents are located in foreign jurisdictions and that percentage will fluctuate subject to business needs. There are several factors that can impact our ability to utilize foreign cash balances, such as foreign exchange restrictions, foreign regulatory restrictions, or adverse tax costs.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from operations could also be affected by various risks and uncertainties, including, but not limited to, the risks detailed in Part II, Item 1A titled “Risk Factors.” Based on our current business plan and revenue prospects, we believe that our existing cash and cash equivalents, our anticipated cash flows from operations, and our available revolving credit facility will be sufficient to meet our working capital and operating resource expenditure requirements for at least the next 12 months.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tbl>
      <w:tblPr>
        <w:tblW w:w="5995" w:type="dxa"/>
        <w:jc w:val="left"/>
        <w:tblInd w:w="0" w:type="dxa"/>
        <w:tblLayout w:type="fixed"/>
        <w:tblCellMar>
          <w:top w:w="28" w:type="dxa"/>
          <w:left w:w="28" w:type="dxa"/>
          <w:bottom w:w="28" w:type="dxa"/>
          <w:right w:w="28" w:type="dxa"/>
        </w:tblCellMar>
      </w:tblPr>
      <w:tblGrid>
        <w:gridCol w:w="1323"/>
        <w:gridCol w:w="1163"/>
        <w:gridCol w:w="1174"/>
        <w:gridCol w:w="251"/>
        <w:gridCol w:w="540"/>
        <w:gridCol w:w="139"/>
        <w:gridCol w:w="139"/>
        <w:gridCol w:w="139"/>
        <w:gridCol w:w="139"/>
        <w:gridCol w:w="251"/>
        <w:gridCol w:w="540"/>
        <w:gridCol w:w="197"/>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30,</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of $564 million for the three months ended April 30, 2025, primarily consisted of $152 million of our net income adjusted for $489 million non-cash items such as stock-based compensation expense, restructuring, other exit costs, and facility reductions, amortization of costs to obtain a contract with a customer, depreciation, amortization, and accretion expense, and deferred income tax. The decrease in working capital is primarily due to a negative change in prepaid expenses and other assets of $304 million, and a decrease in deferred revenue of $204 million due to the timing of our billing installments and seasonality of billings in the fourth fiscal quarter, partially offset by the change in accounts receivable of $515 million due to the seasonality of our billings in the fourth fiscal quarter and timing of cash collections from customers.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$494 million for the three months ended April 30, 2024, primarily consisted of $252 million of our net income adjusted for $223 million non-cash items such as stock-based compensation expense, amortization of costs to obtain a contract with a customer, depreciation, amortization, and accretion expense, and deferred income tax. The increase in working capital is primarily due to the change in accounts receivable of $526 million due to the seasonality of our billings in the fourth fiscal quarter and timing of cash collections from customers partially offset by a decrease in deferred revenue of $305 million due to the timing of our billing installments and seasonality of billings in the fourth fiscal quarter.</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was $58 million for the three months ended April 30, 2025, primarily due to sales and maturities of marketable securities partially offset by purchases of marketable securities. Net cash used in investing activities was $638 million for the three months ended April 30, 2024, primarily due to business combinations, net of cash acquired, and purchases of marketable securities partially offset by the sales and maturities of marketable securities.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$415 million for the three months ended April 30, 2025, primarily due to repurchases of common stock. Net cash used in financing activities was $61 million for the three months ended April 30, 2024, primarily due to taxes paid related to net share settlement of equity awards partially offset by proceeds from issuance of common stock, net of issuance costs.</w:t>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Autodesk's stock repurchase programs provide Autodesk with the ability to offset the dilution from the issuance of stock under our employee stock plans and reduce shares outstanding over time and has the effect of returning excess cash generated from our business to stockholders. Under the share repurchase programs, Autodesk may repurchase shares from time to time in open market transactions, privately negotiated transactions, accelerated share repurchase programs, tender offers, or by other means. The share repurchase programs do not have an expiration date and the pace and timing of repurchases will depend on factors such as cash generation from operations, available surplus, the volume of employee stock plan activity, remaining shares or dollar amount available in the authorized pool, cash requirements for acquisitions, cash requirements to retire outstanding debt, economic and market conditions, stock price, and legal and regulatory requirements.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the repurchase of common stock in open-market transactions during the three months ended April 30,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31"/>
        <w:gridCol w:w="349"/>
        <w:gridCol w:w="350"/>
        <w:gridCol w:w="440"/>
        <w:gridCol w:w="440"/>
        <w:gridCol w:w="441"/>
        <w:gridCol w:w="109"/>
        <w:gridCol w:w="109"/>
        <w:gridCol w:w="109"/>
        <w:gridCol w:w="263"/>
        <w:gridCol w:w="868"/>
        <w:gridCol w:w="146"/>
        <w:gridCol w:w="109"/>
        <w:gridCol w:w="109"/>
        <w:gridCol w:w="109"/>
        <w:gridCol w:w="873"/>
        <w:gridCol w:w="873"/>
        <w:gridCol w:w="875"/>
        <w:gridCol w:w="109"/>
        <w:gridCol w:w="109"/>
        <w:gridCol w:w="109"/>
        <w:gridCol w:w="619"/>
        <w:gridCol w:w="1758"/>
        <w:gridCol w:w="498"/>
      </w:tblGrid>
      <w:tr>
        <w:trPr/>
        <w:tc>
          <w:tcPr>
            <w:tcW w:w="43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(Shares in thousands)</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w:t>
              <w:br/>
              <w:t>Shares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Approximate Dollar Value of Shares that May Yet Be Purchased Under the Plans or Programs </w:t>
            </w:r>
            <w:r>
              <w:rPr>
                <w:rFonts w:ascii="Times New Roman;sans-serif" w:hAnsi="Times New Roman;sans-serif"/>
                <w:b/>
                <w:i/>
                <w:color w:val="000000"/>
                <w:sz w:val="16"/>
              </w:rPr>
              <w:t xml:space="preserve">(in millions) </w:t>
            </w:r>
            <w:r>
              <w:rPr>
                <w:rFonts w:ascii="Times New Roman;sans-serif" w:hAnsi="Times New Roman;sans-serif"/>
                <w:b/>
                <w:color w:val="000000"/>
                <w:sz w:val="16"/>
              </w:rPr>
              <w:t>(2)</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February 1 - February 28</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291.53 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8,774 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1 - March 31</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261.50 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475 </w:t>
            </w:r>
          </w:p>
        </w:tc>
        <w:tc>
          <w:tcPr>
            <w:tcW w:w="8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8,649 </w:t>
            </w:r>
          </w:p>
        </w:tc>
        <w:tc>
          <w:tcPr>
            <w:tcW w:w="4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April 1 - April 30</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8,527 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8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4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1,315 </w:t>
            </w:r>
          </w:p>
        </w:tc>
        <w:tc>
          <w:tcPr>
            <w:tcW w:w="8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________________</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(1)This represents shares purchased in open-market transactions under the stock repurchase plans approved by the Board of Directors.</w:t>
      </w:r>
    </w:p>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(2)These amounts correspond to the plans publicly announced and approved by the Board of Directors in November 2022 and November 2024 that each authorized the repurchase of $5 billion. At April 30, 2025, $3.53 billion and $5 billion remained available for repurchase under the November 2022 and November 2024 repurchase programs, respectively. The plans do not have a fixed expiration date. See Part I, Item 1, “Financial Statements,” Note 18, “Stockholders' Equity,” in the Notes to the Condensed Consolidated Financial Statements for further discussion. </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Billings: </w:t>
      </w:r>
      <w:r>
        <w:rPr>
          <w:rFonts w:ascii="Times New Roman;sans-serif" w:hAnsi="Times New Roman;sans-serif"/>
          <w:b w:val="false"/>
          <w:color w:val="000000"/>
          <w:sz w:val="20"/>
        </w:rPr>
        <w:t xml:space="preserve">Total revenue plus the net change in deferred revenue from the beginning to the end of the period.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Cloud Service Offerings</w:t>
      </w:r>
      <w:r>
        <w:rPr>
          <w:rFonts w:ascii="Times New Roman;sans-serif" w:hAnsi="Times New Roman;sans-serif"/>
          <w:b w:val="false"/>
          <w:color w:val="000000"/>
          <w:sz w:val="20"/>
        </w:rPr>
        <w:t>: Represents individual term-based offerings deployed through web browser technologies or in a hybrid software and cloud configuration. Cloud service offerings that are bundled with other product offerings are not captured as a separate cloud service offering.</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Constant Currency (CC) Growth Rates: </w:t>
      </w:r>
      <w:r>
        <w:rPr>
          <w:rFonts w:ascii="Times New Roman;sans-serif" w:hAnsi="Times New Roman;sans-serif"/>
          <w:b w:val="false"/>
          <w:color w:val="000000"/>
          <w:sz w:val="20"/>
        </w:rPr>
        <w:t xml:space="preserve">We attempt to represent the changes in the underlying business operations by eliminating fluctuations caused by 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Design Business:</w:t>
      </w:r>
      <w:r>
        <w:rPr>
          <w:color w:val="000000"/>
        </w:rPr>
        <w:t xml:space="preserve"> </w:t>
      </w:r>
      <w:r>
        <w:rPr>
          <w:rFonts w:ascii="Times New Roman;sans-serif" w:hAnsi="Times New Roman;sans-serif"/>
          <w:b w:val="false"/>
          <w:color w:val="000000"/>
          <w:sz w:val="20"/>
        </w:rPr>
        <w:t xml:space="preserve">Represents the combination of maintenance, product subscriptions and all EBAs. Main products include, but are not limited to, AutoCAD, AutoCAD LT, Industry Collections, Revit, Inventor, Maya and 3ds Max. Certain products, such as our computer aided manufacturing solutions, incorporate both Design and Make functionality and are classified as Design.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i/>
          <w:color w:val="000000"/>
          <w:sz w:val="20"/>
        </w:rPr>
        <w:t>Enterprise Business Agreements (EBAs):</w:t>
      </w:r>
      <w:r>
        <w:rPr>
          <w:color w:val="000000"/>
        </w:rPr>
        <w:t xml:space="preserve"> </w:t>
      </w:r>
      <w:r>
        <w:rPr>
          <w:rFonts w:ascii="Times New Roman;sans-serif" w:hAnsi="Times New Roman;sans-serif"/>
          <w:b w:val="false"/>
          <w:color w:val="000000"/>
          <w:sz w:val="20"/>
        </w:rPr>
        <w:t xml:space="preserve">Represents programs providing enterprise customers with token-based access to a broad pool of Autodesk products over a defined contract term.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Flex: </w:t>
      </w:r>
      <w:r>
        <w:rPr>
          <w:rFonts w:ascii="Times New Roman;sans-serif" w:hAnsi="Times New Roman;sans-serif"/>
          <w:b w:val="false"/>
          <w:color w:val="000000"/>
          <w:sz w:val="20"/>
        </w:rPr>
        <w:t>A pay-as-you-go consumption option to pre-purchase tokens to access any product available with Flex for a daily rate.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Free Cash Flow:</w:t>
      </w:r>
      <w:r>
        <w:rPr>
          <w:color w:val="000000"/>
        </w:rPr>
        <w:t xml:space="preserve"> </w:t>
      </w:r>
      <w:r>
        <w:rPr>
          <w:rFonts w:ascii="Times New Roman;sans-serif" w:hAnsi="Times New Roman;sans-serif"/>
          <w:b w:val="false"/>
          <w:color w:val="000000"/>
          <w:sz w:val="20"/>
        </w:rPr>
        <w:t xml:space="preserve">Cash flow from operating activities minus capital expenditures.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Industry Collections:</w:t>
      </w:r>
      <w:r>
        <w:rPr>
          <w:color w:val="000000"/>
        </w:rPr>
        <w:t xml:space="preserve"> </w:t>
      </w:r>
      <w:r>
        <w:rPr>
          <w:rFonts w:ascii="Times New Roman;sans-serif" w:hAnsi="Times New Roman;sans-serif"/>
          <w:b w:val="false"/>
          <w:color w:val="000000"/>
          <w:sz w:val="20"/>
        </w:rPr>
        <w:t>Autodesk Industry Collections are a combination of products and services that target a specific user objective and support a set of workflows for that objective. Our Industry Collections consist of: Autodesk Architecture, Engineering and Construction Collection, Autodesk Product Design and Manufacturing Collection, and Autodesk Media and Entertainment Collection.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Maintenance Plan: </w:t>
      </w:r>
      <w:r>
        <w:rPr>
          <w:rFonts w:ascii="Times New Roman;sans-serif" w:hAnsi="Times New Roman;sans-serif"/>
          <w:b w:val="false"/>
          <w:color w:val="000000"/>
          <w:sz w:val="20"/>
        </w:rPr>
        <w:t xml:space="preserve">Our maintenance plans provide our customers with a cost effective and predictable budgetary option to obtain the productivity benefits of 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Make Business:</w:t>
      </w:r>
      <w:r>
        <w:rPr>
          <w:color w:val="000000"/>
        </w:rPr>
        <w:t xml:space="preserve"> </w:t>
      </w:r>
      <w:r>
        <w:rPr>
          <w:rFonts w:ascii="Times New Roman;sans-serif" w:hAnsi="Times New Roman;sans-serif"/>
          <w:b w:val="false"/>
          <w:color w:val="000000"/>
          <w:sz w:val="20"/>
        </w:rPr>
        <w:t xml:space="preserve">Represents certain cloud-based product subscriptions. Main products include, but are not limited to, Autodesk Build, BIM Collaborate Pro, BuildingConnected, Fusion, and Flow Production Tracking. Certain products, such as Fusion, incorporate both Design and Make functionality and are classified as Make.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Net Revenue Retention Rate (NR3): </w:t>
      </w:r>
      <w:r>
        <w:rPr>
          <w:rFonts w:ascii="Times New Roman;sans-serif" w:hAnsi="Times New Roman;sans-serif"/>
          <w:b w:val="false"/>
          <w:color w:val="000000"/>
          <w:sz w:val="20"/>
        </w:rPr>
        <w:t xml:space="preserve">Measures the year-over-year change in Recurring Revenue for the population of customers that existed one year ago (“base customers”). Net revenue retention rate is calculated by dividing the current quarter Recurring Revenue related to base customers by the total corresponding quarter Recurring Revenue from one year ago. Recurring Revenue is based on USD reported revenue, and fluctuations caused by changes in foreign currency exchange rates and hedge gains or losses have not been eliminated. Recurring Revenue related to acquired companies, one year after acquisition, has been captured as existing customers until such data conforms to the calculation methodology. This may cause variability in the comparison.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Other Revenue: </w:t>
      </w:r>
      <w:r>
        <w:rPr>
          <w:rFonts w:ascii="Times New Roman;sans-serif" w:hAnsi="Times New Roman;sans-serif"/>
          <w:b w:val="false"/>
          <w:color w:val="000000"/>
          <w:sz w:val="20"/>
        </w:rPr>
        <w:t xml:space="preserve">Consists of revenue from consulting, and other products and services, and is recognized as the products are delivered and services are performed.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Product Subscription:</w:t>
      </w:r>
      <w:r>
        <w:rPr>
          <w:color w:val="000000"/>
        </w:rPr>
        <w:t xml:space="preserve"> </w:t>
      </w:r>
      <w:r>
        <w:rPr>
          <w:rFonts w:ascii="Times New Roman;sans-serif" w:hAnsi="Times New Roman;sans-serif"/>
          <w:b w:val="false"/>
          <w:color w:val="000000"/>
          <w:sz w:val="20"/>
        </w:rPr>
        <w:t xml:space="preserve">Provides customers a flexible, cost-effective way to access and manage 3D design, engineering, and entertainment software tools. Our product subscriptions currently represent a hybrid of desktop and cloud functionality, which provides a device-independent, collaborative design workflow for designers and their stakeholders.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Recurring Revenue:</w:t>
      </w:r>
      <w:r>
        <w:rPr>
          <w:color w:val="000000"/>
        </w:rPr>
        <w:t xml:space="preserve"> </w:t>
      </w:r>
      <w:r>
        <w:rPr>
          <w:rFonts w:ascii="Times New Roman;sans-serif" w:hAnsi="Times New Roman;sans-serif"/>
          <w:b w:val="false"/>
          <w:color w:val="000000"/>
          <w:sz w:val="20"/>
        </w:rPr>
        <w:t xml:space="preserve">Consists of the revenue for the period from our traditional maintenance plans, our subscription plan offerings and certain Other revenue. It excludes subscription revenue related to third-party products. Recurring revenue acquired with the acquisition of a business is captured when total subscriptions are captured in our systems and may cause variability in the comparison of this calculation.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Remaining Performance Obligations (RPO): </w:t>
      </w:r>
      <w:r>
        <w:rPr>
          <w:rFonts w:ascii="Times New Roman;sans-serif" w:hAnsi="Times New Roman;sans-serif"/>
          <w:b w:val="false"/>
          <w:color w:val="000000"/>
          <w:sz w:val="20"/>
        </w:rPr>
        <w:t xml:space="preserve">The sum of total short-term, long-term, and unbilled deferred revenue. Current remaining performance obligations is the amount of revenue we expect to recognize in the next twelve months.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Solution Provider</w:t>
      </w:r>
      <w:r>
        <w:rPr>
          <w:rFonts w:ascii="Times New Roman;sans-serif" w:hAnsi="Times New Roman;sans-serif"/>
          <w:b w:val="false"/>
          <w:color w:val="000000"/>
          <w:sz w:val="20"/>
        </w:rPr>
        <w:t>: Solution Provider is the name of our channel partners who primarily serve our new transaction model customers worldwide. Solution Providers may also be resellers in relation to Autodesk solutions.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Spend</w:t>
      </w:r>
      <w:r>
        <w:rPr>
          <w:rFonts w:ascii="Times New Roman;sans-serif" w:hAnsi="Times New Roman;sans-serif"/>
          <w:b w:val="false"/>
          <w:color w:val="000000"/>
          <w:sz w:val="20"/>
        </w:rPr>
        <w:t xml:space="preserve">: The sum of cost of revenue and operating expenses.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Subscription Plan: </w:t>
      </w:r>
      <w:r>
        <w:rPr>
          <w:rFonts w:ascii="Times New Roman;sans-serif" w:hAnsi="Times New Roman;sans-serif"/>
          <w:b w:val="false"/>
          <w:color w:val="000000"/>
          <w:sz w:val="20"/>
        </w:rPr>
        <w:t xml:space="preserve">Comprises our term-based product subscriptions, cloud service offerings, and EBAs. Subscriptions represent a combined hybrid offering of desktop software and cloud functionality which provides a device-independent, collaborative design workflow for designers and their stakeholders. With subscription, customers can use our software anytime, anywhere, and get access to the latest updates to previous versions.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Subscription Revenue: </w:t>
      </w:r>
      <w:r>
        <w:rPr>
          <w:rFonts w:ascii="Times New Roman;sans-serif" w:hAnsi="Times New Roman;sans-serif"/>
          <w:b w:val="false"/>
          <w:color w:val="000000"/>
          <w:sz w:val="20"/>
        </w:rPr>
        <w:t>Includes our cloud-enabled term-based product subscriptions, cloud service offerings, and flexible EBAs.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 xml:space="preserve">Unbilled Deferred Revenue: </w:t>
      </w:r>
      <w:r>
        <w:rPr>
          <w:rFonts w:ascii="Times New Roman;sans-serif" w:hAnsi="Times New Roman;sans-serif"/>
          <w:b w:val="false"/>
          <w:color w:val="000000"/>
          <w:sz w:val="20"/>
        </w:rPr>
        <w:t xml:space="preserve">Unbilled deferred revenue represents contractually stated or committed orders under early renewal and multi-year billing plans for subscription, services, and maintenance for which the associated deferred revenue has not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recognized. Under FASB Accounting Standards Codification ("ASC") Topic 606, unbilled deferred revenue is not included as a receivable or deferred revenue on our Condensed Consolidated Balance Sheet.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Foreign Currency Exchange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April 30, 2025, and January 31, 2025, we had open cash flow and balance sheet hedge contracts with future settlements generally within one to 12 months. Contracts were primarily denominated in Euros, British pounds, Japanese yen, Canadian dollars, Singapore dollars, Swiss francs, and Australian dollars. We do not enter into foreign exchange derivative instruments for trading or speculative purposes.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option and foreign exchange forward contracts outstanding as of the respective period-ends are summarized in U.S. dollar equivalents as follows (in millions):</w:t>
      </w:r>
    </w:p>
    <w:tbl>
      <w:tblPr>
        <w:tblW w:w="7023" w:type="dxa"/>
        <w:jc w:val="left"/>
        <w:tblInd w:w="0" w:type="dxa"/>
        <w:tblLayout w:type="fixed"/>
        <w:tblCellMar>
          <w:top w:w="28" w:type="dxa"/>
          <w:left w:w="28" w:type="dxa"/>
          <w:bottom w:w="28" w:type="dxa"/>
          <w:right w:w="28" w:type="dxa"/>
        </w:tblCellMar>
      </w:tblPr>
      <w:tblGrid>
        <w:gridCol w:w="543"/>
        <w:gridCol w:w="477"/>
        <w:gridCol w:w="480"/>
        <w:gridCol w:w="310"/>
        <w:gridCol w:w="882"/>
        <w:gridCol w:w="172"/>
        <w:gridCol w:w="109"/>
        <w:gridCol w:w="109"/>
        <w:gridCol w:w="109"/>
        <w:gridCol w:w="273"/>
        <w:gridCol w:w="461"/>
        <w:gridCol w:w="151"/>
        <w:gridCol w:w="109"/>
        <w:gridCol w:w="109"/>
        <w:gridCol w:w="109"/>
        <w:gridCol w:w="310"/>
        <w:gridCol w:w="882"/>
        <w:gridCol w:w="172"/>
        <w:gridCol w:w="109"/>
        <w:gridCol w:w="109"/>
        <w:gridCol w:w="109"/>
        <w:gridCol w:w="241"/>
        <w:gridCol w:w="499"/>
        <w:gridCol w:w="189"/>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January 31, 2025</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Forward Contracts:</w:t>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Purchased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Sold</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 Contracts:</w:t>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Purchased </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Sold</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use foreign currency contracts to reduce the exchange rate impact on the net revenue and operating expenses of certain anticipated transactions. A hypothetical 10% appreciation of the U.S. dollar from its value at April 30, 2025, and January 31, 2025, would increase the fair value of our foreign currency contracts by $124 million and $209 million, respectively. A hypothetical 10% depreciation of the dollar from its value at April 30, 2025, and January 31, 2025, would decrease the fair value of our foreign currency contracts by $202 million and $116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movements affect both the interest income we earn on our short-term investments and the market value of certain longer-term securities. At April 30, 2025, we had $1.45 billion of cash equivalents and marketable securities, including $224 million classified as short-term marketable securities and $261 million classified as long-term marketable securities. If interest rates were to move up or down by 50 or 100 basis points over a 12-month period, the market value change of these securities would not have a material impact on our results of operations. </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Market Risk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Part I, Item 1, “Financial Statements,” Note 5, “Financial Instruments,” in the Notes to Condensed Consolidated Financial Statements for further discussion regarding these strategic investments.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45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three months ended</w:t>
      </w:r>
      <w:r>
        <w:rPr>
          <w:color w:val="EE2724"/>
        </w:rPr>
        <w:t xml:space="preserve"> </w:t>
      </w:r>
      <w:r>
        <w:rPr>
          <w:rFonts w:ascii="Times New Roman;sans-serif" w:hAnsi="Times New Roman;sans-serif"/>
          <w:b w:val="false"/>
          <w:color w:val="000000"/>
          <w:sz w:val="20"/>
        </w:rPr>
        <w:t>April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early March 2024, the Audit Committee of Autodesk’s Board of Directors commenced an internal investigation with the assistance of outside counsel and advisors regarding the Company’s free cash flow and non-GAAP operating margin practices (the “Internal Investigation”). On March 8, 2024, the Company voluntarily contacted the U.S. Securities and Exchange Commission (“SEC”) to inform it of the Internal Investigation. On April 3, 2024, the United States Attorney’s Office for the Northern District of California (“USAO”) contacted the Company regarding the Internal Investigation. The Company has provided the SEC and USAO with certain documents and information and will continue to cooperate with the SEC and USAO. At this stage, the Company cannot reasonably estimate the amount of any possible financial loss that could result from this matter.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2024, Michael Barkasi filed a purported federal securities class action complaint in the Northern District of California against Autodesk, our Chief Executive Officer, Andrew Anagnost, and our former Chief Financial Officer, Deborah L. Clifford. The complaint, which was filed shortly after Autodesk’s announcement of the Internal Investigation, generally alleges that the defendants made false and misleading statements in violation of Sections 10(b) and 20(a) of the Securities Exchange Act of 1934 (the “Exchange Act”), and Rule 10b-5 promulgated thereunder. On July 10, 2024, the Court appointed a lead plaintiff in the action, and an amended complaint was filed on September 16, 2024. The action purports to be brought on behalf of those who purchased or otherwise acquired the Company’s securities between February 23, 2023 and April 16, 2024, and seeks unspecified damages and other relief. On November 25, 2024, Defendants filed a motion to dismiss the complaint. At this stage, the Company cannot reasonably estimate the amount of any possible financial loss that could result from this matter.</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In addition, on June 7, 2024, a purported stockholder derivative complaint was filed in the United States District Court for the Northern District of California, naming our directors at the time of the complaint and our Chief Strategy Officer as defendants and our company as a nominal defendant. The complaint generally alleges violations of Section 14(a) of the Exchange Act and breach of fiduciary duties, aiding and abetting breach of fiduciary duties, unjust enrichment, abuse of control, and waste of corporate assets, based on similar underlying allegations contained in the purported federal securities class action complaint described above. A second purported stockholder derivative complaint naming the same defendants was filed in the Northern District of California on June 25, 2024.</w:t>
      </w:r>
      <w:r>
        <w:rPr>
          <w:color w:val="000000"/>
        </w:rPr>
        <w:t xml:space="preserve"> </w:t>
      </w:r>
      <w:r>
        <w:rPr>
          <w:rFonts w:ascii="Times New Roman;sans-serif" w:hAnsi="Times New Roman;sans-serif"/>
          <w:b w:val="false"/>
          <w:color w:val="000000"/>
          <w:sz w:val="20"/>
        </w:rPr>
        <w:t>The complaint in that case generally alleges violations of Section 10(b) of the Exchange Act and Rule 10b-5, Section 20(a) of the Exchange Act, breach of fiduciary duties, unjust enrichment, abuse of control, gross mismanagement, waste of corporate assets, and contribution, also based on similar underlying allegations contained in the purported federal securities class action described above. On October 29, 2024 the Court consolidated and stayed the two stockholder derivative actions. A third purported stockholder derivative complaint naming the same defendants was filed in the District of Delaware on February 14, 2025. That complaint generally alleged violations of Section 10(b) of the Exchange Act and Rule 10b-5, Sections 14(a) and 20(a) of the Exchange Act, breach of fiduciary duties, misappropriation of information, unjust enrichment, abuse of control, gross mismanagement, and waste of corporate assets, also based on similar underlying allegations contained in the purported federal securities class action described above. The plaintiff in the District of Delaware action filed a notice of voluntary dismissal of the action without prejudice on April 4, 2025, which the Court entered on April 7, 2025.</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rapidly changing environment that involves significant risks, a number of which are beyond our control. In addition to the other information contained in this Quarterly Report on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Quarterly Report on Form 10-Q and in the documents incorporated herein by reference. They could affect our actual results of operations, causing them to differ materially from those expressed in forward-looking statements.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Summary of Risk Factors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that you should consider before investing in our securities. These risks are described more fully below and include, but are not limited to, risks relating to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strategy to develop and introduce new products and services, exposing us to risks such as limited customer acceptance (both with new and existing customers), costs related to product defects, and large expenditures.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Global economic and political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Costs and challenges associated with strategic acquisitions and investments.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Dependency on international revenue and operations, exposing us to significant international regulatory, economic, intellectual property, collections, currency exchange rate, taxation, political, and other risks.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predict subscription renewal rates and their impact on our future revenue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Existing and increased competition and rapidly evolving technological changes.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 of our financial results, key metrics and other operating metrics.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Deriving a substantial portion of our net revenue from a small number of solutions, including our AutoCAD-based software products and collections.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failure to successfully execute and manage initiatives to realign or introduce new business and sales initiatives.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strategy and expectations regarding the expected benefits, timing and costs associated with our restructuring plan.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revenue, billings, earnings, cash flow, or subscriptions shortfalls or volatility of the market causing the market price of our stock to decline.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Challenges relating to the proper management and governance of our use of AI in our offerings.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incidents compromising the integrity of our or our customers’ offerings, services, data, or intellectual property.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Reliance on third parties to provide us with a number of operational and technical services as well as software.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highly complex software, which may contain undetected errors, defects, or vulnerabilities, and is subject to service disruptions, degradations, outages or other performance problems.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Increasing regulatory focus on privacy, data protection, and information security issues and expanding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Governmental export and import controls that could impair our ability to compete in international markets or subject us to liability if we violate the controls.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Protection of our intellectual property rights and intellectual property infringement claims from others.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government procurement process.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debt service obligations.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investment portfolio consisting of a variety of investment vehicles that are subject to interest rate trends, market volatility, and other economic factors.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Our Business and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strategy to develop and introduce new products and services exposes us to risks such as limited customer acceptance (both with new and existing customers), costs related to product defects, and large expenditures, each of which may result in no additional net revenue or decreased net revenue.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Both new and existing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If we are unable to provide new features, enhancements to user experience, and modifications in a timely and cost-effective manner that achieve market acceptance, align with customer expectations, and that keep pace with rapid technological developments and changing regulatory landscapes, our business and operating results could be adversely affected. For example, AI and machine learning are propelling advancements in technology, but if they are not widely adopted and accepted or fail to operate as expected, our business and reputation may be harmed.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frequently introduce new business models or methods that require a considerable investment of technical and financial resources, such as our introduction of flexible subscription and service offerings, our transition of multi-subscription plans to named-user plans and our new transaction model.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new customers or existing customers, and either with respect to our software or the manner in which we provide such products, or if we are not able to adapt our business model to meet our customers’ requirements,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Global economic and political conditions may further impact our industries, business, and financial results.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inflationary pressures and higher interest rates, bankruptcies, and overall uncertainty. These economic conditions can occur abruptly. For example, current geopolitical and global macro-economic challenges, most recently regarding tariffs and trade protectionism, have caused uncertainty in the global economy, and an economic downturn or recession in the United States or in other countries may occur or has already occurred and may continue. The extent to which these challenges will impact our financial condition or results of operations is still uncertain and will continue to depend on developments such as the impact of these challenges on our customers, vendors, distributors, and resellers, such as the supply chain disruption and resulting inflationary pressures and global labor shortage that we have seen recently, material scarcity, as well as other factors; actions taken by governments, businesses, and consumers in response to these challenges; speed and timing of economic recovery, including in specific geographies; our billings and renewal rates, including new business close rates, rate of multi-year contracts, pace of closing larger transactions, and new unit volume growth; wars and armed conflicts, including the ongoing wars between Ukraine and Russia and between Israel and Hamas; foreign exchange rate fluctuations; and the effect of these challenges on margins and cash flow. All of these factors continue to evolve and remain uncertain at this time, and some of these factors are not within our control.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described elsewhere in these risk factors, we are dependent on international revenue and operations and are subject to related risks of conducting business globally. Trends toward nationalism and protectionism, including imposition of tariffs and related trade wars,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War, geopolitical conflicts, and any related political or economic responses and counter-responses or otherwise by various global actors or the general effect on the global economy, could also affect our business. Any of these events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be adversely impacted by the costs and challenges associated with strategic acquisitions and investments.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acquire or invest in businesses, software solutions, and technologies that are complementary to our business through acquisitions, strategic alliances, or equity or debt investments, including several transactions in fiscal 2025.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inability to retain customers, key employees, vendors, distributors, business partners, and other entities associated with the acquired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that due diligence of the acquired business or solution does not identify significant problems;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exposure to litigation or other claims in connection with, or inheritance of claims or litigation risk as a result of, an acquisition, including claims from terminated employees, customers, or other third parties;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for incompatible business cultures;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significantly higher than anticipated transaction or integration-related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potential that acquired businesses or businesses that we invest in may not have adequate controls, processes, and procedures to ensure compliance with laws and regulations, including with respect to data privacy, data protection, and data security, as well as anti-bribery and anti-corruption laws, export controls, sanctions and industry-specific-regulation;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additional exposure to economic, tax, currency, political, legal, and regulatory risks and liabilities, including risks associated with specific countries;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potential impact on relationships with existing customers, vendors, and distributors as business partners as a result of acquiring another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net revenue represented 64% of our net revenue during both the three months ended April 30, 2025 and 2024, respectively. Our international revenue, some of which comes from emerging economies, is subject to economic and political conditions in foreign markets, including those resulting from economic and political conditions in the United States.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economic volatility;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tariffs, quotas, and other trade barriers and restrictions, geopolitical conflicts, and any political or economic responses and counter-responses thereto by various global actors;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fluctuating currency exchange rates, including devaluations, currency controls, and inflation, and risks related to any hedging activities we undertake;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regulatory requirements and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delays resulting from difficulty in obtaining export licenses for certain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different purchase patterns as compared to the developed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in locations with a higher incidence of corruption and fraudulent business practices, particularly in emerging economies;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the U.S. Foreign Corrupt Practices Act, the U.K. Bribery Act, and other anti-corruption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difficulties in staffing and managing foreign sales and development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local competition;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longer collection cycles for accounts receivable;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 and foreign tax law changes and the complexities of tax reporting;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laws regarding the free flow of data across international borders and management of and access to data and public networks;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possible future limitations upon foreign-owned businesses;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inadequate local infrastructure;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greater difficulty in protecting intellectual property;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software piracy;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other factors beyond our control, including popular uprisings, terrorism, war (including any related political or economic responses and counter-responses or otherwise by various global actors or the general effect on the global economy), natural disasters, and diseases and pandemics.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our business partners also have international operations and are subject to the risks described above. </w:t>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In addition, in recent years, the United States has instituted or proposed changes to foreign trade policy, including the negotiation or termination of trade agreements, the imposition of new or increased tariffs on products imported from certain countries; economic sanctions on individuals, corporations, or countries; and other government regulations affecting trade between the United States and other countries in which we do business. For example, the United States and other global actors have imposed sanctions as a result of the war against Ukraine launched by Russia and the ongoing war between Israel and Hamas. Additionally, recent executive actions and executive branch policies in the United States, such as those communicated in a February 2025 memorandum regarding a change in U.S. policy with respect to the negotiation and imposition of digital services taxes and regulations by other countries, suggest a broader purview for changes in U.S. trade policy as a component of U.S. foreign policy. Since March 2025, the United States has placed an additional 20% tariff on most goods from China, imposed an additional 25% tariff on most products of Canada and Mexico (with an exception for goods that qualify for duty-free treatment under the U.S.-Mexico-Canada Agreement), and implemented 25% Section 232 tariffs on various articles of steel and aluminum.</w:t>
      </w:r>
      <w:r>
        <w:rPr>
          <w:color w:val="000000"/>
        </w:rPr>
        <w:t xml:space="preserve"> </w:t>
      </w:r>
      <w:r>
        <w:rPr>
          <w:rFonts w:ascii="Times New Roman;sans-serif" w:hAnsi="Times New Roman;sans-serif"/>
          <w:b w:val="false"/>
          <w:color w:val="000000"/>
          <w:sz w:val="20"/>
        </w:rPr>
        <w:t>In April 2025, the U.S. government implemented 25% Section 232 tariffs on passenger vehicles and light trucks (with similar Section 232 tariffs on components for such vehicles expected to be imposed beginning in May 2025); imposed an additional reciprocal tariff of 125% on most imports from China; and imposed an additional reciprocal tariff of 10% on most imports from U.S. trading partners other than China, Canada, Mexico, and countries with which the U.S. does not have normal trade relations. Additional investigations by the U.S. government are in progress and could result in the imposition of additional tariffs on additional items.</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is currently significant uncertainty about the future relationship between the United States and its trading partners with respect to trade policies, tariffs, taxes, and similar policies affecting cross-border operations. These new or increased tariffs and other changes in U.S. trade policy, including new sanctions, have triggered and could continue to trigger retaliatory actions by affected countries, including Canada, China, Russia, and others, that have instituted, considered, or are considering imposing new or increased tariffs, export controls, and other trade sanctions targeting certain U.S. persons or U.S.-manufactured goods. These retaliatory measures could include responses such as the imposition of new or increased digital services taxes. The escalation of protectionist or retaliatory trade measures in either the United States or any other countries in which we do business, such as announcing sanctions, a change in tariff structures, export controls, or other trade policies, may increase the cost of, or otherwise interfere with, the conduct of our business, and could have a material adverse effect on our operations and business outlook.</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are able to successfully manage the risks of international operations, our business may be adversely affected if our business partners are not able to successfully manage these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not be able to predict subscription renewal rates and their impact on our future revenue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attracting new customers as well as renewing and expanding our business with existing customers. 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reductions in customer spending levels, customer activity, or number of users due to economic downturns or financial markets uncertainty. If our customers do not renew their subscriptions or if they renew on less favorable terms, our revenues may decline.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Existing and increased competition and rapidly evolving technological changes may reduce our revenue and profits.</w:t>
      </w:r>
    </w:p>
    <w:p>
      <w:pPr>
        <w:pStyle w:val="TextBody"/>
        <w:bidi w:val="0"/>
        <w:spacing w:before="0" w:after="0"/>
        <w:jc w:val="left"/>
        <w:rPr/>
      </w:pPr>
      <w:r>
        <w:rPr/>
      </w:r>
    </w:p>
    <w:p>
      <w:pPr>
        <w:pStyle w:val="TextBody"/>
        <w:bidi w:val="0"/>
        <w:spacing w:lineRule="auto" w:line="276" w:before="0" w:after="0"/>
        <w:ind w:left="0" w:right="0" w:firstLine="450"/>
        <w:jc w:val="left"/>
        <w:rPr/>
      </w:pPr>
      <w:r>
        <w:rPr>
          <w:rFonts w:ascii="Times New Roman;sans-serif" w:hAnsi="Times New Roman;sans-serif"/>
          <w:b w:val="false"/>
          <w:color w:val="000000"/>
          <w:sz w:val="20"/>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Times New Roman;sans-serif" w:hAnsi="Times New Roman;sans-serif"/>
          <w:b w:val="false"/>
          <w:color w:val="212529"/>
          <w:sz w:val="20"/>
        </w:rPr>
        <w:t>subscriptions and cloud-enabled technologies</w:t>
      </w:r>
      <w:r>
        <w:rPr>
          <w:rFonts w:ascii="Times New Roman;sans-serif" w:hAnsi="Times New Roman;sans-serif"/>
          <w:b w:val="false"/>
          <w:color w:val="000000"/>
          <w:sz w:val="20"/>
        </w:rPr>
        <w:t>. This shift further lowers barriers to entry and poses a disruptive challenge to established software companies. The markets in which we operate are characterized by vigorous competition, both by entrants with innovative technologies and by consolidation of companies with complementary offerings and technologies. Some of our competitors have greater financial, technical, sales and marketing, and other resources. Our competitors may also be able to develop and market new technologies that render our existing or future products less competitive. For example, disruptive technologies such as machine learning and other AI technologies may significantly alter the market for our products in unpredictable ways and reduce customer demand.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financial results, key metrics, and other operating metrics fluctuate within each quarter and from quarter to quarter, making our future revenue and financial results difficult to predict.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financial results, key metrics, and other operating metrics have fluctuated in the past and will continue to do so in the future. These fluctuations have in the past caused and could in the future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have in the past caused and could in the future cause our financial results, key metrics, and other operating metrics to fluctuate include: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general market, economic, business, and political conditions in Europe, APAC, and emerging economies, including from an economic downturn or recession in the United States or other countries, as well as economic and regulatory uncertainty;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produce sufficient revenue, billings, subscription, profitability, and cash flow growth;</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accurately predict the impact of acquired businesses or to identify and realize the anticipated benefits of acquisitions, and successfully integrate such acquired businesses and technologies;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shift to named-user plans and annual billing of multi-year contracts, which impacted the timing of our billings and cash collections in fiscal year 2024 and 2025 and which is expected to continue into fiscal year 2026;</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introduce and expand new transaction models such as Flex;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potential goodwill impairment charges related to prior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manage spend;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billings linearity;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subscription mix, pricing pressure, or changes in subscription pricing;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weak or negative growth in one or more of the industries we serve, including AECO, manufacturing, and digital media and entertainment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success of new business or sales initiatives;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breaches, related reputational harm, and potential financial penalties to customers and government entities;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restructuring or other accounting charges and unexpected costs or other operating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of additional investments in our technologies or deployment of our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revenue recognition or other accounting guidelines employed by us and/or established by the Financial Accounting Standards Board, Securities and Exchange Commission, or other rulemaking bodies;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 and the effectiveness of our hedging activity;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dependence on and timing of large transactions;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adjustments arising from ongoing or future tax examinations;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governments around the world to adopt fiscal policies, meet their financial and debt obligations, and finance infrastructure projects;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expand our AutoCAD and AutoCAD LT customer base to related design products and services;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rapidly adapt to technological and customer preference changes, including those related to cloud computing, mobile devices, and new computing platforms;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of the introduction of new products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financial and business condition of our reseller and distribution channels;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perceived or actual technical or other problems with a product or combination of subscriptions;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unexpected or negative outcomes of matters and expenses relating to litigation or regulatory inquiries;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increases in cloud functionality-related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of releases and retirements of offerings;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tax laws or tax or accounting rules and regulations, such as increased use of fair value measures;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sales compensation practices;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effectively implement and maintain our copyright legalization programs, especially in developing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renegotiation or termination of royalty or intellectual property arrangements;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interruptions or terminations in the business of our consultants or third-party developers;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timing and degree of expected investments in growth and efficiency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achieve continued success in technology advancements;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catastrophic events, natural disasters, or public health events, such as pandemics and epidemics;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regulatory compliance costs;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appropriately estimate the scope of services under consulting arrangements.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also experienced fluctuations in financial results in interim periods in certain geographic regions due to seasonality or regional economic or political conditions. In particular, our financial results, key metrics, or other operating metrics in Europe during our third quarter are usually affected by a slower summer period, and our APAC operations typically experience seasonal slowing in our fourth quarter. War, geopolitical conflicts, and any related political or economic responses and counter-responses or otherwise by various global actors or the general effect on the global economy, could also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derive a substantial portion of our net revenue from a small number of solutions, including our AutoCAD-based software products and collections, and if these offerings are not successful, our revenue would be adversely affected.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three months ended April 30, 2025 and 2024, combined revenue from our AutoCAD and AutoCAD LT family products, not including collections having AutoCAD or AutoCAD LT as a component, represented 25% and 27% of our total net revenue,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From time to time we realign or introduce new business and sales initiatives; if we fail to successfully execute and manage these initiatives, our results of operations could be negatively impacted.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effort to accommodate our customers’ needs and demands and the rapid evolution of technology, from time to time we evolve our business and sales initiatives, such as shifting to annual billing of multi-year contracts, introducing and expanding new business models such as the new transaction model and Flex,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not successfully execute or achieve the expected benefits of our restructuring plan and other measures we may take in the future, and our efforts may adversely affect our business.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2026, we initiated a restructuring plan (the “2026 Plan”), to support Autodesk's initiatives to optimize its go-to-market organization and, at the same time, to reallocate resources to Autodesk’s strategic priorities such as investments in cloud, platform, and artificial intelligence. These measures are intended to address our short and long-term objectives and are based on our current estimates, assumptions, and forecasts, which are subject to known and unknown risks and uncertainties. Implementation of these and any other initiatives may not achieve our expected benefits, may be disruptive to our business, the expected costs and charges may be greater than we have forecasted, and the estimated cost savings may be lower than we have forecasted. In addition, our 2026 Plan could result in personnel attrition beyond our planned reduction in headcount or could reduce employee morale, which could in turn adversely impact productivity, including through a loss of continuity, loss of accumulated knowledge and/or inefficiency during transitional periods, could affect our ability to attract highly skilled employees, or may otherwise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Net revenue, billings, earnings, cash flow, or subscriptions shortfalls or volatility of the market generally may cause the market price of our stock to decline.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for our common stock has experienced significant fluctuations and may continue to fluctuate significantly. The market price for our common stock has in the past been, and in the future may be, affected by a number of factors, including the other risks described in these risk factors and the following: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shortfalls in our expected financial results, including net revenue, billings, earnings, and cash flow or key performance metrics, such as subscriptions, and how those results compare to securities analyst expectations, including whether those results fail to meet, exceed, or significantly exceed securities analyst expectations;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quarterly variations in our or our competitors’ results of operations;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general socioeconomic, political, or market conditions, including from an economic downturn or recession in the United States or in other countries, as well as economic and regulatory uncertainty;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forward-looking estimates of future results, how those estimates compare to securities analyst expectations, or changes in recommendations or confusion on the part of analysts and investors about the short- and long-term impact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uncertainty about certain governments’ abilities to repay debt or effect fiscal policy;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of new offerings or enhancements by us or our competitors;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unusual events such as significant acquisitions, divestitures, regulatory actions, and litigation;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rules, or regulations applicable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outstanding debt service obligations;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actions by activist shareholders or others, and our response to such actions;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including factors unrelated to our operating performance, such as instability affecting the economy or the operating performance of our competitors.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As a result of our strategy of partnering with other companies for product development, our product delivery schedules could be adversely affected if we experience difficulties with our product development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incorporate AI into our offerings, and challenges with properly managing its use could result in competitive harm, reputational harm, or liability, and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building AI into many of our offerings. We expect to rely on AI technologies to help drive future growth in our business, but there can be no assurance that we will realize the desired or anticipated benefits from AI or at all. We may also fail to properly implement or market our AI offerings. As with many innovations, AI presents risks and challenges that could affect its adoption, and therefore our business. Our competitors or other third parties may incorporate AI into their products more quickly or more successfully than us, which could impair our ability to compete effectively and adversely affect our results of operations. Additionally, our offerings based on AI may expose us to additional lawsuits and regulatory investigations and other proceedings and subject us to legal liability as well as brand and reputational harm. For example, if the content, analyses, or recommendations that AI applications assist in producing are or are alleged to be deficient, inaccurate, or biased, our business, financial condition, and results of operations may be adversely affected. The use of AI applications has resulted in, and may in the future result in, cybersecurity incidents that implicate the personal data of end users of such applications. Any such cybersecurity incidents related to our use of AI applications could adversely affect our reputation and results of operations.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Social and ethical issues relating to the use of new and evolving technologies such as AI in our offerings, may result in reputational harm and liability, and may cause us to incur additional research and development costs to resolve such issues. AI presents emerging ethical issues and if we enable or offer solutions that draw controversy due to their perceived or actual impact on society, we may experience brand or reputational harm, competitive harm, or legal liability. Government regulation addressing AI ethics or other aspects of the development or use of AI may also increase the burden and cost of research and development in this area, subjecting us to brand or reputational harm, competitive harm, or legal liability. For example, the European Union’s Artificial Intelligence Act (the “AI Act”), which achieved approval by the European Council on February 2, 2024, and the European Parliament on March 13, 2024, will impose obligations on providers and users of artificial intelligence technologies. Some U.S. states have proposed, and in certain cases enacted, laws addressing aspects of the development and use of AI. Failure to address AI ethical and regulatory issues by us or others in our industry could undermine public confidence in AI, slow adoption of AI in our products and services, and subject us to claims, demands, and proceedings from private actors, regulatory investigations and other proceedings by regulatory authorities, and fines, penalties, and other liabilities.</w:t>
      </w:r>
    </w:p>
    <w:p>
      <w:pPr>
        <w:pStyle w:val="TextBody"/>
        <w:bidi w:val="0"/>
        <w:spacing w:before="0" w:after="0"/>
        <w:ind w:left="0" w:right="0" w:firstLine="45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Audit Committee internal investigation has been time-consuming and expensive, has resulted in the filing of lawsuits, and may result in additional expense and/or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April 1, 2024, the Audit Committee commenced an internal investigation with the assistance of outside counsel and advisors, regarding Autodesk’s free cash flow and non-GAAP operating margin practices. The results of that investigation were announced on May 31, 2024.</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expenses, including audit, legal, consulting and other professional fees, in connection with the investigation, and we could be forced to incur significant additional time and expense as a result of the investigation. The incurrence of significant additional expense, or the requirement that management devote significant time that could reduce the time available to execute on our business strategies, could have an adverse effect on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Autodesk voluntarily contacted the Securities and Exchange Commission (the “SEC”) to advise it that an internal investigation was ongoing. Autodesk is cooperating with the SEC’s investigation.</w:t>
      </w:r>
      <w:r>
        <w:rPr>
          <w:color w:val="000000"/>
        </w:rPr>
        <w:t xml:space="preserve"> </w:t>
      </w:r>
      <w:r>
        <w:rPr>
          <w:rFonts w:ascii="Times New Roman;sans-serif" w:hAnsi="Times New Roman;sans-serif"/>
          <w:b w:val="false"/>
          <w:color w:val="000000"/>
          <w:sz w:val="20"/>
        </w:rPr>
        <w:t>Furthermore, if the SEC commences legal action, we could be required to pay significant penalties and become subject to injunctions, a cease and desist order and other equitable remedies.</w:t>
      </w:r>
      <w:r>
        <w:rPr>
          <w:color w:val="000000"/>
        </w:rPr>
        <w:t xml:space="preserve"> </w:t>
      </w:r>
      <w:r>
        <w:rPr>
          <w:rFonts w:ascii="Times New Roman;sans-serif" w:hAnsi="Times New Roman;sans-serif"/>
          <w:b w:val="false"/>
          <w:color w:val="000000"/>
          <w:sz w:val="20"/>
        </w:rPr>
        <w:t>In addition, the United States Attorney’s Office for the Northern District of California contacted us regarding the Audit Committee investigation. We cannot guarantee that we will not receive inquiries from other regulatory authorities regarding the investigation, or that we will not be subject to future claims, investigations or proceedings. Any future inquiries from the SEC or other regulatory authorities, or future claims or proceedings or any related regulatory investigation will, regardless of the outcome, likely consume a significant amount of our internal resources and result in additional legal and accounting costs.</w:t>
      </w:r>
      <w:r>
        <w:rPr>
          <w:color w:val="000000"/>
        </w:rPr>
        <w:t xml:space="preserve"> </w:t>
      </w:r>
      <w:r>
        <w:rPr>
          <w:rFonts w:ascii="Times New Roman;sans-serif" w:hAnsi="Times New Roman;sans-serif"/>
          <w:b w:val="false"/>
          <w:color w:val="000000"/>
          <w:sz w:val="20"/>
        </w:rPr>
        <w:t>We can provide no assurances as to the outcome of any governmental investigation.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and certain of our officers and directors have been named in purported shareholder litigation arising out of our announcement of the investigation. For additional discussion, see Part I, Item 3. Legal Proceedings and Note 11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Financial Statements. The pending litigation, and any future litigation, investigation or other actions that may be filed or initiated against us or our officers or directors, may be time consuming and expensive. We cannot predict what losses we may incur in these litigation matters, and contingencies related to our obligations under the federal and state securities laws, or in other legal proceedings or governmental investigations or proceedings related to these matters.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legal proceedings, if decided adversely to us, could result in significant monetary damages, penalties and reputational harm, and will likely involve significant defense and other costs. We have entered into indemnification agreements with each of our directors and certain of our officers, and our bylaws require us to indemnify each of our directors and officers. Further, our insurance may not cover all claims that have been or may be brought against us, and insurance coverage may not continue to be available to us at a reasonable cost. As a result, we may be exposed to substantial uninsured liabilities, including pursuant to our indemnification obligations, which could adversely affect our business, prospects,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Our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Security breaches or incidents may compromise the integrity of our or our customers’ systems, solutions, offerings, services, applications, data, or intellectual property, harm our reputation, damage our competitiveness, create additional liability, and adversely impact our financial results.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digitize Autodesk and use cloud- and web-based technologies to leverage customer data to deliver the total customer experience, we are exposed to increased security risks and the potential for unauthorized access to, or improper use, disclosure, or other processing of, our and our customers’ information. Like other software offerings and systems, ours are vulnerable to security breaches and incidents, including those from acquired companies. Also, our ability to mitigate the risk of security breaches and incidents may be impacted by our limited control over our customers or third-party technology providers and vendors, or the processing of data by third-party technology providers and vendors, which may not allow us to maintain the integrity or security of such transmissions or processing. We devote significant resources in an effort to maintain the security and integrity of our systems, offerings, services, and applications (online, mobile, and desktop). Despite these efforts, we have been subject to security breaches and incidents, and we face the risks of them occurring in the future, as well as the risks of delays and other difficulties in identifying, responding to, or remediating security breaches or incidents.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Hackers regularly have targeted our systems, offerings, services, and applications, and we expect them to do so in the future. To date, we have not considered any such identified security events as material to us, including to our reputation or business operations, or had a material financial impact, but there can be no assurance that future cyberattacks will not be material or otherwise significant. Security breaches or incidents disrupt the proper functioning of our systems, solutions, offerings, applications, or services; cause errors in the output of our customers’ work; allow unauthorized access to or unauthorized use, disclosure, modification, loss, unavailability, or destruction of, sensitive data or intellectual property, including proprietary or confidential information of ours or our customers; or cause other destructive or disruptive outcomes. The risk of a security incident, particularly through cyber-attack or cyber intrusion, including by computer hackers, foreign governments, and cyber terrorists, has increased as the number, intensity, and sophistication of attempted attacks and intrusions from around the world have increased. These threats include, among others, identity theft, unauthorized access, DNS attacks, wireless network attacks, viruses and worms, malware, bugs, vulnerabilities, advanced persistent threats, application-centric attacks, peer-to-peer attacks, social engineering, phishing, credential stuffing, malicious file uploads, backdoor trojans, supply chain attacks, ransomware attacks, and distributed denial of service attacks. In addition, third parties may attempt to fraudulently induce our employees, vendors, partners, customers, or users to disclose information to gain access to our data or our customers’ or users’ data and there is the risk of employee, contractor, or vendor error or malfeasance. These existing risks are compounded given the shift in recent years to work-from-home arrangements for a large population of employees and contractors, as well as employees and contractors of our third-party technology providers and vendors, and the risks could also be elevated in connection with the ongoing wars between Ukraine and Russia and between Israel and Hamas as we and our third-party technology providers and vendors are vulnerable to a heightened risk of cyberattacks from or affiliated with nation-state actors, including retaliatory attacks from Russian actors against U.S.-based companies. Additionally, these threats continue to evolve in sophistication and volume and are difficult to detect and predict due to advances in electronic warfare techniques, advances in cryptography and other technologies, including AI and machine learning. Our use of AI may also increase our risks of being subject to a security breach or incident. Despite our significant efforts to create security barriers to such threats, we cannot entirely mitigate these risks, and there is no guarantee that inadvertent or unauthorized use or disclosure of such information will not occur or that third parties will not gain unauthorized access to such information.</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governments have enacted laws requiring companies to provide notice of security breaches or incidents involving certain types of personal data and personal information. We are also contractually required to notify certain customers of certain security breaches or incidents. Any security breach or incident suffered, or believed to have been suffered, by us or by our technology providers or vendors could result in harm to our reputation and competitive position, difficulty attracting new customers (including government customers), retaining existing customers, and securing payment from customers,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expenditure of significant capital and other resources to evaluate and alleviate the security incident and to try to prevent further or additional incidents, and regulatory inquiries, investigations, and other proceedings, private claims, demands, lawsuits, potential liability, and the potential loss of our authorization under the Federal Risk and Authorization Management Program (“FedRAMP”).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security breach or incident, and our financial performance could be negatively impacted.</w:t>
      </w: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limitations of liability provisions in our contracts would be enforceable or adequate or would otherwise protect us from any liabilities or damages with respect to any particular claim relating to a security incident. We also cannot be sure that our existing insurance coverage will continue to be available on acceptable terms or will be available in sufficient amounts to cover one or more large claims related to a security incident,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Our use</w:t>
      </w:r>
      <w:r>
        <w:rPr>
          <w:color w:val="000000"/>
        </w:rPr>
        <w:t xml:space="preserve"> </w:t>
      </w:r>
      <w:r>
        <w:rPr>
          <w:rFonts w:ascii="Times New Roman;sans-serif" w:hAnsi="Times New Roman;sans-serif"/>
          <w:b w:val="false"/>
          <w:i/>
          <w:color w:val="000000"/>
          <w:sz w:val="20"/>
        </w:rPr>
        <w:t>of third-party</w:t>
      </w:r>
      <w:r>
        <w:rPr>
          <w:color w:val="000000"/>
        </w:rPr>
        <w:t xml:space="preserve"> </w:t>
      </w:r>
      <w:r>
        <w:rPr>
          <w:rFonts w:ascii="Times New Roman;sans-serif" w:hAnsi="Times New Roman;sans-serif"/>
          <w:b w:val="false"/>
          <w:i/>
          <w:color w:val="000000"/>
          <w:sz w:val="20"/>
        </w:rPr>
        <w:t>open</w:t>
      </w:r>
      <w:r>
        <w:rPr>
          <w:color w:val="000000"/>
        </w:rPr>
        <w:t xml:space="preserve"> </w:t>
      </w:r>
      <w:r>
        <w:rPr>
          <w:rFonts w:ascii="Times New Roman;sans-serif" w:hAnsi="Times New Roman;sans-serif"/>
          <w:b w:val="false"/>
          <w:i/>
          <w:color w:val="000000"/>
          <w:sz w:val="20"/>
        </w:rPr>
        <w:t>source</w:t>
      </w:r>
      <w:r>
        <w:rPr>
          <w:color w:val="000000"/>
        </w:rPr>
        <w:t xml:space="preserve"> </w:t>
      </w:r>
      <w:r>
        <w:rPr>
          <w:rFonts w:ascii="Times New Roman;sans-serif" w:hAnsi="Times New Roman;sans-serif"/>
          <w:b w:val="false"/>
          <w:i/>
          <w:color w:val="000000"/>
          <w:sz w:val="20"/>
        </w:rPr>
        <w:t>software</w:t>
      </w:r>
      <w:r>
        <w:rPr>
          <w:color w:val="000000"/>
        </w:rPr>
        <w:t xml:space="preserve"> </w:t>
      </w:r>
      <w:r>
        <w:rPr>
          <w:rFonts w:ascii="Times New Roman;sans-serif" w:hAnsi="Times New Roman;sans-serif"/>
          <w:b w:val="false"/>
          <w:i/>
          <w:color w:val="000000"/>
          <w:sz w:val="20"/>
        </w:rPr>
        <w:t>could negatively affect</w:t>
      </w:r>
      <w:r>
        <w:rPr>
          <w:color w:val="000000"/>
        </w:rPr>
        <w:t xml:space="preserve"> </w:t>
      </w:r>
      <w:r>
        <w:rPr>
          <w:rFonts w:ascii="Times New Roman;sans-serif" w:hAnsi="Times New Roman;sans-serif"/>
          <w:b w:val="false"/>
          <w:i/>
          <w:color w:val="000000"/>
          <w:sz w:val="20"/>
        </w:rPr>
        <w:t>our ability</w:t>
      </w:r>
      <w:r>
        <w:rPr>
          <w:color w:val="000000"/>
        </w:rPr>
        <w:t xml:space="preserve"> </w:t>
      </w:r>
      <w:r>
        <w:rPr>
          <w:rFonts w:ascii="Times New Roman;sans-serif" w:hAnsi="Times New Roman;sans-serif"/>
          <w:b w:val="false"/>
          <w:i/>
          <w:color w:val="000000"/>
          <w:sz w:val="20"/>
        </w:rPr>
        <w:t>to sell subscriptions to access</w:t>
      </w:r>
      <w:r>
        <w:rPr>
          <w:color w:val="000000"/>
        </w:rPr>
        <w:t xml:space="preserve"> </w:t>
      </w:r>
      <w:r>
        <w:rPr>
          <w:rFonts w:ascii="Times New Roman;sans-serif" w:hAnsi="Times New Roman;sans-serif"/>
          <w:b w:val="false"/>
          <w:i/>
          <w:color w:val="000000"/>
          <w:sz w:val="20"/>
        </w:rPr>
        <w:t>our products</w:t>
      </w:r>
      <w:r>
        <w:rPr>
          <w:color w:val="000000"/>
        </w:rPr>
        <w:t xml:space="preserve"> </w:t>
      </w:r>
      <w:r>
        <w:rPr>
          <w:rFonts w:ascii="Times New Roman;sans-serif" w:hAnsi="Times New Roman;sans-serif"/>
          <w:b w:val="false"/>
          <w:i/>
          <w:color w:val="000000"/>
          <w:sz w:val="20"/>
        </w:rPr>
        <w:t>and</w:t>
      </w:r>
      <w:r>
        <w:rPr>
          <w:color w:val="000000"/>
        </w:rPr>
        <w:t xml:space="preserve"> </w:t>
      </w:r>
      <w:r>
        <w:rPr>
          <w:rFonts w:ascii="Times New Roman;sans-serif" w:hAnsi="Times New Roman;sans-serif"/>
          <w:b w:val="false"/>
          <w:i/>
          <w:color w:val="000000"/>
          <w:sz w:val="20"/>
        </w:rPr>
        <w:t>subject us to possible litigation and greater security risks.</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open source software. From time to time, companies that use third-party open source software have faced claims challenging the use of such open source software and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distribute or make available across a network software and services that include open source software, to make publicly available or to license all or part of such software (which in some circumstances could include valuable proprietary code, such as modifications or derivative works created, based upon, incorporating, or using the open source software)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 applicable license, including claims of intellectual property rights infringement or for breach of contract. Furthermore, there exists today an increasing number of types of open source software licenses, almost none of which have been tested in courts of law to provide clarity on their proper legal interpretation. If we were to receive a claim of non-compliance with the terms of any of these open source licenses, we may be required to publicly release certain portions of our proprietary source code. We could also be required to expend substantial time and resources to re-engineer some or all of our software. Any of the foregoing could materially adversely affect our business, financial condition, results of operations, and prospects. </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materially adversely affect our business, financial condition, results of operations, and prospects and could help our competitors develop products and services that are similar to or better than ours.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rely on third parties to provide us with a number of operational and technical services; third-party security incidents could result in the loss of our or our customers’ data,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68" w:before="0" w:after="0"/>
        <w:ind w:left="0" w:right="0" w:firstLine="495"/>
        <w:jc w:val="left"/>
        <w:rPr/>
      </w:pPr>
      <w:r>
        <w:rPr>
          <w:rFonts w:ascii="Times New Roman;sans-serif" w:hAnsi="Times New Roman;sans-serif"/>
          <w:b w:val="false"/>
          <w:color w:val="000000"/>
          <w:sz w:val="20"/>
        </w:rPr>
        <w:t>We rely on third parties, such as Amazon Web Services, to provide us with operational and technical services. These third parties may have access to our systems, provide hosting services, or otherwise process data about us or our customers, employees, or partners. Our ability to monitor such third parties’ security measures is limited. There have been and may continue to be significant supply chain attacks, and we cannot guarantee that our or our such third parties’ systems have not been breached or otherwise compromised or that they do not contain exploitable defects, bugs, or vulnerabilities that could result in an incident, breach, or other disruption to, our or these third parties’ systems. Any security breach or incident involving such third parties could compromise the integrity or availability of, or result in the theft</w:t>
      </w:r>
      <w:r>
        <w:rPr>
          <w:color w:val="000000"/>
        </w:rPr>
        <w:t xml:space="preserve"> </w:t>
      </w:r>
      <w:r>
        <w:rPr>
          <w:rFonts w:ascii="Times New Roman;sans-serif" w:hAnsi="Times New Roman;sans-serif"/>
          <w:b w:val="false"/>
          <w:color w:val="000000"/>
          <w:sz w:val="20"/>
        </w:rPr>
        <w:t xml:space="preserve">or unauthorized use, modification, or other processing of, our and our customers’ data. In addition, our operations or the operations of our customers or partners could be negatively affected in the event of a security breach or incident and could be subject to the loss or theft of confidential or proprietary information, including source code. Unauthorized access to or other processing of data and other confidential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regulatory investigation, fines, and potential liability, and our financial results could be negatively impacted.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Delays in service from third-party service providers could expose us to liability, harm our reputation, damage our competitiveness, and adversely impact our financial results.</w:t>
      </w:r>
    </w:p>
    <w:p>
      <w:pPr>
        <w:pStyle w:val="TextBody"/>
        <w:bidi w:val="0"/>
        <w:spacing w:before="0" w:after="0"/>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rely on a single or limited number of suppliers, or upon suppliers in a single country, for the provision of services and materials that we use in the operation of our business and production of our solutions. Inability of such third parties to satisfy our requirements could disrupt our operations or make it more difficult for us to implement our strategy. If any of these situations were to occur, our reputation could be harmed, we could be subject to third-party liability, including under laws relating to privacy, data protection, and information security in certain jurisdictions, and our financial results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software solutions are highly complex and may contain undetected errors, defects, or vulnerabilities, and are subject to service disruptions, degradations, outages or other performance problems, each of which could harm our business and financial performance.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software solutions that we offer are complex and, despite extensive testing and quality control, may contain errors, defects, or vulnerabilities. Some errors, defects, or vulnerabilities in our software solutions may only be discovered after they have been released. In addition, we have experienced, and may in the future experience, service disruptions, degradations, outages, and other performance problems in connection with our software solutions.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errors, defects, vulnerabilities, service disruptions, degradations, outages or other performance problems could result in the need for corrective releases to our software solutions, damage to our reputation, damage to our customers’ businesses, loss of revenue, an increase in subscription cancellations, or lack of market acceptance of our offerings, any of which would likely harm our business and financial performance.</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sell our software products both directly to end users and through a network of distributors and resellers. For the three months ended April 30, 2025 and 2024, approximately 45% and 62%, respectively, of our revenue was derived from indirect channel sales primarily through distributors and resellers.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We rely significantly upon major distributors and resellers in both the U.S. and international regions. Of our distributors, TD Synnex accounted for 20% and 38% of our total net revenue for the three months ended April 30, 2025 and 2024, respectively. In connection with our new transaction model, we entered into agreements to provide transition distribution activities with certain distributors and entered into a new distribution agreement with TD Synnex for government business in certain jurisdictions. In connection with such transition agreements, we intend to increase our selling efforts with resellers and agents. During the transition period, we believe the resellers and end users who currently purchase our products through TD Synnex will be able to continue to do so, and following the transition period, we believe such end users will be able to continue to purchase our products from certain resellers or directly from Autodesk, in each case under substantially the same terms and without substantial disruption to our revenue. However, if during the transition period, TD Synnex was to experience a significant business disruption or if our relationship with either were to significantly deteriorate, it is possible that our ability to sell to end users would, at least temporarily, be negatively impacted. Also, if any of our assumptions about our end users, resellers, distributors, or agents or our direct selling capabilities proves incorrect, these changes could harm our business.</w:t>
      </w:r>
      <w:r>
        <w:rPr>
          <w:color w:val="000000"/>
        </w:rPr>
        <w:t xml:space="preserve"> </w:t>
      </w:r>
      <w:r>
        <w:rPr>
          <w:rFonts w:ascii="Times New Roman;sans-serif" w:hAnsi="Times New Roman;sans-serif"/>
          <w:b w:val="false"/>
          <w:color w:val="000000"/>
          <w:sz w:val="20"/>
        </w:rPr>
        <w:t>This could, in turn, negatively impact our financial results.</w:t>
      </w:r>
    </w:p>
    <w:p>
      <w:pPr>
        <w:pStyle w:val="TextBody"/>
        <w:bidi w:val="0"/>
        <w:spacing w:before="0" w:after="0"/>
        <w:ind w:left="0" w:right="0" w:firstLine="45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Over time, we have modified and especially during the transition process noted above,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We rely on software from third parties, and a failure to properly manage our use of third-party software could result in increased costs or loss of revenue.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could be adversely affected if we are unable to attract and retain key personnel.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including sales leadership personnel, could make it difficult to meet key objectives, such as timely and effective product introductions and financial goals.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rely on third-party technologies and if we are unable to use or integrate these technologies, our solutions and service development may be delayed and our financial results negatively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increased costs or delays until equivalent software can be developed, identified, licensed, and integrated, which would likely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Disruptions in licensing relationships and with third-party developers could adversely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Increasing regulatory focus on privacy, data protection, and information security issues and new and expanding laws may impact our business and expose us to increased liability.</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and personal information of users from different jurisdictions globally. We also collect and otherwise process personal data and personal information of our employees and contractors. As a result, federal, state, and global laws relating to privacy, data protection, and information security apply to Autodesk’s personal data and personal information processing activities. The scope of these laws and regulations is rapidly evolving, subject to differing interpretations, may be inconsistent among jurisdictions, or conflict with other rules and is likely to remain uncertain for the foreseeable future. We also expect that there will continue to be new laws, regulations, and industry standards concerning privacy, data protection, and information security proposed and enacted in various jurisdictions. Globally, laws such as the General Data Protection Regulation (EU) 2016/679 (“GDPR”) in the European Union (“EU”) and the Personal Information Protection Law (“PIPL”) in China have been enacted, and numerous other countries have proposed or have enacted laws concerning privacy, data protection, and information security. In addition, new and emerging state laws in the United States governing privacy, data protection, and information security, such as the California Consumer Privacy Act (“CCPA”), the California Privacy Rights Act (“CPRA”), and numerous laws in other states, many of which provide for obligations similar to the CCPA and CPRA, have been enacted. These laws and regulations, as well as industry self-regulatory codes, industry standards, and other actual and asserted obligations to which we are or may be asserted to be subject, create new compliance obligations and substantially expand the scope of potential liability and provide greater penalties for non-compliance. For example, the GDPR provides for penalties of up to €20 million or 4% of a company’s annual global revenue, whichever is greater, the PIPL provides for penalties of up to 50 million renminbi or 5% of a company's annual revenue and disgorgement of all illegal gains, whichever is greater, and the CCPA provides for penalties of up to $7,500 per violation. These laws, regulations, and codes may also impact our innovation and business drivers in developing new and emerging technologies (e.g., AI and machine learning). These requirements, among others, may impact demand for our offerings and force us to bear the burden of expanded obligations in our contracts. </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In addition, there is continued instability of international personal data transfer legal mechanisms that are complex, uncertain, and subject to active litigation and enforcement actions in a number of jurisdictions around the world.</w:t>
      </w:r>
      <w:r>
        <w:rPr>
          <w:color w:val="000000"/>
        </w:rPr>
        <w:t xml:space="preserve"> </w:t>
      </w:r>
      <w:r>
        <w:rPr>
          <w:rFonts w:ascii="Times New Roman;sans-serif" w:hAnsi="Times New Roman;sans-serif"/>
          <w:b w:val="false"/>
          <w:color w:val="000000"/>
          <w:sz w:val="20"/>
        </w:rPr>
        <w:t xml:space="preserve">For example, on June 4, 2021, the European Commission published a new set of modular standard contractual clause (“SCCs”), which became effective on June 29, 2021. The SCCs impose on companies obligations relating to personal data transfers, including the obligation to conduct a transfer impact assessment and, depending on a party’s role in the transfer, to implement additional security measures and to update internal privacy practices. We may, in addition to other impacts, be required to expend significant time and resources to update our contractual arrangements and to comply with new obligations, and we face exposure to regulatory actions, substantial fines and injunctions in connection with transfers of personal data from the EU or other regions.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United Kingdom’s (“UK”) exit from the EU, and ongoing developments in the UK, have created uncertainty with regard to data protection regulation in the UK. Personal data processing in the UK is governed by the UK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Data Protection Regulation and supplemented by other domestic data protection laws, such as the UK Data Protection Act 2018, which authorizes fines of up to £17.5 million or 4% of annual global revenue, whichever is higher. We are also exposed to potentially divergent enforcement actions for certain violations. Furthermore, the new SCCs apply only to the transfer of personal data outside the EU and not the UK. Although the European Commission adopted an adequacy decision for the UK on June 28, 2021, allowing the continued flow of personal data from the EU to the UK, this decision will be regularly reviewed going forward, requires renewal, and may be revoked or not renewed if the UK diverges from its current adequate data protection laws following its exit from the EU. The UK has proposed legislation that would modify its data protection regime in manners that deviate from the GDPR, and the European Commission has proposed extending its adequacy renewal decision for the UK’s data protection regime until December 27, 2025, in order to assess any modified data protection regime that the UK may enact. On February 2, 2022, the UK’s Information Commissioner’s Office issued new standard contractual clauses to support personal data transfers out of the UK (“UK SCCs”), which became effective March 21, 2022. Following issuance of a U.S. executive order, a new framework, the EU-U.S. Data Privacy Framework (“DPF”) was created. Following an adequacy decision issued by the European Commission on July 10, 2023, the DPF, along with a UK extension to the DPF that allows the transfer of personal data from the UK to the U.S. (the “UK DPF Extension”) and the Swiss-U.S. Data Privacy Framework (“Swiss-U.S. DPF”), are available for companies to make use of to legitimize personal data transfers to the U.S. from the European Economic Area, Switzerland, and UK. We have certified to the U.S. Department of Commerce that we adhere to the DPF, UK DPF Extension, and Swiss-U.S. DPF. However, the DPF has been subject to a legal challenge, and it, the UK DPF Extension, and the Swiss-U.S. DPF may be subject to legal challenges in the future from privacy advocacy groups or others. Further, the European Commission’s adequacy decision regarding the EU-U.S. DPF provides that the EU-U.S. DPF will be subject to future reviews and may be subject to suspension, amendment, repeal, or limitations to its scope by the European Commission. We may, in addition to other impacts, experience additional costs associated with increased compliance burdens and be required to engage in new contract negotiations with third parties that aid in processing personal data on our behalf or localize certain personal data.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several European data protection authorities have indicated that the use of Google Analytics by European website operators involves the unlawful transfer of personal data to the United States. As the enforcement landscape further develops, and depending on the impacts of these rulings and other developments with respect to cross-border data transfer, we could suffer additional costs, complaints and/or regulatory investigations or fines, have to stop using certain tools and vendors, and make other operational changes.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Several other countries, including China, Australia, New Zealand, Brazil, and Japan, have also established specific legal requirements for cross-border data transfers. There is also an increasing trend towards data localization policies. For example, China and India have introduced localization requirements for certain data. Other countries also are considering data localization requirements. If this trend continues, and countries implement more restrictive regulations for cross-border personal data transfers (or do not permit personal data to leave the country of origin), it could affect the manner in which we provide our services, the geographical location or segregation of our relevant systems and operations, and our business, financial condition, and results of operations in those jurisdictions could be impacted.</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In addition, the CPRA and many other new state laws addressing privacy and information security, including those that have become or will become effective in 2025, provide for additional obligations such as data minimization and storage limitations, granting additional rights to consumers such as correction of personal information and additional opt-out rights.</w:t>
      </w:r>
      <w:r>
        <w:rPr>
          <w:color w:val="000000"/>
        </w:rPr>
        <w:t xml:space="preserve"> </w:t>
      </w:r>
      <w:r>
        <w:rPr>
          <w:rFonts w:ascii="Times New Roman;sans-serif" w:hAnsi="Times New Roman;sans-serif"/>
          <w:b w:val="false"/>
          <w:color w:val="000000"/>
          <w:sz w:val="20"/>
        </w:rPr>
        <w:t>The CPRA also created a new agency to implement and enforce the law. These new state laws have required us to modify our data processing practices and policies and may cause us to</w:t>
      </w:r>
      <w:r>
        <w:rPr>
          <w:color w:val="000000"/>
        </w:rPr>
        <w:t xml:space="preserve"> </w:t>
      </w:r>
      <w:r>
        <w:rPr>
          <w:rFonts w:ascii="Times New Roman;sans-serif" w:hAnsi="Times New Roman;sans-serif"/>
          <w:b w:val="false"/>
          <w:color w:val="000000"/>
          <w:sz w:val="20"/>
        </w:rPr>
        <w:t xml:space="preserve">make additional modifications, and to incur substantial costs and expenses, in our efforts to comply. Laws in all 50 states, and some of our contracts, require us to provide notice under certain circumstances to customers whose personal information has been disclosed as a result of a data breach. Also, if third parties we work with, such as suppliers, violate applicable data protection laws or regulations, such violations may also put our users’ information at risk and could materially adversely affect our business, financial condition, results of operations, and prospects. Additionally, in addition to government activity, privacy advocacy groups and technology and other industries are considering various new, additional, or different self-regulatory standards that may place, or be asserted to place, additional burdens on us. Evolving legislation and the interplay of federal and state laws may be subject to varying interpretations by courts and government agencies, creating complex compliance issues and have and may cause variation in requirements, increase restrictions and potential legal risk and impact strategies and the availability of previously useful data, potentially exposing us to additional expense, adverse publicity, and liability.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and the UK, regulators are increasingly focusing on compliance with requirements in the online behavioral advertising ecosystem. Recent European case law and regulators’ recent guidance are driving increased attention to cookies and tracking technologies. This could lead to substantial costs, require significant system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marketing and personalization activities and may negatively impact our efforts to understand our customers. The EU also has proposed, and in certain cases enacted, numerous regulations and directives addressing cybersecurity.</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Governments, regulators, plaintiffs’ attorneys, and privacy advocates have increased their focus on how companies collect, use, store, share, transmit, and otherwise process personal data and personal information. Any perception of our practices, products, offerings, or services as a violation of individual privacy or data protection rights may subject us to public criticism, lawsuits, reputational harm, or investigations, claims, demands, or other proceedings by regulators, industry groups or other third parties, all of which could disrupt or adversely impact our business and expose us to fines, penalties, and other liabilities. Moreover, because the interpretation and application of many laws, regulations, and other actual and asserted obligations relating to privacy, data protection, and cybersecurity are uncertain, it is possible that these laws, regulations, and obligations may be interpreted and applied in a manner that is inconsistent with our practices or the features of our products, offerings, and services. We could be required to fundamentally change our business activities and practices or modify our offerings and services, any of which could require significant additional expense and adversely affect our business, including impacting our ability to innovate, delaying our development roadmap and adversely affecting our relationships with customers and our ability to compete. If we are obligated to fundamentally change our business activities and practices or modify our products, offerings, or services, we may be unable to make such changes and modifications in a commercially reasonable manner, or at all, and our ability to develop new products, offerings, and services could be limited.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governmental export and import controls that could impair our ability to compete in international markets or subject us to liability if we violate the controls.</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Our offerings are subject to export controls and economic sanctions laws and regulations that prohibit the delivery of certain solutions and services or the export to locations, governments, and persons targeted by applicable sanctions</w:t>
      </w:r>
      <w:r>
        <w:rPr>
          <w:color w:val="000000"/>
        </w:rPr>
        <w:t xml:space="preserve"> </w:t>
      </w:r>
      <w:r>
        <w:rPr>
          <w:rFonts w:ascii="Times New Roman;sans-serif" w:hAnsi="Times New Roman;sans-serif"/>
          <w:b w:val="false"/>
          <w:color w:val="000000"/>
          <w:sz w:val="20"/>
        </w:rPr>
        <w:t xml:space="preserve">without the required export authorizations.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controls and sanctions laws and regulations.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controls and sanctions compliance requirements in our channel partner agreements. Complying with export controls and sanctions laws and regulations for a particular sale may be time-consuming and may result in the delay or loss of sales opportunities. Violations of applicable sanctions or export control laws or regulations can result in fines or penalties.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additional risks regarding sanctions and trade protectionism, please see the risk factor entitled “We are dependent on international revenue and operations . . .” earlier in this section.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are not able to adequately protect our proprietary rights,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may face intellectual property infringement claims that could be costly to defend and result in the loss of significant rights.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 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Contracting with government entities exposes us to additional risks inherent in the government procurement process.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which are subject to change by the government, and which may require significant upfront cost, time, and resources, with no assurance that we will secure contracts with government entities. Furthermore, government certification requirements applicable to our platform, including FedRAMP, may change and, in doing so, restrict our ability to sell into the governmental sector until we have attained the full or revised certification. Governmental entities may also have statutory, contractual or other legal rights to terminate contracts with us or our partners for convenience or for other reasons.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obtained authorization under FedRAMP for certain offerings, which facilitates our entry into the U.S. federal government market. Such certification is subject to rigorous compliance and if we lose our certification, it could inhibit or preclude our ability to contract with certain U.S. federal government customers. In addition, some customers may rely on our authorization under FedRAMP to help satisfy their own legal and regulatory compliance requirements and our failure to maintain FedRAMP authorization might result in a breach under public sector contracts obtained on the basis of such authorization. This could subject us to liability, result in reputational harm, and adversely impact our financial condition or operating results.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Risks Relating to Financial Developments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exposed to fluctuations in currency exchange rates that could negatively impact our financial results and cash flows.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revenue and expense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may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global events, including geopolitical and economic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debt service obligations may adversely affect our financial condition and cash flows from operations.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$2.30 billion of principal debt, consisting of notes due at various times from June 2025 to December 2031, as of April 30, 2025, as described in Part I, Item 1. In May 2025, we also entered into the 2025 Credit Agreement, which provides for an unsecured revolving loan facility in the aggregate principal amount of $1.5 billion, with an option to increase the principal amount to $2.0 billion subject to receipt of additional commitments and other customary conditions, as described in Part I, Item 1, Note 22, “Subsequent Events”. Maintenance of our indebtedness, contractual restrictions, and additional issuances of indebtedness could:</w:t>
      </w:r>
    </w:p>
    <w:p>
      <w:pPr>
        <w:pStyle w:val="TextBody"/>
        <w:bidi w:val="0"/>
        <w:spacing w:before="0" w:after="0"/>
        <w:ind w:left="0" w:right="0" w:firstLine="450"/>
        <w:jc w:val="left"/>
        <w:rPr/>
      </w:pPr>
      <w:r>
        <w:rPr/>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 xml:space="preserve">cause us to dedicate a substantial portion of our cash flows from operations towards debt service obligations and principal repayments;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vulnerability to adverse changes in general economic, industry, and competitive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our industry;</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0"/>
        </w:rPr>
        <w:t>impair our ability to obtain future financing for working capital, capital expenditures, acquisitions, general corporate, or other purposes;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comply with the covenants set forth in the 2025 Credit Agreement. If we breach any of the covenants and do not obtain a waiver from the lenders, then, subject to applicable cure periods, we would not be able to incur additional indebtedness under the 2025 Credit Agreement described in Part I, Item 1, Note 22, “Subsequent Events”, and the lenders under the 2025 Credit Agreement could declare any outstanding indebtedness under the 2025 Credit Agreement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the 2025 Credit Agreement could increase. Downgrades in our credit ratings could also restrict our ability to obtain additional financing in the future and could affect the terms of any such financing.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 loss on any of our investments may cause us to record an other-than-temporary impairment charge. The effect of this charge could impact our overall net income and earnings per share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In any of these scenarios, our liquidity may be negatively impacted, which in turn may prohibit us from making investments in our business, taking advantage of opportunities, and potentially meeting our financial obligations as they come due.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tax rules and regulations, and uncertainties in interpretation and application, could materially affect our tax obligations and effective tax rate.</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U.S.-based multinational company subject to tax in multiple U.S. and foreign tax jurisdictions. Our effective tax rate is primarily based on our geographic mix of earnings; statutory rates; stock-based compensation; intercompany arrangements, including the manner in which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challenged by tax authorities and, if our positions are not sustained, may have a significant impact on our effective tax rate and cash taxes. </w:t>
      </w:r>
    </w:p>
    <w:p>
      <w:pPr>
        <w:pStyle w:val="TextBody"/>
        <w:bidi w:val="0"/>
        <w:spacing w:before="0" w:after="0"/>
        <w:jc w:val="left"/>
        <w:rPr/>
      </w:pPr>
      <w:r>
        <w:rPr/>
      </w:r>
    </w:p>
    <w:p>
      <w:pPr>
        <w:pStyle w:val="TextBody"/>
        <w:bidi w:val="0"/>
        <w:spacing w:lineRule="auto" w:line="268" w:before="0" w:after="0"/>
        <w:ind w:left="0" w:right="0" w:firstLine="450"/>
        <w:jc w:val="left"/>
        <w:rPr/>
      </w:pPr>
      <w:r>
        <w:rPr>
          <w:rFonts w:ascii="Times New Roman;sans-serif" w:hAnsi="Times New Roman;sans-serif"/>
          <w:b w:val="false"/>
          <w:color w:val="000000"/>
          <w:sz w:val="20"/>
        </w:rPr>
        <w:t>Tax laws in the United States and in foreign tax jurisdictions are dynamic and subject to change as new laws are passed and new interpretations of the law are issued or applied. Due to the complexity and varying interpretations of new and existing tax laws, the U.S. Department of Treasury and other standard-setting bodies have issued and will continue to issue regulations and interpretative guidance that could significantly impact how we will apply the law and the ultimate effect on our results of operations, including for our prior tax years.</w:t>
      </w:r>
      <w:r>
        <w:rPr>
          <w:color w:val="000000"/>
        </w:rPr>
        <w:t xml:space="preserve"> </w:t>
      </w:r>
      <w:r>
        <w:rPr>
          <w:rFonts w:ascii="Times New Roman;sans-serif" w:hAnsi="Times New Roman;sans-serif"/>
          <w:b w:val="false"/>
          <w:color w:val="000000"/>
          <w:sz w:val="20"/>
        </w:rPr>
        <w:t>In addition, increases in corporate tax rates, could increase our effective tax rate, cash taxes and have an adverse effect on our results from operations.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Increasingly, tax authorities are reviewing existing corporate tax regulatory and legal regimes. Many countries are actively considering or implementing new taxing regimes and changes to existing tax laws. This could include U.S. and foreign tax law developments related to changes to long-standing tax principles arising from proposals made by the Organization for Economic Co-operation and Development that seek to allocate greater taxing rights to countries where customers are located and establish a global minimum tax rate of 15%. If U.S. or foreign tax authorities change applicable tax laws or successfully challenge how or where our profits are currently recognized, our overall taxes could increase, and our business, financial condition, or results of operations may be adversely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If we were required to record an impairment charge related to the value of our long-lived assets or an additional valuation allowance against our deferred tax assets, our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w:t>
      </w:r>
      <w:r>
        <w:rPr>
          <w:color w:val="000000"/>
        </w:rPr>
        <w:t xml:space="preserve"> </w:t>
      </w:r>
      <w:r>
        <w:rPr>
          <w:rFonts w:ascii="Times New Roman;sans-serif" w:hAnsi="Times New Roman;sans-serif"/>
          <w:b w:val="false"/>
          <w:color w:val="000000"/>
          <w:sz w:val="20"/>
        </w:rPr>
        <w:t>We continue to have a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may be significantly disrupted upon the occurrence of a catastrophic event.</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services due to a catastrophic event, such as an earthquake, fire, flood, tsunami, weather event, other climate-related events (such as drought, water security, heat waves, cold waves, and poor air quality), telecommunications failure, power failure, cyber-attack, terrorism or war (including the ongoing wars between Ukraine and Russia and between Israel and Hamas, and any related political or economic responses and counter-responses or otherwise by various global actors or the general effect on the global economy),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existing financial accounting standards or practices, or taxation rules or practices may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 preparing our financial statements we make certain assumptions, judgments, and estimates that affect amounts reported in our consolidated financial statements which, if not accurate, may significantly impact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make assumptions, judgments, and estimates for a number of items, including revenue recognition for product subscriptions and enterprise business agreements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uncertain tax positions, variable compensation, partner incentive programs,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sales of unregistered securities during the three months ended April 30, 2025.</w:t>
      </w:r>
    </w:p>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issuer purchases of equity securities required by this Item is incorporated by reference herein to the section of this Report entitled "Issuer Purchases of Equity Securities" in Part I, Item 2, “Management's Discussion and Analysis of Financial Condition and Results of Operations,” above.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before="0" w:after="0"/>
        <w:ind w:left="0" w:right="0" w:firstLine="495"/>
        <w:jc w:val="left"/>
        <w:rPr/>
      </w:pPr>
      <w:r>
        <w:rPr/>
      </w:r>
    </w:p>
    <w:p>
      <w:pPr>
        <w:pStyle w:val="TextBody"/>
        <w:bidi w:val="0"/>
        <w:spacing w:lineRule="auto" w:line="268" w:before="0" w:after="0"/>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ended April 30, 2025, the following officer(s), as defined in Rule 16a-1(f), adopted a “Rule 10b5-1 trading arrangement” as defined in Regulation S-K Item 408, as follows: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2025, Rebecca Pearce, our Chief People Officer, adopted a new Rule 10b5-1 trading arrangement providing for the sale from time to time of an aggregate of up to 34,683 shares of our common stock. The trading arrangement is intended to satisfy the affirmative defense in Rule 10b5-1(c). The duration of the trading arrangement is until May 29, 2026, or earlier if all transactions under the trading arrangement are completed.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as defined in Rule 16a-1(f), or directors adopted or terminated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incorporated by reference as part of this Quarterly Report on Form 10-Q.</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18"/>
        <w:gridCol w:w="243"/>
        <w:gridCol w:w="245"/>
        <w:gridCol w:w="109"/>
        <w:gridCol w:w="109"/>
        <w:gridCol w:w="109"/>
        <w:gridCol w:w="1876"/>
        <w:gridCol w:w="1662"/>
        <w:gridCol w:w="1668"/>
        <w:gridCol w:w="109"/>
        <w:gridCol w:w="109"/>
        <w:gridCol w:w="109"/>
        <w:gridCol w:w="303"/>
        <w:gridCol w:w="303"/>
        <w:gridCol w:w="304"/>
        <w:gridCol w:w="170"/>
        <w:gridCol w:w="170"/>
        <w:gridCol w:w="171"/>
        <w:gridCol w:w="297"/>
        <w:gridCol w:w="205"/>
        <w:gridCol w:w="207"/>
        <w:gridCol w:w="210"/>
        <w:gridCol w:w="210"/>
        <w:gridCol w:w="211"/>
        <w:gridCol w:w="226"/>
        <w:gridCol w:w="226"/>
        <w:gridCol w:w="326"/>
      </w:tblGrid>
      <w:tr>
        <w:trPr/>
        <w:tc>
          <w:tcPr>
            <w:tcW w:w="31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Incorporation by Reference</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SEC File No.</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Filing Date</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dsk-globalrsuagreementx20.htm">
              <w:r>
                <w:rPr>
                  <w:rStyle w:val="InternetLink"/>
                  <w:rFonts w:ascii="Times New Roman;sans-serif" w:hAnsi="Times New Roman;sans-serif"/>
                  <w:b w:val="false"/>
                  <w:color w:val="0000FF"/>
                  <w:sz w:val="18"/>
                  <w:u w:val="single"/>
                </w:rPr>
                <w:t>Autodesk, Inc. 2022 Equity Incentive Plan Form of Global RSU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80"/>
                  <w:sz w:val="18"/>
                  <w:u w:val="single"/>
                </w:rPr>
                <w:t>Agreement, dated April 23, 2025, between the Company, Starboard Value and Opportunity Master Fund Ltd and the entities and natural person listed on the signature pages</w:t>
              </w:r>
            </w:hyperlink>
            <w:hyperlink r:id="rId3">
              <w:r>
                <w:rPr>
                  <w:rStyle w:val="InternetLink"/>
                  <w:rFonts w:ascii="Times New Roman;sans-serif" w:hAnsi="Times New Roman;sans-serif"/>
                  <w:b w:val="false"/>
                  <w:color w:val="000080"/>
                  <w:sz w:val="18"/>
                  <w:u w:val="single"/>
                </w:rPr>
                <w:t xml:space="preserve"> attached thereto.</w:t>
              </w:r>
            </w:hyperlink>
            <w:hyperlink r:id="rId4">
              <w:r>
                <w:rPr>
                  <w:rStyle w:val="InternetLink"/>
                  <w:rFonts w:ascii="Times New Roman;sans-serif" w:hAnsi="Times New Roman;sans-serif"/>
                  <w:b w:val="false"/>
                  <w:color w:val="000080"/>
                  <w:sz w:val="18"/>
                  <w:u w:val="single"/>
                </w:rPr>
                <w:t xml:space="preserve">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000-14338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24, 2025</w:t>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odesk-revolvingcreditag.htm">
              <w:r>
                <w:rPr>
                  <w:rStyle w:val="InternetLink"/>
                  <w:rFonts w:ascii="Times New Roman;sans-serif" w:hAnsi="Times New Roman;sans-serif"/>
                  <w:b w:val="false"/>
                  <w:color w:val="0000FF"/>
                  <w:sz w:val="18"/>
                  <w:u w:val="single"/>
                </w:rPr>
                <w:t>Credit Agreement, dated May 8, 2025, by and among Autodesk, Inc., the lenders party thereto, and Citibank,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302025ex311.htm">
              <w:r>
                <w:rPr>
                  <w:rStyle w:val="InternetLink"/>
                  <w:rFonts w:ascii="Times New Roman;sans-serif" w:hAnsi="Times New Roman;sans-serif"/>
                  <w:b w:val="false"/>
                  <w:color w:val="0000FF"/>
                  <w:sz w:val="18"/>
                  <w:u w:val="single"/>
                </w:rPr>
                <w:t>Certification of Chief Executive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302025ex312.htm">
              <w:r>
                <w:rPr>
                  <w:rStyle w:val="InternetLink"/>
                  <w:rFonts w:ascii="Times New Roman;sans-serif" w:hAnsi="Times New Roman;sans-serif"/>
                  <w:b w:val="false"/>
                  <w:color w:val="0000FF"/>
                  <w:sz w:val="18"/>
                  <w:u w:val="single"/>
                </w:rPr>
                <w:t>Certification of Chief Financial Officer pursuant to Rule 13a-14(a)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302025ex321.htm">
              <w:r>
                <w:rPr>
                  <w:rStyle w:val="InternetLink"/>
                  <w:rFonts w:ascii="Times New Roman;sans-serif" w:hAnsi="Times New Roman;sans-serif"/>
                  <w:b w:val="false"/>
                  <w:color w:val="0000FF"/>
                  <w:sz w:val="18"/>
                  <w:u w:val="single"/>
                </w:rPr>
                <w:t>Certification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 the cover page interactive date is embedded within the Inline XBRL document or included within the Exhibit 101 attachments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5"/>
        <w:gridCol w:w="110"/>
        <w:gridCol w:w="110"/>
        <w:gridCol w:w="2885"/>
        <w:gridCol w:w="2885"/>
        <w:gridCol w:w="4090"/>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Denotes a management contract or compensatory plan or arrangement.</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Exhibits omitted pursuant to Item 601(a)(5) of Regulation S-K. The Company will furnish a copy of any omitted exhibit to the Securities and Exchange Commission upon request. The Company may request confidential treatment pursuant to Rule 24b-2 of the Exchange Act for any exhibits so furnished.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 </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financial information contained in these XBRL documents is unaudited.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29, 2025 </w:t>
      </w:r>
    </w:p>
    <w:p>
      <w:pPr>
        <w:pStyle w:val="TextBody"/>
        <w:bidi w:val="0"/>
        <w:spacing w:lineRule="auto" w:line="288" w:before="0" w:after="0"/>
        <w:jc w:val="left"/>
        <w:rPr>
          <w:color w:val="000000"/>
        </w:rPr>
      </w:pPr>
      <w:r>
        <w:rPr>
          <w:color w:val="000000"/>
        </w:rPr>
        <w:t> </w:t>
      </w:r>
    </w:p>
    <w:tbl>
      <w:tblPr>
        <w:tblW w:w="3899" w:type="dxa"/>
        <w:jc w:val="right"/>
        <w:tblInd w:w="0" w:type="dxa"/>
        <w:tblLayout w:type="fixed"/>
        <w:tblCellMar>
          <w:top w:w="28" w:type="dxa"/>
          <w:left w:w="28" w:type="dxa"/>
          <w:bottom w:w="28" w:type="dxa"/>
          <w:right w:w="28" w:type="dxa"/>
        </w:tblCellMar>
      </w:tblPr>
      <w:tblGrid>
        <w:gridCol w:w="1247"/>
        <w:gridCol w:w="1097"/>
        <w:gridCol w:w="1555"/>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AUTODESK, INC.</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STEPHEN W. HOPE</w:t>
            </w:r>
          </w:p>
        </w:tc>
      </w:tr>
      <w:tr>
        <w:trPr/>
        <w:tc>
          <w:tcPr>
            <w:tcW w:w="3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Stephen W. Hope</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Vice President and Chief Accounting Officer</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Accounting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AUTODESK, INC.</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2022 EQUITY INCENTIVE PLAN</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TERMS AND CONDITIONS OF RESTRICTED STOCK UNITS</w:t>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(Settled in Shares)</w:t>
      </w:r>
    </w:p>
    <w:p>
      <w:pPr>
        <w:pStyle w:val="TextBody"/>
        <w:bidi w:val="0"/>
        <w:spacing w:before="0" w:after="0"/>
        <w:jc w:val="center"/>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 </w:t>
      </w:r>
      <w:r>
        <w:rPr>
          <w:rFonts w:ascii="Arial;sans-serif" w:hAnsi="Arial;sans-serif"/>
          <w:b w:val="false"/>
          <w:color w:val="000000"/>
          <w:sz w:val="20"/>
          <w:u w:val="single"/>
        </w:rPr>
        <w:t>Grant</w:t>
      </w:r>
      <w:r>
        <w:rPr>
          <w:rFonts w:ascii="Arial;sans-serif" w:hAnsi="Arial;sans-serif"/>
          <w:b w:val="false"/>
          <w:color w:val="000000"/>
          <w:sz w:val="20"/>
        </w:rPr>
        <w:t>. The Company hereby grants to the Employee (“Participant”) named in the Notice of Grant of Restricted Stock Units (the “Notice of Grant”) under the Autodesk, Inc. 2022 Equity Incentive Plan (the “Plan”) the number of Restricted Stock Units indicated on the Notice of Grant, subject to all of the terms and conditions in this Agreement (as defined in the Notice of Grant and Plan) and the Plan, which is incorporated herein by reference. When shares of the Company’s Common Stock (“Shares”) are issued to Participant in settlement of the Restricted Stock Units, par value shall be deemed paid by Participant for each Restricted Stock Unit by past services rendered by Participant, and shall be subject to the appropriate tax withholdings. Unless otherwise defined herein, capitalized terms used herein shall have the meanings ascribed to them in the Plan.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2. </w:t>
      </w:r>
      <w:r>
        <w:rPr>
          <w:rFonts w:ascii="Arial;sans-serif" w:hAnsi="Arial;sans-serif"/>
          <w:b w:val="false"/>
          <w:color w:val="000000"/>
          <w:sz w:val="20"/>
          <w:u w:val="single"/>
        </w:rPr>
        <w:t>Company’s Obligation to Settle</w:t>
      </w:r>
      <w:r>
        <w:rPr>
          <w:rFonts w:ascii="Arial;sans-serif" w:hAnsi="Arial;sans-serif"/>
          <w:b w:val="false"/>
          <w:color w:val="000000"/>
          <w:sz w:val="20"/>
        </w:rPr>
        <w:t xml:space="preserve">. Unless and until the Restricted Stock Units shall have vested in the manner set forth in Sections 3 or 4 of this Agreement or Section 15 of the Plan, Participant shall have no right to settlement of any such Restricted Stock Units. Prior to actual settlement of any vested Restricted Stock Units, such Restricted Stock Units shall represent an unsecured obligation of the Company. Settlement of any vested Restricted Stock Units will be made in whole Shares only.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3. </w:t>
      </w:r>
      <w:r>
        <w:rPr>
          <w:rFonts w:ascii="Arial;sans-serif" w:hAnsi="Arial;sans-serif"/>
          <w:b w:val="false"/>
          <w:color w:val="000000"/>
          <w:sz w:val="20"/>
          <w:u w:val="single"/>
        </w:rPr>
        <w:t>Vesting Schedule</w:t>
      </w:r>
      <w:r>
        <w:rPr>
          <w:rFonts w:ascii="Arial;sans-serif" w:hAnsi="Arial;sans-serif"/>
          <w:b w:val="false"/>
          <w:color w:val="000000"/>
          <w:sz w:val="20"/>
        </w:rPr>
        <w:t>. Except as provided in Section 4 of this Agreement and Section 15 of the Plan, and subject to Section 5 of this Agreement, the Restricted Stock Units awarded by this Agreement shall vest in accordance with the vesting provisions set forth in the Notice of Grant. Restricted Stock Units scheduled to vest on a certain date or upon the occurrence of a certain condition shall vest in accordance with the provisions of this Agreement only if Participant is an Employee from the Date of Grant until the date such vesting occurs.</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Arial;sans-serif" w:hAnsi="Arial;sans-serif"/>
          <w:b w:val="false"/>
          <w:color w:val="000000"/>
          <w:sz w:val="20"/>
        </w:rPr>
        <w:t xml:space="preserve">4. </w:t>
      </w:r>
      <w:r>
        <w:rPr>
          <w:rFonts w:ascii="Arial;sans-serif" w:hAnsi="Arial;sans-serif"/>
          <w:b w:val="false"/>
          <w:color w:val="000000"/>
          <w:sz w:val="20"/>
          <w:u w:val="single"/>
        </w:rPr>
        <w:t>Administrator Discretion</w:t>
      </w:r>
      <w:r>
        <w:rPr>
          <w:rFonts w:ascii="Arial;sans-serif" w:hAnsi="Arial;sans-serif"/>
          <w:b w:val="false"/>
          <w:color w:val="000000"/>
          <w:sz w:val="20"/>
        </w:rPr>
        <w:t xml:space="preserve">. Except to the extent doing so would result in the imposition of additional taxes under Section 409A of the Code, the Administrator, in its discretion, may accelerate the vesting of the balance, or some lesser portion of the balance, of the unvested Restricted Stock Units at any time, subject to the terms of the Plan. If so accelerated, the balance, or such lesser portion of the balance as applicable, of the Restricted Stock Units shall be considered as having vested as of the date specified by the Administrator. Notwithstanding anything in the Plan or this Agreement to the contrary, if the vesting of any portion of the balance of the Restricted Stock Units is accelerated in connection with Participant’s “separation from service” within the meaning of Section 409A of the Code (as determined by the Company), other than due to death, and if (x) Participant is a “specified employee” within the meaning of Section 409A of the Code at the time of such termination and (y) the settlement of such accelerated Restricted Stock Units shall result in the imposition of additional tax under Section 409A of the Code if issued to Participant on or within the six (6) month period following Participant’s termination as an Employee, then the settlement of such accelerated Restricted Stock Units shall not be made until the earlier of (A) six (6) months and one (1) day following the date of Participant’s termination as an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 xml:space="preserve">Employee or (B) Participant’s death. It is the intent of this Agreement to comply with or be exempt from the requirements of Section 409A of the Code so that none of the Restricted Stock Units provided under this Agreement or Shares issuable thereunder shall be subject to the additional tax imposed under Section 409A of the Code, and any ambiguities herein shall be interpreted to so comply. </w: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5. </w:t>
      </w:r>
      <w:r>
        <w:rPr>
          <w:rFonts w:ascii="Arial;sans-serif" w:hAnsi="Arial;sans-serif"/>
          <w:b w:val="false"/>
          <w:color w:val="000000"/>
          <w:sz w:val="20"/>
          <w:u w:val="single"/>
        </w:rPr>
        <w:t>Forfeiture upon Termination of Status as an Employee</w:t>
      </w:r>
      <w:r>
        <w:rPr>
          <w:rFonts w:ascii="Arial;sans-serif" w:hAnsi="Arial;sans-serif"/>
          <w:b w:val="false"/>
          <w:color w:val="000000"/>
          <w:sz w:val="20"/>
        </w:rPr>
        <w:t xml:space="preserve">. </w:t>
      </w:r>
    </w:p>
    <w:p>
      <w:pPr>
        <w:pStyle w:val="TextBody"/>
        <w:bidi w:val="0"/>
        <w:spacing w:before="0" w:after="0"/>
        <w:ind w:left="0" w:right="0" w:firstLine="720"/>
        <w:jc w:val="both"/>
        <w:rPr/>
      </w:pPr>
      <w:r>
        <w:rPr/>
      </w:r>
    </w:p>
    <w:p>
      <w:pPr>
        <w:pStyle w:val="TextBody"/>
        <w:bidi w:val="0"/>
        <w:spacing w:lineRule="auto" w:line="333"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(a) Subject to Section 5(b), Section 5(c) and Section 7, the balance of the Restricted Stock Units that have not vested as of the time of Participant’s termination as an Employee for any or no reason shall be forfeited and automatically transferred to and reacquired by the Company at no cost to the Company, and Participant’s right to acquire any Shares hereunder shall immediately terminate. </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(b) Notwithstanding Section 5(a) or anything herein to the contrary, if Participant is eligible to participate in the Company’s Executive Change in Control Program on his or her Termination Date (defined below), then upon a termination by the Company without Cause (defined below) or Participant’s resignation for Good Reason (defined below) within sixty (60) days prior to or twelve (12) months following a Change of Control (defined below), any then-unvested Restricted Stock Units with vesting schedules subject only to Participant’s continuous service as an Employee (“Time-Based RSUs”) shall vest in full, and any then-unvested Restricted Stock Units which are not Time-Based RSUs (“Performance-Based RSUs”) shall vest at the “target” level set forth in the Notice of Grant, subject to all of the terms and conditions of the Company’s Executive Change in Control Program. For purposes of this Section 5(b), “Cause”, “Change of Control”, “Good Reason” and “Termination Date” shall have the meanings set forth in the version of the Company’s Executive Change in Control Program, as in effect on the Termination Date. </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Arial;sans-serif" w:hAnsi="Arial;sans-serif"/>
          <w:b w:val="false"/>
          <w:color w:val="000000"/>
          <w:sz w:val="20"/>
        </w:rPr>
      </w:pPr>
      <w:r>
        <w:rPr>
          <w:rFonts w:ascii="Arial;sans-serif" w:hAnsi="Arial;sans-serif"/>
          <w:b w:val="false"/>
          <w:color w:val="000000"/>
          <w:sz w:val="20"/>
        </w:rPr>
        <w:t>(c) Notwithstanding Section 5(a) or anything herein to the contrary, if Participant is an Eligible Employee (defined below) who is eligible to participate in the Company’s Amended and Restated Severance Plan on his or her date of Involuntary Termination (defined below) or Qualified Retirement (defined below), then upon such Involuntary Termination or Qualified Retirement, as applicable: (1) Participant’s Time-Based RSUs will accelerate and become vested with respect to that number of shares subject thereto for which such Restricted Stock Units would have become vested had Participant remained continuously employed by the Company for an additional twelve (12) months following his or her Involuntary Termination or Qualified Retirement, as applicable (and shall be deemed to have a monthly vesting schedule from their original date of grant for purposes of determining the number of restricted stock units that accelerate and become vested); and (2) Participant’s Performance-Based RSUs shall become vested as if Participant had remained continuously employed by the Company through the end of the twelve (12) month performance period in which the Involuntary Termination or Qualified Retirement occurs, as applicable, based on the extent, if any, that the underlying performance criteria set forth in the Notice of Grant with respect to such awards are satisfied for such performance period, and in each case of the foregoing clauses (1) and (2), subject to all the terms and conditions of the Company’s Amended and Restated Severance Plan. For purposes of this Section 5(c), “Eligible Employee”, “Involuntary Termination” and “Qualified Retirement” shall have the meanings set forth in the version of the Company’s Amended and Restated Severance Plan, as in effect as of the time of Participant’s termination as an Employee.</w:t>
      </w:r>
    </w:p>
    <w:p>
      <w:pPr>
        <w:pStyle w:val="TextBody"/>
        <w:bidi w:val="0"/>
        <w:spacing w:before="0" w:after="0"/>
        <w:ind w:left="0" w:right="0" w:firstLine="1440"/>
        <w:jc w:val="both"/>
        <w:rPr/>
      </w:pPr>
      <w:r>
        <w:rPr/>
      </w:r>
    </w:p>
    <w:p>
      <w:pPr>
        <w:pStyle w:val="TextBody"/>
        <w:bidi w:val="0"/>
        <w:spacing w:lineRule="auto" w:line="312"/>
        <w:ind w:left="0" w:right="0" w:firstLine="720"/>
        <w:jc w:val="both"/>
        <w:rPr/>
      </w:pPr>
      <w:r>
        <w:rPr>
          <w:rFonts w:ascii="Arial;sans-serif" w:hAnsi="Arial;sans-serif"/>
          <w:b w:val="false"/>
          <w:color w:val="000000"/>
          <w:sz w:val="20"/>
        </w:rPr>
        <w:t xml:space="preserve">6. </w:t>
      </w:r>
      <w:r>
        <w:rPr>
          <w:rFonts w:ascii="Arial;sans-serif" w:hAnsi="Arial;sans-serif"/>
          <w:b w:val="false"/>
          <w:color w:val="000000"/>
          <w:sz w:val="20"/>
          <w:u w:val="single"/>
        </w:rPr>
        <w:t>Distribution after Vesting</w:t>
      </w:r>
      <w:r>
        <w:rPr>
          <w:rFonts w:ascii="Arial;sans-serif" w:hAnsi="Arial;sans-serif"/>
          <w:b w:val="false"/>
          <w:color w:val="000000"/>
          <w:sz w:val="20"/>
        </w:rPr>
        <w:t xml:space="preserve">. Unless otherwise specified in the country-specific provisions in Exhibit B, any Restricted Stock Units that vest in accordance with the terms of this Agreement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color w:val="000000"/>
          <w:sz w:val="20"/>
        </w:rPr>
        <w:t>Plan will be distributed to Participant (or in the event of Participant’s death, to his or her estate) in whole Shares as soon as administratively practicable after vesting, subject to Section 8 and the other provisions of this Agreement, but, subject to Applicable Law, in no event later than the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day of the third month following the end of (i) the Company’s fiscal year in which the Restricted Stock Units vest or (ii) the calendar year in which the Restricted Stock Units vest, whichever is later. Any Restricted Stock Units that vest in accordance with Section 4 will be settled at the time(s) provided in Section 4, subject to Section 8 and the other provisions of this Agreement.</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7. </w:t>
      </w:r>
      <w:r>
        <w:rPr>
          <w:rFonts w:ascii="Arial;sans-serif" w:hAnsi="Arial;sans-serif"/>
          <w:b w:val="false"/>
          <w:color w:val="000000"/>
          <w:sz w:val="20"/>
          <w:u w:val="single"/>
        </w:rPr>
        <w:t>Disability or Death of Participant</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Subject to Section 7(c), if Participant ceases to be an Employee by reason of his or her Disability during the term of this Award, all unvested Time-Based RSUs shall vest in full as of the date of such cessation of employment due to such Disability.</w:t>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Participant’s designated beneficiary, provided such beneficiary has been designated prior to Participant’s death in a form acceptable to the Administrator or, if no such beneficiary has been designated or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 Notwithstanding anything in Sections 7(a) or 7(b), if Participant ceases to be an Employee by reason of his or her Disability or death during the term of this Award, unvested Performance-Based RSUs, shall vest at the “target” level set forth in the Notice of Grant on the date of cessation as an Employee due to such Disability or death.</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8. </w:t>
      </w:r>
      <w:r>
        <w:rPr>
          <w:rFonts w:ascii="Arial;sans-serif" w:hAnsi="Arial;sans-serif"/>
          <w:b w:val="false"/>
          <w:color w:val="000000"/>
          <w:sz w:val="20"/>
          <w:u w:val="single"/>
        </w:rPr>
        <w:t>Responsibility for Taxes</w:t>
      </w:r>
      <w:r>
        <w:rPr>
          <w:rFonts w:ascii="Arial;sans-serif" w:hAnsi="Arial;sans-serif"/>
          <w:b w:val="false"/>
          <w:color w:val="000000"/>
          <w:sz w:val="20"/>
        </w:rPr>
        <w:t>. 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or deemed applicable to Participant (“Tax-Related Items”), is and remains Participant’s responsibility and may exceed the amount, if any, actually withheld by the Company or the Employer. Participant further acknowledges that the Company and/or the Employer (1) make no representations or undertakings regarding the treatment of any Tax-Related Items in connection with any aspect of the Restricted Stock Units, including, but not limited to, the grant, vesting or settlement of the Restricted Stock Unit, the subsequent sale of Shares acquired pursuant to such settlement and the receipt of any dividends; and (2)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this regard, Participant authorizes the Company and/or the Employer, or their respective agents, at their discretion, to satisfy any obligations with regard to withholding of Tax-Related Items by one or a combination of the following: </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    withholding from Participant’s wages or other cash compensation paid to Participant by the Company and/or the Employer, including withholding from cash from Participant’s brokerage account designated by the Company; or</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(ii)    withholding from proceeds of the sale of Shares acquired upon vesting/settlement of the Restricted Stock Units either through a voluntary sale or through a mandatory sale arranged by the Company (on Participant’s behalf pursuant to this authorization); or </w:t>
      </w:r>
    </w:p>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(iii)    withholding in Shares to be issued upon settlement of the Restricted Stock Units.</w:t>
      </w:r>
    </w:p>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may withhold or account for Tax-Related Items by using rates up to, but not exceeding, the maximum tax rates in Participant’s jurisdiction(s) on the date the amount of Tax-Related Items to be withheld is to be determined. In the event of over-withholding, Participant may receive a refund of any over-withheld amount in cash (with no entitlement to the equivalent in Common Stock), or if not refunded, Participant may need to seek a refund from the local tax authorities. In the event of under-withholding, Participant may be required to pay any additional Tax-Related Items directly to the applicable tax authority or to the Company and/or the Employer.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Notwithstanding (i) through (iii) above, if Participant is subject to Section 16 of the Exchange Act, any obligation to withhold Tax-Related Items will be satisfied under (iii), unless otherwise determined by the Board or Compensation Committee.</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9. </w:t>
      </w:r>
      <w:r>
        <w:rPr>
          <w:rFonts w:ascii="Arial;sans-serif" w:hAnsi="Arial;sans-serif"/>
          <w:b w:val="false"/>
          <w:color w:val="000000"/>
          <w:sz w:val="20"/>
          <w:u w:val="single"/>
        </w:rPr>
        <w:t>Rights as Stockholder; Dividend Equivalents</w:t>
      </w:r>
      <w:r>
        <w:rPr>
          <w:rFonts w:ascii="Arial;sans-serif" w:hAnsi="Arial;sans-serif"/>
          <w:b w:val="false"/>
          <w:color w:val="000000"/>
          <w:sz w:val="20"/>
        </w:rPr>
        <w:t>. Subject to Applicable Law, neither Participant nor any person claiming under or through Participant shall have any of the rights or privileges of a stockholder of the Company in respect of any Shares deliverable hereunder unless and until certificates representing such Shares (which may be in book entry form) shall have been issued, recorded on the records of the Company or its transfer agents or registrars, and delivered to Participant. After such issuance, recordation and delivery, Participant shall have all the rights of a stockholder of the Company with respect to voting such Shares and receipt of dividends and distributions on such Shares, subject to Applicable Law. Notwithstanding the foregoing, the Administrator may grant to the Participant dividend equivalents on the underlying Shares which shall accrue and only be paid to the extent this Award of Restricted Stock Units becomes vested.</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Arial;sans-serif" w:hAnsi="Arial;sans-serif"/>
          <w:b w:val="false"/>
          <w:color w:val="000000"/>
          <w:sz w:val="20"/>
        </w:rPr>
        <w:t xml:space="preserve">10. </w:t>
      </w:r>
      <w:r>
        <w:rPr>
          <w:rFonts w:ascii="Arial;sans-serif" w:hAnsi="Arial;sans-serif"/>
          <w:b w:val="false"/>
          <w:color w:val="000000"/>
          <w:sz w:val="20"/>
          <w:u w:val="single"/>
        </w:rPr>
        <w:t>No Guarantee of Continued Employment</w:t>
      </w:r>
      <w:r>
        <w:rPr>
          <w:rFonts w:ascii="Arial;sans-serif" w:hAnsi="Arial;sans-serif"/>
          <w:b w:val="false"/>
          <w:color w:val="000000"/>
          <w:sz w:val="20"/>
        </w:rPr>
        <w:t xml:space="preserve">. PARTICIPANT ACKNOWLEDGES AND AGREES THAT THE VESTING OF THE RESTRICTED STOCK UNITS PURSUANT TO THE VESTING SCHEDULE HEREOF IS EARNED ONLY BY CONTINUING AS AN EMPLOYEE AT THE WILL OF THE COMPANY (OR THE EMPLOYER) AND NOT THROUGH THE ACT OF BEING HIRED, BEING GRANTED THIS AWARD OF RESTRICTED STOCK UNITS OR, AS APPLICABLE, ACQUIRING SHARES HEREUNDER. PARTICIPANT FURTHER ACKNOWLEDGES AND AGREES THAT THIS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AGREEMENT, THE TRANSACTIONS CONTEMPLATED HEREUNDER AND THE VESTING SCHEDULE SET FORTH HEREIN DO NOT CONSTITUTE AN EXPRESS OR IMPLIED PROMISE OF CONTINUED ENGAGEMENT AS AN EMPLOYEE FOR THE VESTING PERIOD, FOR ANY PERIOD, OR AT ALL, AND SHALL NOT INTERFERE IN ANY WAY WITH PARTICIPANT’S RIGHT OR THE RIGHT OF THE COMPANY (OR SUBSIDIARY EMPLOYING PARTICIPANT) TO TERMINATE PARTICIPANT’S RELATIONSHIP AS AN EMPLOYEE AT ANY TIME, WITH OR WITHOUT CAUSE.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11. </w:t>
      </w:r>
      <w:r>
        <w:rPr>
          <w:rFonts w:ascii="Arial;sans-serif" w:hAnsi="Arial;sans-serif"/>
          <w:b w:val="false"/>
          <w:color w:val="000000"/>
          <w:sz w:val="20"/>
          <w:u w:val="single"/>
        </w:rPr>
        <w:t>Address for Notices</w:t>
      </w:r>
      <w:r>
        <w:rPr>
          <w:rFonts w:ascii="Arial;sans-serif" w:hAnsi="Arial;sans-serif"/>
          <w:b w:val="false"/>
          <w:color w:val="000000"/>
          <w:sz w:val="20"/>
        </w:rPr>
        <w:t xml:space="preserve">. Unless otherwise specified in Exhibit B, any notice to be given to the Company under the terms of this Agreement will be addressed to the Company at Autodesk, Inc., c/o Stock Administrator, </w:t>
      </w:r>
      <w:r>
        <w:rPr>
          <w:rFonts w:ascii="Arial;sans-serif" w:hAnsi="Arial;sans-serif"/>
          <w:b/>
          <w:color w:val="000000"/>
          <w:sz w:val="20"/>
        </w:rPr>
        <w:t>The Landmark @ One Market, 1 Market Street, Suite 400, San Francisco, CA 94105 U.S.A.</w:t>
      </w:r>
      <w:r>
        <w:rPr>
          <w:rFonts w:ascii="Arial;sans-serif" w:hAnsi="Arial;sans-serif"/>
          <w:b w:val="false"/>
          <w:color w:val="000000"/>
          <w:sz w:val="20"/>
        </w:rPr>
        <w:t>, or at such other address as the Company may hereafter designate in writing.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12. </w:t>
      </w:r>
      <w:r>
        <w:rPr>
          <w:rFonts w:ascii="Arial;sans-serif" w:hAnsi="Arial;sans-serif"/>
          <w:b w:val="false"/>
          <w:color w:val="000000"/>
          <w:sz w:val="20"/>
          <w:u w:val="single"/>
        </w:rPr>
        <w:t>Grant is Not Transferable</w:t>
      </w:r>
      <w:r>
        <w:rPr>
          <w:rFonts w:ascii="Arial;sans-serif" w:hAnsi="Arial;sans-serif"/>
          <w:b w:val="false"/>
          <w:color w:val="000000"/>
          <w:sz w:val="20"/>
        </w:rPr>
        <w:t>. Except to the limited extent provided in Section 7, this Award and the rights and privileges conferred hereby shall not be transferred, assigned, pledged or hypothecated in any way (whether by operation of law or otherwise) and shall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shall become null and void.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13. </w:t>
      </w:r>
      <w:r>
        <w:rPr>
          <w:rFonts w:ascii="Arial;sans-serif" w:hAnsi="Arial;sans-serif"/>
          <w:b w:val="false"/>
          <w:color w:val="000000"/>
          <w:sz w:val="20"/>
          <w:u w:val="single"/>
        </w:rPr>
        <w:t>Binding Agreement</w:t>
      </w:r>
      <w:r>
        <w:rPr>
          <w:rFonts w:ascii="Arial;sans-serif" w:hAnsi="Arial;sans-serif"/>
          <w:b w:val="false"/>
          <w:color w:val="000000"/>
          <w:sz w:val="20"/>
        </w:rPr>
        <w:t>. Subject to the limitation on the transferability of this grant contained herein, this Agreement shall be binding upon and inure to the benefit of the heirs, legatees, legal representatives, successors and assigns of the parties hereto.</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14. </w:t>
      </w:r>
      <w:r>
        <w:rPr>
          <w:rFonts w:ascii="Arial;sans-serif" w:hAnsi="Arial;sans-serif"/>
          <w:b w:val="false"/>
          <w:color w:val="000000"/>
          <w:sz w:val="20"/>
          <w:u w:val="single"/>
        </w:rPr>
        <w:t>Additional Conditions to Issuance of Stock</w:t>
      </w:r>
      <w:r>
        <w:rPr>
          <w:rFonts w:ascii="Arial;sans-serif" w:hAnsi="Arial;sans-serif"/>
          <w:b w:val="false"/>
          <w:color w:val="000000"/>
          <w:sz w:val="20"/>
        </w:rPr>
        <w:t xml:space="preserve">. The Company shall not be required to issue any certificate or certificates for Shares (in book entry form or otherwise) hereunder prior to fulfillment of all the following conditions: (a) the admission of such Shares to listing on all stock exchanges on which such class of stock is then listed; (b) the completion of any registration or other qualification of such Shares under any Applicable Law or under the rulings or regulations of the U.S. Securities and Exchange Commission or any other governmental regulatory body, which the Administrator shall, in its absolute discretion, deem necessary or advisable; (c) the obtaining of any approval or other clearance from any governmental agency, which the Administrator shall, in its absolute discretion, determine to be necessary or advisable; and (d) the lapse of such reasonable period of time following the date of vesting of the Restricted Stock Units as the Administrator may establish from time to time for reasons of administrative convenience.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If at any time the Company shall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shall not occur unless and until such listing, registration, qualification, consent or approval shall have been effected or obtained free of any conditions not acceptable to the Company. Participant’s sale of Shares may be subject to any market blackout period that may be imposed by the Company and must comply with the Company’s insider trading policies and any other applicable securities laws.</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15. </w:t>
      </w:r>
      <w:r>
        <w:rPr>
          <w:rFonts w:ascii="Arial;sans-serif" w:hAnsi="Arial;sans-serif"/>
          <w:b w:val="false"/>
          <w:color w:val="000000"/>
          <w:sz w:val="20"/>
          <w:u w:val="single"/>
        </w:rPr>
        <w:t>Plan Governs</w:t>
      </w:r>
      <w:r>
        <w:rPr>
          <w:rFonts w:ascii="Arial;sans-serif" w:hAnsi="Arial;sans-serif"/>
          <w:b w:val="false"/>
          <w:color w:val="000000"/>
          <w:sz w:val="20"/>
        </w:rPr>
        <w:t xml:space="preserve">. This Agreement is subject to all terms and provisions of the Plan. Subject to the express exception in Section 4 of this Agreement, in the event of a conflict between one or more provisions of this Agreement and one or more provisions of the Plan, the provisions of the Plan shall govern.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16. </w:t>
      </w:r>
      <w:r>
        <w:rPr>
          <w:rFonts w:ascii="Arial;sans-serif" w:hAnsi="Arial;sans-serif"/>
          <w:b w:val="false"/>
          <w:color w:val="000000"/>
          <w:sz w:val="20"/>
          <w:u w:val="single"/>
        </w:rPr>
        <w:t>Administrator Authority</w:t>
      </w:r>
      <w:r>
        <w:rPr>
          <w:rFonts w:ascii="Arial;sans-serif" w:hAnsi="Arial;sans-serif"/>
          <w:b w:val="false"/>
          <w:color w:val="000000"/>
          <w:sz w:val="20"/>
        </w:rPr>
        <w:t>. The Administrator shall have the power to interpret the Plan and this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shall be final and binding upon Participant, the Company and all other interested persons. The Administrator shall not be personally liable for any action, determination or interpretation made in good faith with respect to the Plan or this Agreement. The Administrator shall, in its absolute discretion, determine when such conditions have been fulfilled.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17. </w:t>
      </w:r>
      <w:r>
        <w:rPr>
          <w:rFonts w:ascii="Arial;sans-serif" w:hAnsi="Arial;sans-serif"/>
          <w:b w:val="false"/>
          <w:color w:val="000000"/>
          <w:sz w:val="20"/>
          <w:u w:val="single"/>
        </w:rPr>
        <w:t>Electronic Delivery</w:t>
      </w:r>
      <w:r>
        <w:rPr>
          <w:rFonts w:ascii="Arial;sans-serif" w:hAnsi="Arial;sans-serif"/>
          <w:b w:val="false"/>
          <w:color w:val="000000"/>
          <w:sz w:val="20"/>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18. </w:t>
      </w:r>
      <w:r>
        <w:rPr>
          <w:rFonts w:ascii="Arial;sans-serif" w:hAnsi="Arial;sans-serif"/>
          <w:b w:val="false"/>
          <w:color w:val="000000"/>
          <w:sz w:val="20"/>
          <w:u w:val="single"/>
        </w:rPr>
        <w:t>Captions</w:t>
      </w:r>
      <w:r>
        <w:rPr>
          <w:rFonts w:ascii="Arial;sans-serif" w:hAnsi="Arial;sans-serif"/>
          <w:b w:val="false"/>
          <w:color w:val="000000"/>
          <w:sz w:val="20"/>
        </w:rPr>
        <w:t>. Captions provided herein are for convenience only and are not to serve as a basis for interpretation or construction of this Agreement.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19. </w:t>
      </w:r>
      <w:r>
        <w:rPr>
          <w:rFonts w:ascii="Arial;sans-serif" w:hAnsi="Arial;sans-serif"/>
          <w:b w:val="false"/>
          <w:color w:val="000000"/>
          <w:sz w:val="20"/>
          <w:u w:val="single"/>
        </w:rPr>
        <w:t>Agreement Severable</w:t>
      </w:r>
      <w:r>
        <w:rPr>
          <w:rFonts w:ascii="Arial;sans-serif" w:hAnsi="Arial;sans-serif"/>
          <w:b w:val="false"/>
          <w:color w:val="000000"/>
          <w:sz w:val="20"/>
        </w:rPr>
        <w:t xml:space="preserve">. In the event that any provision in this Agreement shall be held invalid or unenforceable, such provision shall be severable from, and such invalidity or unenforceability shall not be construed to have any effect on, the remaining provisions of this Agreement. </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20. </w:t>
      </w:r>
      <w:r>
        <w:rPr>
          <w:rFonts w:ascii="Arial;sans-serif" w:hAnsi="Arial;sans-serif"/>
          <w:b w:val="false"/>
          <w:color w:val="000000"/>
          <w:sz w:val="20"/>
          <w:u w:val="single"/>
        </w:rPr>
        <w:t>Modifications to the Agreement</w:t>
      </w:r>
      <w:r>
        <w:rPr>
          <w:rFonts w:ascii="Arial;sans-serif" w:hAnsi="Arial;sans-serif"/>
          <w:b w:val="false"/>
          <w:color w:val="000000"/>
          <w:sz w:val="20"/>
        </w:rPr>
        <w:t>. This Agreement, the Plan and the Notice of Grant constitute the entire understanding of the parties on the subjects covered. 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revise this Agreement as it deems necessary or advisable, in its sole discretion and without the consent of Participant, to comply with Section 409A of the Code or to otherwise avoid imposition of any additional tax or income recognition under Section 409A of the Code prior to the actual issuance of Shares pursuant to this Award of Restricted Stock Units.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21. </w:t>
      </w:r>
      <w:r>
        <w:rPr>
          <w:rFonts w:ascii="Arial;sans-serif" w:hAnsi="Arial;sans-serif"/>
          <w:b w:val="false"/>
          <w:color w:val="000000"/>
          <w:sz w:val="20"/>
          <w:u w:val="single"/>
        </w:rPr>
        <w:t>Amendment, Suspension or Termination of the Plan</w:t>
      </w:r>
      <w:r>
        <w:rPr>
          <w:rFonts w:ascii="Arial;sans-serif" w:hAnsi="Arial;sans-serif"/>
          <w:b w:val="false"/>
          <w:color w:val="000000"/>
          <w:sz w:val="20"/>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22. </w:t>
      </w:r>
      <w:r>
        <w:rPr>
          <w:rFonts w:ascii="Arial;sans-serif" w:hAnsi="Arial;sans-serif"/>
          <w:b w:val="false"/>
          <w:color w:val="000000"/>
          <w:sz w:val="20"/>
          <w:u w:val="single"/>
        </w:rPr>
        <w:t>Governing Law</w:t>
      </w:r>
      <w:r>
        <w:rPr>
          <w:rFonts w:ascii="Arial;sans-serif" w:hAnsi="Arial;sans-serif"/>
          <w:b w:val="false"/>
          <w:color w:val="000000"/>
          <w:sz w:val="20"/>
        </w:rPr>
        <w:t xml:space="preserve">. This Award and the provisions of this Agreement shall be governed by, and subject to, the laws of the State of California, without giving effect to the conflict of law principles thereof. For purposes of litigating any dispute that arises under this Award of Restricted Stock Units or this Agreement, the parties hereby submit to and consent to the sole and exclusive jurisdiction of the State of California, and agree that such litigation shall be conducted in the courts of </w:t>
      </w:r>
      <w:r>
        <w:rPr>
          <w:rFonts w:ascii="Arial;sans-serif" w:hAnsi="Arial;sans-serif"/>
          <w:b/>
          <w:color w:val="000000"/>
          <w:sz w:val="20"/>
        </w:rPr>
        <w:t>San Francisco County, California</w:t>
      </w:r>
      <w:r>
        <w:rPr>
          <w:rFonts w:ascii="Arial;sans-serif" w:hAnsi="Arial;sans-serif"/>
          <w:b w:val="false"/>
          <w:color w:val="000000"/>
          <w:sz w:val="20"/>
        </w:rPr>
        <w:t>, or the federal courts for the United States for the Northern District of California, and no other courts, where this Award of Restricted Stock Units is made and/or to be performed.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Arial;sans-serif" w:hAnsi="Arial;sans-serif"/>
          <w:b w:val="false"/>
          <w:color w:val="000000"/>
          <w:sz w:val="20"/>
        </w:rPr>
        <w:t xml:space="preserve">23. </w:t>
      </w:r>
      <w:r>
        <w:rPr>
          <w:rFonts w:ascii="Arial;sans-serif" w:hAnsi="Arial;sans-serif"/>
          <w:b w:val="false"/>
          <w:color w:val="000000"/>
          <w:sz w:val="20"/>
          <w:u w:val="single"/>
        </w:rPr>
        <w:t>Language</w:t>
      </w:r>
      <w:r>
        <w:rPr>
          <w:rFonts w:ascii="Arial;sans-serif" w:hAnsi="Arial;sans-serif"/>
          <w:b w:val="false"/>
          <w:color w:val="000000"/>
          <w:sz w:val="20"/>
        </w:rPr>
        <w:t>. By electing to accept this Agreement, Participant acknowledges that he or she is sufficiently proficient in English, or has consulted with an advisor who is sufficiently proficient in English so as to allow Participant, to understand the terms and conditions of this Agreement. Further, if Participant has received this Agreement or any other document related to the Plan translated into a language other than English and if the meaning of the translated version is different than the English version, the English version will control, unless otherwise required by Applicable Laws.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24. </w:t>
      </w:r>
      <w:r>
        <w:rPr>
          <w:rFonts w:ascii="Arial;sans-serif" w:hAnsi="Arial;sans-serif"/>
          <w:b w:val="false"/>
          <w:color w:val="000000"/>
          <w:sz w:val="20"/>
          <w:u w:val="single"/>
        </w:rPr>
        <w:t>Nature of Grant</w:t>
      </w:r>
      <w:r>
        <w:rPr>
          <w:rFonts w:ascii="Arial;sans-serif" w:hAnsi="Arial;sans-serif"/>
          <w:b w:val="false"/>
          <w:color w:val="000000"/>
          <w:sz w:val="20"/>
        </w:rPr>
        <w:t>. In accepting this Restricted Stock Unit Award, Participant acknowledges that: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(a)    Any notice period mandated under Applicable Laws shall not be treated as continuous service for the purpose of determining the vesting of the Restricted Stock Unit Award; and Participant’s right to receive Shares in settlement of the Restricted Stock Unit Award after termination of service, if any, will be measured by the date of termination of Participant’s service and will not be extended by any notice period mandated under Applicable Laws. Subject to the foregoing and the provisions of the Plan, the Company, in its sole discretion, shall determine whether Participant’s service has terminated and the effective date of such termination.</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the Plan is operated and the Restricted Stock Units are granted solely by the Company and only the Company is a party to this Agreement; accordingly, any rights Participant may have under this Agreement may be raised only against the Company but not any Subsidiary or affiliate of the Company (including, but not limited to, the Employer).</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(c)    no Subsidiary or affiliate of the Company (including, but not limited to, the Employer) has any obligation to make any payment of any kind to Participant under this Agreement.</w:t>
      </w:r>
    </w:p>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(d)    The Plan is established voluntarily by the Company. It is discretionary in nature and it may be modified, amended, suspended or terminated by the Company at any time, unless otherwise provided in the Plan and this Agreement.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(e)    The grant of this Restricted Stock Unit Award is an exceptional, voluntary and occasional one-time benefit which does not create any contractual or other right to receive future grants of Restricted Stock Units, or benefits in lieu of Restricted Stock Units. All decisions with respect to future Restricted Stock Unit grants, if any, will be at the sole discretion of the Company.</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    Participant’s participation in the Plan shall not create a right to continued service with the Company (or any Subsidiary).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(g)    Participant is voluntarily participating in the Plan.</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(h)    The Restricted Stock Unit Award is an extraordinary item that does not constitute compensation of any kind for service of any kind rendered to the Company (or any Subsidiary), and which is outside the scope of Participant’s employment contract, if any. Additionally, unless otherwise agreed with the Company, the Restricted Stock Units and the Shares subject to the Restricted Stock Units, and the income and value of same, are not granted as consideration for, or in connection with, the service Participant may provide as an officer or a director of a Subsidiary of the Company.</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    The Restricted Stock Unit Award, and any Shares acquired under the Plan, and the income and value of same, is not part of normal or expected compensation or salary for any purpose, including, but not limited to, calculating any severance payments, resignation, termination, redundancy, end-of-service payments, holiday pay, bonuses, long-service awards, leave-related payments, pension or retirement or welfare benefits or similar mandatory payments. This applies to any payment even in those jurisdictions requiring such payments upon termination of employment.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(j)    The Restricted Stock Unit Award will not be interpreted to form or amend an employment contract, or employment or relationship with the Company; and furthermore the Restricted Stock Unit Award will not be interpreted to form or amend an employment contract with any Subsidiary.</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(k)    The future value of the underlying Shares is unknown and cannot be predicted with certainty. If Participant obtains Shares upon settlement of the Restricted Stock Unit Award, the value of those Shares may increase or decrease.</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    This Restricted Stock Unit Award has been granted to Participant in Participant’s status as an Employee of the Company or its Subsidiaries.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(m)    There shall be no additional obligations for any Subsidiary employing Participant as a result of this Restricted Stock Unit Award.</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(n)    All decisions with respect to future Restricted Stock Units or other grants, if any, will be at the sole discretion of the Company.</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    The Restricted Stock Unit and the Shares subject to the Restricted Stock Units, and the income and value of same, are not intended to replace any pension rights or compensation.</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(p)    No claim or entitlement to compensation or damages shall arise from (i) forfeiture of the Restricted Stock Units resulting from the termination of Participant’s employment or other service relationship (for any reason whatsoever, whether or not later found to be invalid or in breach of employment or labor laws in the jurisdiction where Participant is employed or the terms of Participant’s employment agreement, if any), and/or (ii) forfeiture of the Restricted Stock Units or recoupment of any Shares, cash or other benefits acquired pursuant to the Restricted Stock Units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(q)    The following provisions apply only if Participant is providing services outside the United States:</w:t>
      </w:r>
    </w:p>
    <w:p>
      <w:pPr>
        <w:pStyle w:val="TextBody"/>
        <w:bidi w:val="0"/>
        <w:spacing w:before="0" w:after="0"/>
        <w:jc w:val="left"/>
        <w:rPr/>
      </w:pPr>
      <w:r>
        <w:rPr/>
      </w:r>
    </w:p>
    <w:p>
      <w:pPr>
        <w:pStyle w:val="TextBody"/>
        <w:bidi w:val="0"/>
        <w:spacing w:lineRule="auto" w:line="319"/>
        <w:ind w:left="0" w:right="0" w:firstLine="720"/>
        <w:jc w:val="left"/>
        <w:rPr>
          <w:rFonts w:ascii="Arial;sans-serif" w:hAnsi="Arial;sans-serif"/>
          <w:b w:val="false"/>
          <w:color w:val="000000"/>
          <w:sz w:val="20"/>
        </w:rPr>
      </w:pPr>
      <w:r>
        <w:rPr>
          <w:rFonts w:ascii="Arial;sans-serif" w:hAnsi="Arial;sans-serif"/>
          <w:b w:val="false"/>
          <w:color w:val="000000"/>
          <w:sz w:val="20"/>
        </w:rPr>
        <w:t>(i)    the Restricted Stock Units and the Shares subject to the Restricted Stock Units are not part of normal or expected compensation or salary for any purpose; and</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(ii)    neither the Company, the Employer nor any other Subsidiary of the Company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25. </w:t>
      </w:r>
      <w:r>
        <w:rPr>
          <w:rFonts w:ascii="Arial;sans-serif" w:hAnsi="Arial;sans-serif"/>
          <w:b/>
          <w:color w:val="000000"/>
          <w:sz w:val="20"/>
          <w:u w:val="single"/>
        </w:rPr>
        <w:t>Data Privacy Information and Consent</w:t>
      </w:r>
      <w:r>
        <w:rPr>
          <w:rFonts w:ascii="Arial;sans-serif" w:hAnsi="Arial;sans-serif"/>
          <w:b w:val="false"/>
          <w:color w:val="000000"/>
          <w:sz w:val="20"/>
        </w:rPr>
        <w:t xml:space="preserve">. </w:t>
      </w:r>
    </w:p>
    <w:p>
      <w:pPr>
        <w:pStyle w:val="TextBody"/>
        <w:bidi w:val="0"/>
        <w:spacing w:before="0" w:after="0"/>
        <w:jc w:val="left"/>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The Company is located at The Landmark @ One Market, 1 Market Street, Suite 400, San Francisco, CA 94105 U.S.A. and grants Restricted Stock Units to Employees of the Company and its Subsidiaries and affiliates, at its sole discretion. If Participant would like to participate in the Plan, he or she should review the following information about the Company’s data processing practices and declare his or her consent.</w:t>
      </w:r>
    </w:p>
    <w:p>
      <w:pPr>
        <w:pStyle w:val="TextBody"/>
        <w:bidi w:val="0"/>
        <w:spacing w:before="0" w:after="0"/>
        <w:jc w:val="both"/>
        <w:rPr/>
      </w:pPr>
      <w:r>
        <w:rPr/>
      </w:r>
    </w:p>
    <w:p>
      <w:pPr>
        <w:pStyle w:val="TextBody"/>
        <w:bidi w:val="0"/>
        <w:spacing w:lineRule="auto" w:line="312" w:before="0" w:after="0"/>
        <w:ind w:left="0" w:right="0" w:firstLine="720"/>
        <w:jc w:val="both"/>
        <w:rPr/>
      </w:pPr>
      <w:r>
        <w:rPr>
          <w:rFonts w:ascii="Arial;sans-serif" w:hAnsi="Arial;sans-serif"/>
          <w:b/>
          <w:color w:val="000000"/>
          <w:sz w:val="20"/>
        </w:rPr>
        <w:t>(a)</w:t>
      </w:r>
      <w:r>
        <w:rPr>
          <w:color w:val="000000"/>
        </w:rPr>
        <w:t>    </w:t>
      </w:r>
      <w:r>
        <w:rPr>
          <w:rFonts w:ascii="Arial;sans-serif" w:hAnsi="Arial;sans-serif"/>
          <w:b/>
          <w:i/>
          <w:color w:val="000000"/>
          <w:sz w:val="20"/>
          <w:u w:val="single"/>
        </w:rPr>
        <w:t>Data Collection and Usage</w:t>
      </w:r>
      <w:r>
        <w:rPr>
          <w:rFonts w:ascii="Arial;sans-serif" w:hAnsi="Arial;sans-serif"/>
          <w:b/>
          <w:i/>
          <w:color w:val="000000"/>
          <w:sz w:val="20"/>
        </w:rPr>
        <w:t xml:space="preserve">. The Company collects, processes and uses personal data of Employees, including name, home address, email address and telephone number, date of birth, social insurance, passport or other identification number, salary, citizenship, job title, any Shares or directorships held in the Company, and details of all Restricted Stock Units canceled, vested, or outstanding in Participant’s favor, which the Company receives from Participant or the Employer. If the Company offers Participant a grant of Restricted Stock Units under the Plan, then the Company will collect his or her personal data for purposes of allocating shares and implementing, administering and managing the Plan. The Company’s legal basis for the processing of Participant’s personal data will be his or her consent.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color w:val="000000"/>
          <w:sz w:val="20"/>
        </w:rPr>
        <w:t>(b)    </w:t>
      </w:r>
      <w:r>
        <w:rPr>
          <w:rFonts w:ascii="Arial;sans-serif" w:hAnsi="Arial;sans-serif"/>
          <w:b/>
          <w:i/>
          <w:color w:val="000000"/>
          <w:sz w:val="20"/>
          <w:u w:val="single"/>
        </w:rPr>
        <w:t>Stock Plan Administration Service Providers</w:t>
      </w:r>
      <w:r>
        <w:rPr>
          <w:rFonts w:ascii="Arial;sans-serif" w:hAnsi="Arial;sans-serif"/>
          <w:b/>
          <w:i/>
          <w:color w:val="000000"/>
          <w:sz w:val="20"/>
        </w:rPr>
        <w:t xml:space="preserve">. The Company transfers Employee data to E*TRADE Financial Corporate Services, Inc. (“E*TRADE from Morgan Stanley”) an independent service provider based in the United States which assists the Company with the implementation, administration and management of the Plan, and any successor thereto. In the future, the Company may select a different service provider and share Participant’s data with another company that serves in a similar manner. The Company’s service provider will open an account for Participant to receive and trade Shares. Participant will be asked to agree on separate terms and data processing practices with the service provider, which is a condition of Participant’s ability to participate in the Plan.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color w:val="000000"/>
          <w:sz w:val="20"/>
        </w:rPr>
        <w:t>(c)    </w:t>
      </w:r>
      <w:r>
        <w:rPr>
          <w:rFonts w:ascii="Arial;sans-serif" w:hAnsi="Arial;sans-serif"/>
          <w:b/>
          <w:i/>
          <w:color w:val="000000"/>
          <w:sz w:val="20"/>
          <w:u w:val="single"/>
        </w:rPr>
        <w:t>International Data Transfers</w:t>
      </w:r>
      <w:r>
        <w:rPr>
          <w:rFonts w:ascii="Arial;sans-serif" w:hAnsi="Arial;sans-serif"/>
          <w:b/>
          <w:i/>
          <w:color w:val="000000"/>
          <w:sz w:val="20"/>
        </w:rPr>
        <w:t>. The Company and its service providers are based in the United States. If Participant is outside the United States, he or she should note that his or her country has enacted data privacy laws that are different from the United States. The transfer of Participant’s personal data by the Company is not subject to appropriate safeguards and is based solely on Participant’s consent.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pStyle w:val="TextBody"/>
        <w:bidi w:val="0"/>
        <w:spacing w:before="0" w:after="0"/>
        <w:ind w:left="0" w:right="0" w:firstLine="720"/>
        <w:jc w:val="both"/>
        <w:rPr/>
      </w:pPr>
      <w:r>
        <w:rPr/>
      </w:r>
    </w:p>
    <w:p>
      <w:pPr>
        <w:pStyle w:val="TextBody"/>
        <w:bidi w:val="0"/>
        <w:spacing w:lineRule="auto" w:line="312"/>
        <w:ind w:left="0" w:right="0" w:firstLine="720"/>
        <w:jc w:val="both"/>
        <w:rPr/>
      </w:pPr>
      <w:r>
        <w:rPr>
          <w:rFonts w:ascii="Arial;sans-serif" w:hAnsi="Arial;sans-serif"/>
          <w:b/>
          <w:color w:val="000000"/>
          <w:sz w:val="20"/>
        </w:rPr>
        <w:t>(d)    </w:t>
      </w:r>
      <w:r>
        <w:rPr>
          <w:rFonts w:ascii="Arial;sans-serif" w:hAnsi="Arial;sans-serif"/>
          <w:b/>
          <w:i/>
          <w:color w:val="000000"/>
          <w:sz w:val="20"/>
          <w:u w:val="single"/>
        </w:rPr>
        <w:t>Data Retention</w:t>
      </w:r>
      <w:r>
        <w:rPr>
          <w:rFonts w:ascii="Arial;sans-serif" w:hAnsi="Arial;sans-serif"/>
          <w:b/>
          <w:i/>
          <w:color w:val="000000"/>
          <w:sz w:val="20"/>
        </w:rPr>
        <w:t xml:space="preserve">. The Company will use Participant’s personal data only as long as is necessary to implement, administer and manage his or her participation in the Plan or as required to comply with legal or regulatory obligations, including under tax and security laws. This period may extend beyond the date of Participant’s termination. When the Company no longer needs Participant’s personal data, the Company will remove it from its systems. The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 xml:space="preserve">Company may keep data longer to satisfy legal or regulatory obligations, and the Company’s legal basis would be compliance with the relevant laws or regulations. </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color w:val="000000"/>
          <w:sz w:val="20"/>
        </w:rPr>
        <w:t>(e)    </w:t>
      </w:r>
      <w:r>
        <w:rPr>
          <w:rFonts w:ascii="Arial;sans-serif" w:hAnsi="Arial;sans-serif"/>
          <w:b/>
          <w:i/>
          <w:color w:val="000000"/>
          <w:sz w:val="20"/>
          <w:u w:val="single"/>
        </w:rPr>
        <w:t>Voluntariness and Consequences of Consent Denial or Withdrawal</w:t>
      </w:r>
      <w:r>
        <w:rPr>
          <w:rFonts w:ascii="Arial;sans-serif" w:hAnsi="Arial;sans-serif"/>
          <w:b/>
          <w:i/>
          <w:color w:val="000000"/>
          <w:sz w:val="20"/>
        </w:rPr>
        <w:t>. Participant’s participation in the Plan and his or her grant of consent is purely voluntary. Participant may deny or withdraw his or her consent at any time. If Participant does not consent, or if he or she withdraws his or her consent, Participant cannot participate in the Plan. This would not affect Participant’s salary as an Employee, or his or her career; Participant would merely forfeit the opportunities associated with the Plan.</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color w:val="000000"/>
          <w:sz w:val="20"/>
        </w:rPr>
        <w:t>(f)    </w:t>
      </w:r>
      <w:r>
        <w:rPr>
          <w:rFonts w:ascii="Arial;sans-serif" w:hAnsi="Arial;sans-serif"/>
          <w:b/>
          <w:i/>
          <w:color w:val="000000"/>
          <w:sz w:val="20"/>
          <w:u w:val="single"/>
        </w:rPr>
        <w:t>Data Subject Rights</w:t>
      </w:r>
      <w:r>
        <w:rPr>
          <w:rFonts w:ascii="Arial;sans-serif" w:hAnsi="Arial;sans-serif"/>
          <w:b/>
          <w:i/>
          <w:color w:val="000000"/>
          <w:sz w:val="20"/>
        </w:rPr>
        <w:t>. Participant has a number of rights under data privacy laws in his or her country. Depending on where Participant is based, his or her rights may include the right to (a) to request access or copies of personal data the Company’s processes, (b) rectification of incorrect data, (c) deletion of data, (d) restrictions on processing, (e) portability of data, (f) to lodge complaints with competent authorities in his or her country, and/or (g) a list with the names and addresses of any potential recipients of his or her personal data. To receive clarification regarding Participant’s rights or to exercise his or her rights please contact privacy.questions@autodesk.com.</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rFonts w:ascii="Arial;sans-serif" w:hAnsi="Arial;sans-serif"/>
          <w:b/>
          <w:i/>
          <w:color w:val="000000"/>
          <w:sz w:val="20"/>
        </w:rPr>
      </w:pPr>
      <w:r>
        <w:rPr>
          <w:rFonts w:ascii="Arial;sans-serif" w:hAnsi="Arial;sans-serif"/>
          <w:b/>
          <w:i/>
          <w:color w:val="000000"/>
          <w:sz w:val="20"/>
        </w:rPr>
        <w:t>If Participant agrees with the data processing practices as described in this notice, he or she should declare his or her consent by clicking “Accept” on the E*TRADE from Morgan Stanley award acceptance page.</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26. </w:t>
      </w:r>
      <w:r>
        <w:rPr>
          <w:rFonts w:ascii="Arial;sans-serif" w:hAnsi="Arial;sans-serif"/>
          <w:b w:val="false"/>
          <w:color w:val="000000"/>
          <w:sz w:val="20"/>
          <w:u w:val="single"/>
        </w:rPr>
        <w:t>Currency Exchange Risk</w:t>
      </w:r>
      <w:r>
        <w:rPr>
          <w:rFonts w:ascii="Arial;sans-serif" w:hAnsi="Arial;sans-serif"/>
          <w:b w:val="false"/>
          <w:color w:val="000000"/>
          <w:sz w:val="20"/>
        </w:rPr>
        <w:t>. Participant agrees and acknowledges that Participant shall bear any and all risk associated with the exchange or fluctuation of currency associated with the Award, including without limitation the settlement of the Award or sale of the Shares (the “Currency Exchange Risk”). Participant waives and releases the Company and its Subsidiaries from any potential claims arising out of the Currency Exchange Risk.</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27. </w:t>
      </w:r>
      <w:r>
        <w:rPr>
          <w:rFonts w:ascii="Arial;sans-serif" w:hAnsi="Arial;sans-serif"/>
          <w:b w:val="false"/>
          <w:color w:val="000000"/>
          <w:sz w:val="20"/>
          <w:u w:val="single"/>
        </w:rPr>
        <w:t>Exhibit B</w:t>
      </w:r>
      <w:r>
        <w:rPr>
          <w:rFonts w:ascii="Arial;sans-serif" w:hAnsi="Arial;sans-serif"/>
          <w:b w:val="false"/>
          <w:color w:val="000000"/>
          <w:sz w:val="20"/>
        </w:rPr>
        <w:t>. Notwithstanding any provisions in this Agreement, the Restricted Stock Units shall be subject to any applicable country-specific provisions set forth in Exhibit B to this Agreement for Participant’s country. Moreover, if Participant relocates to one of the countries included in Exhibit B, the provisions for such country will apply to Participant, to the extent the Company determines that the application of such provisions is necessary or advisable for legal or administrative reasons. Exhibit B constitutes part of this Agreement.</w: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28. </w:t>
      </w:r>
      <w:r>
        <w:rPr>
          <w:rFonts w:ascii="Arial;sans-serif" w:hAnsi="Arial;sans-serif"/>
          <w:b w:val="false"/>
          <w:color w:val="000000"/>
          <w:sz w:val="20"/>
          <w:u w:val="single"/>
        </w:rPr>
        <w:t>Imposition of Other Requirements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Company reserves the right to impose other requirements on Participant’s participation in the Plan, on the Restricted Stock Unit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29. </w:t>
      </w:r>
      <w:r>
        <w:rPr>
          <w:rFonts w:ascii="Arial;sans-serif" w:hAnsi="Arial;sans-serif"/>
          <w:b w:val="false"/>
          <w:color w:val="000000"/>
          <w:sz w:val="20"/>
          <w:u w:val="single"/>
        </w:rPr>
        <w:t>No Advice Regarding Grant</w:t>
      </w:r>
      <w:r>
        <w:rPr>
          <w:rFonts w:ascii="Arial;sans-serif" w:hAnsi="Arial;sans-serif"/>
          <w:b w:val="false"/>
          <w:color w:val="000000"/>
          <w:sz w:val="20"/>
        </w:rPr>
        <w:t>. The Company is not providing any tax, legal or financial advice, nor is the Company making any recommendations regarding Participant’s participation in the Plan, or Participant’s acquisition or sale of the underlying Shares. Participant understands and agrees that Participant should consult with his or her own personal tax, legal and financial advisors regarding his or her participation in the Plan before taking any action related to the Plan.</w:t>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30. </w:t>
      </w:r>
      <w:r>
        <w:rPr>
          <w:rFonts w:ascii="Arial;sans-serif" w:hAnsi="Arial;sans-serif"/>
          <w:b w:val="false"/>
          <w:color w:val="000000"/>
          <w:sz w:val="20"/>
          <w:u w:val="single"/>
        </w:rPr>
        <w:t>Waiver</w:t>
      </w:r>
      <w:r>
        <w:rPr>
          <w:rFonts w:ascii="Arial;sans-serif" w:hAnsi="Arial;sans-serif"/>
          <w:b w:val="false"/>
          <w:color w:val="000000"/>
          <w:sz w:val="20"/>
        </w:rPr>
        <w:t>. Participant acknowledge that a waiver by the Company of breach of any provision of this Agreement shall not operate or be construed as a waiver of any other provision of this Agreement, or of any subsequent breach by Participant or any other Participant.</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31. </w:t>
      </w:r>
      <w:r>
        <w:rPr>
          <w:rFonts w:ascii="Arial;sans-serif" w:hAnsi="Arial;sans-serif"/>
          <w:b w:val="false"/>
          <w:color w:val="000000"/>
          <w:sz w:val="20"/>
          <w:u w:val="single"/>
        </w:rPr>
        <w:t>Insider-Trading/Market-Abuse Laws</w:t>
      </w:r>
      <w:r>
        <w:rPr>
          <w:rFonts w:ascii="Arial;sans-serif" w:hAnsi="Arial;sans-serif"/>
          <w:b w:val="false"/>
          <w:color w:val="000000"/>
          <w:sz w:val="20"/>
        </w:rPr>
        <w:t>. Participant may be subject to insider trading restrictions and/or market abuse laws based on the exchange on which the Shares are listed and in applicable jurisdictions including the United States and Participant’s country or his or her broker’s country, if different, which may affect Participant’s ability to accept, acquire, sell or otherwise dispose of Shares, rights to Shares (e.g., Restricted Stock Units) or rights linked to the value of Shares during such times as Participant is considered to have “inside information” regarding the Company (as defined by the laws in applicable jurisdictions). Local insider trading laws and regulations may prohibit the cancellation or amendment of orders Participant placed before he or she possessed inside information. Furthermore, Participant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Autodesk, Inc. Insider Trading Policy. Participant is responsible for complying with any applicable restrictions, and should speak to Participant’s personal legal advisor and/or the Company’s Legal Department for further details regarding any applicable insider-trading and/or market-abuse laws in Participant’s country.</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val="false"/>
          <w:color w:val="000000"/>
          <w:sz w:val="20"/>
        </w:rPr>
        <w:t xml:space="preserve">32. </w:t>
      </w:r>
      <w:r>
        <w:rPr>
          <w:rFonts w:ascii="Arial;sans-serif" w:hAnsi="Arial;sans-serif"/>
          <w:b w:val="false"/>
          <w:color w:val="000000"/>
          <w:sz w:val="20"/>
          <w:u w:val="single"/>
        </w:rPr>
        <w:t>Foreign Asset/Account Reporting Requirements and Exchange Controls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Participant acknowledges that Participant’s country may have certain foreign asset and/or foreign account reporting requirements and exchange controls which may affect Participant’s ability to acquire or hold Shares purchased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Participant’s personal legal advisor for any details.</w:t>
      </w:r>
    </w:p>
    <w:p>
      <w:pPr>
        <w:pStyle w:val="TextBody"/>
        <w:bidi w:val="0"/>
        <w:spacing w:before="0" w:after="0"/>
        <w:ind w:left="0" w:right="0" w:firstLine="720"/>
        <w:jc w:val="both"/>
        <w:rPr/>
      </w:pPr>
      <w:r>
        <w:rPr/>
      </w:r>
    </w:p>
    <w:p>
      <w:pPr>
        <w:pStyle w:val="TextBody"/>
        <w:bidi w:val="0"/>
        <w:spacing w:lineRule="auto" w:line="312" w:before="0" w:after="0"/>
        <w:ind w:left="0" w:right="0" w:firstLine="720"/>
        <w:jc w:val="both"/>
        <w:rPr/>
      </w:pPr>
      <w:r>
        <w:rPr>
          <w:rFonts w:ascii="Arial;sans-serif" w:hAnsi="Arial;sans-serif"/>
          <w:b w:val="false"/>
          <w:color w:val="000000"/>
          <w:sz w:val="20"/>
        </w:rPr>
        <w:t>33.    </w:t>
      </w:r>
      <w:r>
        <w:rPr>
          <w:rFonts w:ascii="Arial;sans-serif" w:hAnsi="Arial;sans-serif"/>
          <w:b w:val="false"/>
          <w:color w:val="000000"/>
          <w:sz w:val="20"/>
          <w:u w:val="single"/>
        </w:rPr>
        <w:t>Recoupment</w:t>
      </w:r>
      <w:r>
        <w:rPr>
          <w:rFonts w:ascii="Arial;sans-serif" w:hAnsi="Arial;sans-serif"/>
          <w:b w:val="false"/>
          <w:color w:val="000000"/>
          <w:sz w:val="20"/>
        </w:rPr>
        <w:t xml:space="preserve">. As an additional condition of receiving this award of Restricted Stock Units, Participant agrees that the Restricted Stock Units, whether vested or unvested, and/or the Shares, cash or other benefits acquired pursuant to the Restricted Stock Units (and any proceeds therefrom) may be subject to recoupment to the extent required (i) under the Company’s clawback policies in effect as of the date of this Agreement, or to the extent adopted following the date of this Agreement any similar policy applicable to circumstances where Participant engages in misconduct, fraud, a violation of law or other similar circumstances, and, in each case, as they may be amended from time to time, or (ii) under applicable laws, regulations or stock exchange listing standards (collectively, the “Recoupment Policy”). In order to satisfy any recoupment obligation arising under the Recoupment Policy, among other things, Participant expressly and explicitly authorize the Company to issue instructions, on Participant’s behalf, to any brokerage firm and/or third party administrator engaged by the Company to hold any Shares or other amounts acquired pursuant to the Restricted Stock Units to re-convey, transfer or otherwise return such Shares and/or other amounts to the Company upon the Company’s enforcement of the Recoupment Policy. No recovery of compensation as described in this section will be an event giving rise to your right to resign for “good reason” or “constructive termination” (or similar term) under any plan of, or agreement with, the Company, any Subsidiary and/or the Employer.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u w:val="single"/>
        </w:rPr>
      </w:pPr>
      <w:r>
        <w:rPr>
          <w:rFonts w:ascii="Arial;sans-serif" w:hAnsi="Arial;sans-serif"/>
          <w:b/>
          <w:color w:val="000000"/>
          <w:sz w:val="20"/>
          <w:u w:val="single"/>
        </w:rPr>
        <w:t>Exhibit B</w: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COUNTRY-SPECIFIC PROVISIONS TO THE</w:t>
      </w:r>
    </w:p>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TERMS AND CONDITIONS OF RESTRICTED STOCK UNITS</w:t>
      </w:r>
    </w:p>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 xml:space="preserve">under the AUTODESK, INC. </w:t>
      </w:r>
    </w:p>
    <w:p>
      <w:pPr>
        <w:pStyle w:val="TextBody"/>
        <w:bidi w:val="0"/>
        <w:spacing w:lineRule="auto" w:line="312" w:before="0" w:after="0"/>
        <w:jc w:val="center"/>
        <w:rPr>
          <w:rFonts w:ascii="Arial;sans-serif" w:hAnsi="Arial;sans-serif"/>
          <w:b/>
          <w:color w:val="000000"/>
          <w:sz w:val="20"/>
        </w:rPr>
      </w:pPr>
      <w:r>
        <w:rPr>
          <w:rFonts w:ascii="Arial;sans-serif" w:hAnsi="Arial;sans-serif"/>
          <w:b/>
          <w:color w:val="000000"/>
          <w:sz w:val="20"/>
        </w:rPr>
        <w:t>2022 EQUITY INCENTIVE PLAN</w:t>
      </w:r>
    </w:p>
    <w:p>
      <w:pPr>
        <w:pStyle w:val="TextBody"/>
        <w:bidi w:val="0"/>
        <w:spacing w:before="0" w:after="0"/>
        <w:jc w:val="left"/>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This Appendix includes additional terms and conditions that govern the Restricted Stock Units granted to Participant under the Autodesk, Inc. (the “Company”) 2022 Equity Incentive Plan (the “Plan”) if Participant works and/or resides in one of the countries listed below. Capitalized terms used but not defined in this Exhibit B have the meanings set forth in the Plan, the Notice of Restricted Stock Unit Grant (the “Notice”) and/or the Terms and Conditions of Restricted Stock Unit Agreement (the “Agreement”).</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If Participant is a citizen or resident of a country other than the one in which Participant is currently working and/or residing, is considered a resident of another country for local law purposes or transfers employer and/or residency between countries after the Date of Grant, the Company shall, in its sole discretion, determine to what extent the terms and conditions contained herein shall apply to Participant under these circumstances.</w:t>
      </w:r>
    </w:p>
    <w:p>
      <w:pPr>
        <w:pStyle w:val="TextBody"/>
        <w:bidi w:val="0"/>
        <w:spacing w:before="0" w:after="0"/>
        <w:jc w:val="left"/>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This Exhibit B also includes information regarding securities laws, exchange controls and certain other issues of which Participant should be aware with respect to his or her participation in the Plan. The information is based on the securities laws, exchange controls and other laws in effect in the respective countries as of February 2025. Such laws are often complex and change frequently. As a result, the Company strongly recommends Participant not rely on the information in this Exhibit B as the only source of information relating to the consequences of Participant’s participation in the Plan because the information may be out of date at the time the Restricted Stock Units vest, or Participant sells the Shares acquired upon vesting of the Restricted Stock Units under the Plan. </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country(ies) may apply to his or her situation. </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Finally, if Participant is a citizen or resident of a country other than the one in which he or she is currently working and/or residing, transfers after the Date of Grant or is considered a resident of another country for local law purposes, the information contained herein may not apply in the same manner. </w:t>
      </w:r>
    </w:p>
    <w:p>
      <w:pPr>
        <w:pStyle w:val="TextBody"/>
        <w:bidi w:val="0"/>
        <w:spacing w:before="0" w:after="0"/>
        <w:jc w:val="left"/>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ALL COUNTRIES</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Notwithstanding the provisions of the Agreement, if the Company or the Employer develops a good faith belief that any provision may be found to be unlawful, discriminatory or against public policy in any relevant jurisdiction, then the Company in its sole discretion may choose not to apply such provision to the Award, nor any Award grant in Participant’s jurisdiction.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ARGENTINA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Labor Law Acknowledgement</w:t>
      </w:r>
      <w:r>
        <w:rPr>
          <w:rFonts w:ascii="Arial;sans-serif" w:hAnsi="Arial;sans-serif"/>
          <w:b w:val="false"/>
          <w:color w:val="000000"/>
          <w:sz w:val="20"/>
        </w:rPr>
        <w:t>. This provision supplements Section 24 of the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In accepting the Award, Participant acknowledges and agrees that the grant of Restricted Stock Units is made by the Company (not the Employer) in its sole discretion and the value of the Restricted Stock Units or any Shares acquired under the Plan shall not constitute salary or wages for any purpose under Argentine labor law, including, but not limited to, the calculation of (i) any labor benefits including, without limitation, vacation pay, compensation in lieu of notice, annual bonus, disability, and leave of absence payments, etc., or (ii) any termination or severance indemnities or similar payments.</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If, notwithstanding the foregoing, any benefits under the Plan are considered as salary or wages for any purpose under Argentine labor law, Participant acknowledges and agrees that such benefits shall not accrue more frequently than on each Restricted Stock Units vesting date. Participant further acknowledges and agrees the Restricted Stock Units are an extraordinary benefit, which for labor law purposes (e.g. thirteenth month salary, Christmas bonuses, or similar payments) are valued at the fair market value of the Shares on the date of vesting, when the Shares are delivered to the Participant. A portion of such value may be deducted, to be taken into account for thirteenth month salary purposes as of the month in which the vesting occurs if required under local law. Further, Participant acknowledges and agrees that, for all legal purposes, the Award and the underlying Shares are the result of commercial transactions unrelated to Participant’s employment and is not part of the terms and conditions of Participant’s employment.</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Neither the Restricted Stock Units nor the underlying Shares are publicly offered, listed on any stock exchange in Argentina, or registered with the Argentine Securities Commission (</w:t>
      </w:r>
      <w:r>
        <w:rPr>
          <w:rFonts w:ascii="Arial;sans-serif" w:hAnsi="Arial;sans-serif"/>
          <w:b w:val="false"/>
          <w:i/>
          <w:color w:val="000000"/>
          <w:sz w:val="20"/>
        </w:rPr>
        <w:t>Comisión Nacional de Valores</w:t>
      </w:r>
      <w:r>
        <w:rPr>
          <w:rFonts w:ascii="Arial;sans-serif" w:hAnsi="Arial;sans-serif"/>
          <w:b w:val="false"/>
          <w:color w:val="000000"/>
          <w:sz w:val="20"/>
        </w:rPr>
        <w:t>). Neither this Exhibit B nor any other offering material related to the Award nor the underlying Shares may be utilized in connection with any general offering to the public in Argentina.</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xml:space="preserve">. Because Participant is not required to purchase foreign currency and remit funds out of Argentina to acquire Shares under the Plan, local exchange control restrictions should not apply. Notwithstanding the foregoing, Participant must comply with any and all Argentine currency exchange restrictions, approvals and reporting requirements in connection with this Award. Argentine residents should consult with their personal advisor to confirm what will be required (if anything) as the exchange control rules and regulations are subject to change without notice. </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AUSTRALIA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Form of Settlement</w:t>
      </w:r>
      <w:r>
        <w:rPr>
          <w:rFonts w:ascii="Arial;sans-serif" w:hAnsi="Arial;sans-serif"/>
          <w:b w:val="false"/>
          <w:color w:val="000000"/>
          <w:sz w:val="20"/>
        </w:rPr>
        <w:t>. Notwithstanding Section 2 or any other provision of this Agreement, (a) the Restricted Stock Units may not be settled in cash; and (b) the vesting of Restricted Stock Units may be accelerated by the Administrator only upon the death or total permanent disablement of Participant, and to the extent permitted by Applicable Law.</w:t>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Tax Information</w:t>
      </w:r>
      <w:r>
        <w:rPr>
          <w:rFonts w:ascii="Arial;sans-serif" w:hAnsi="Arial;sans-serif"/>
          <w:b w:val="false"/>
          <w:color w:val="000000"/>
          <w:sz w:val="20"/>
        </w:rPr>
        <w:t>: The Plan is a plan to which Subdivision 83A-C of the Income Tax Assessment Act 1997 (Cth) (the “Act”) applies (subject to the conditions in that Act).</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288" w:before="0" w:after="0"/>
        <w:jc w:val="left"/>
        <w:rPr/>
      </w:pPr>
      <w:r>
        <w:rPr>
          <w:rFonts w:ascii="Arial;sans-serif" w:hAnsi="Arial;sans-serif"/>
          <w:b w:val="false"/>
          <w:color w:val="000000"/>
          <w:sz w:val="20"/>
          <w:u w:val="single"/>
        </w:rPr>
        <w:t>Securities Law Information</w:t>
      </w:r>
      <w:r>
        <w:rPr>
          <w:rFonts w:ascii="Arial;sans-serif" w:hAnsi="Arial;sans-serif"/>
          <w:b w:val="false"/>
          <w:color w:val="000000"/>
          <w:sz w:val="20"/>
        </w:rPr>
        <w:t xml:space="preserve">. This offer is being made under Division 1A, Part 7.12 of the Corporations Act 2001 (Cth).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If Participant is an Australian resident, exchange control reporting is required for cash transactions exceeding A$10,000 and for international fund transfers. If an Australian bank is assisting with the transaction, the bank will file the report on Participant’s behalf. If there is no Australian bank involved in the transfer, Participant will be required to file the report.</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AUSTRIA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xml:space="preserve">. If Participant holds securities (including Shares acquired under the Plan outside Austria, even if Participant holds them outside of Austria with an Austrian bank) or cash (including proceeds from the sale of Shares), Participant understands that Participant must submit quarterly reports to the Austrian National Bank. An exemption applies if the value of the Shares held outside Austria of any quarter does not exceed a certain threshold. The deadline for filing the quarterly report is the 15th day of the month following the end of the respective quarter.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If Participant sells Shares, or receives any cash dividends, Participant may have exchange control obligations if Participant holds the cash proceeds outside of Austria, as a separate reporting requirement applies to any non-Austrian cash accounts. If the transaction volume of all of Participant’s cash accounts abroad meets or exceeds a certain threshold, Participant must report to the Austrian National Bank the movements and balances of all accounts on a monthly basis, as of the last day of the month, on or before the 15th day of the following month, on the prescribed forms. </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BELGIUM</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BRAZIL</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Compliance with Law</w:t>
      </w:r>
      <w:r>
        <w:rPr>
          <w:rFonts w:ascii="Arial;sans-serif" w:hAnsi="Arial;sans-serif"/>
          <w:b w:val="false"/>
          <w:color w:val="000000"/>
          <w:sz w:val="20"/>
        </w:rPr>
        <w:t>. In accepting the Award, Participant agrees to comply with all applicable Brazilian laws and to report and pay any and all applicable Tax-Related Items associated with the vesting of the Restricted Stock Units and issuance or sale of Shares acquired under the Plan or the receipt of dividends.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Labor Law Acknowledgement</w:t>
      </w:r>
      <w:r>
        <w:rPr>
          <w:rFonts w:ascii="Arial;sans-serif" w:hAnsi="Arial;sans-serif"/>
          <w:b w:val="false"/>
          <w:color w:val="000000"/>
          <w:sz w:val="20"/>
        </w:rPr>
        <w:t>. In accepting the Award, Participant agrees that he or she is (i) making an investment decision, and (ii) the value of the underlying Shares is not fixed and may increase or decrease in value over the vesting period without compensation to Participant.</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 xml:space="preserve">Further, Participant acknowledges and agrees that, for all legal purposes, (i) any benefits provided to Participant under the Plan are unrelated to their employment or service; (ii) the Plan is not a part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terms and conditions of their employment or service; and (iii) the income from Participant’s participation in the Plan, if any, is not part of Participant’s remuneration from employment or service.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If Participant is a resident or domiciled in Brazil, he or she will be required to submit an annual declaration of assets and rights (including Shares issued upon settlement of the Restricted Stock Units) held outside Brazil to the Central Bank of Brazil if the aggregate value of such assets and rights held abroad is equal to or exceeds a threshold that is established annually by the Central Bank. If the value of the Shares received under the Plan exceeds a certain threshold, Participant must report the Shares acquired in the assets and rights section of the annual Natural Person Income Tax Return typically due by the last business day of April. Participant should consult with his or her personal legal advisor to ensure compliance with applicable Brazilian regulations.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CANADA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 xml:space="preserve">Terms and Conditions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Form of Settlement</w:t>
      </w:r>
      <w:r>
        <w:rPr>
          <w:rFonts w:ascii="Arial;sans-serif" w:hAnsi="Arial;sans-serif"/>
          <w:b w:val="false"/>
          <w:color w:val="000000"/>
          <w:sz w:val="20"/>
        </w:rPr>
        <w:t>. As detailed in Section 2 of the Agreement and notwithstanding any discretion in the Plan, the Restricted Stock Units will be settled only in Shares. The Restricted Stock Units do not provide any right for Participant to receive a cash payment.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Distribution after Vesting</w:t>
      </w:r>
      <w:r>
        <w:rPr>
          <w:rFonts w:ascii="Arial;sans-serif" w:hAnsi="Arial;sans-serif"/>
          <w:b w:val="false"/>
          <w:i/>
          <w:color w:val="000000"/>
          <w:sz w:val="20"/>
        </w:rPr>
        <w:t xml:space="preserve">. </w:t>
      </w:r>
      <w:r>
        <w:rPr>
          <w:rFonts w:ascii="Arial;sans-serif" w:hAnsi="Arial;sans-serif"/>
          <w:b w:val="false"/>
          <w:color w:val="000000"/>
          <w:sz w:val="20"/>
        </w:rPr>
        <w:t>Section 6 of the Agreement shall be deleted in its entirety and replaced with the following language: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Any Restricted Stock Units that vest in accordance with the terms of this Agreement and the Plan will be distributed to Participant (or in the event of Participant’s death, to his or her estate) in whole Shares as soon as administratively practicable after vesting, subject to Section 9 and the other provisions of the Agreement. Any Restricted Stock Units that vest in accordance with Section 4 will be settled at the time(s) provided in Section 4, subject to Section 9 and the other provisions of the Agreement.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Vesting/Termination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provision supplements Section 5 and replaces Section 24(a)</w:t>
      </w:r>
      <w:r>
        <w:rPr>
          <w:color w:val="000000"/>
        </w:rPr>
        <w:t xml:space="preserve"> </w:t>
      </w:r>
      <w:r>
        <w:rPr>
          <w:rFonts w:ascii="Arial;sans-serif" w:hAnsi="Arial;sans-serif"/>
          <w:b w:val="false"/>
          <w:color w:val="000000"/>
          <w:sz w:val="20"/>
        </w:rPr>
        <w:t>of the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For purposes of the Agreement, except to the extent expressly provided in the Agreement or expressly and minimally required by applicable legislation, in the event Participant ceases his or her employment or service relationship with the Company or Employer (regardless of the reason for such cessation, and whether or not later found to be invalid or in breach of employment laws in the jurisdiction where Participant is employed or the terms of Participant’s employment agreement, if any), Participant’s right (if any) to earn, seek damages in lieu of, vest in or otherwise benefit from or participate in the Plan or the Restricted Stock Units will be measured by and terminate as of the date that is the earliest of: (a) the date Participant is no longer actually providing services to the Company or Employer, (b) the date Participant receives written notice of termination of employment, or (c) the date written notice of termination is delivered to Participant's last known address (together, the “Termination Date”). </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 xml:space="preserve">Except to the extent explicitly and minimally required by applicable legislation, the Termination Date will exclude any period during which notice, pay in lieu of notice or related payments or damages are provided or required to be provided under statute, contract, common/civil law or otherwise. Participant will not earn, or be entitled to earn, any pro-rated vesting or other participation for that portion of time before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the Termination Date, nor will Participant be entitled to any compensation for lost vesting or other participation.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In case of any dispute as to whether termination of employment has occurred that cannot be reasonably determined under the Agreement and the Plan, the Administrator shall have the sole discretion, subject to applicable legislation, to determine whether such termination of employment has occurred and the effective date of such termination.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Notwithstanding the foregoing, if applicable employment standards legislation explicitly requires continued entitlement to vesting or other participation during a statutory notice period, Participant’s right to vest in or otherwise benefit from the Restricted Stock Units under the Plan, if any, will terminate effective as of the last day of their minimum statutory notice period, but Participant will not earn or be entitled to pro-rated vesting or other participation if the vesting date falls after the end of their statutory notice period, nor will Participant be entitled to any compensation for lost vesting or other participation. For further clarity, any reference to a termination of employment or service, or to a Termination Date, under the Agreement or the Plan will be interpreted to mean the Termination Date as defined herein.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Nature of Grant</w:t>
      </w:r>
      <w:r>
        <w:rPr>
          <w:rFonts w:ascii="Arial;sans-serif" w:hAnsi="Arial;sans-serif"/>
          <w:b w:val="false"/>
          <w:color w:val="000000"/>
          <w:sz w:val="20"/>
        </w:rPr>
        <w:t>.     This provision replaces Section 24(c) of the Agreement: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Except to the extent explicitly and minimally required under applicable legislation, no Subsidiary or affiliate of the Company (including, but not limited to, the Employer) has any obligation to make any payment of any kind to Participant under this Agreement.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Nature of Grant</w:t>
      </w:r>
      <w:r>
        <w:rPr>
          <w:rFonts w:ascii="Arial;sans-serif" w:hAnsi="Arial;sans-serif"/>
          <w:b w:val="false"/>
          <w:color w:val="000000"/>
          <w:sz w:val="20"/>
        </w:rPr>
        <w:t xml:space="preserve">. This provision replaces Section 24(i) of the Agreement: </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Except to the extent explicitly and minimally required under applicable legislation, the Restricted Stock Unit Award, and any Shares acquired under the Plan, and the income and value of same, is not part of normal or expected compensation or salary for any purpose, including, but not limited to, calculating any severance payments, resignation, termination, redundancy, end-of-service payments, holiday pay, bonuses, long-service awards, leave-related payments, pension or retirement or welfare benefits or similar mandatory payments. This applies to any payment even in those jurisdictions requiring such payments upon termination of employment.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Nature of Grant</w:t>
      </w:r>
      <w:r>
        <w:rPr>
          <w:rFonts w:ascii="Arial;sans-serif" w:hAnsi="Arial;sans-serif"/>
          <w:b w:val="false"/>
          <w:color w:val="000000"/>
          <w:sz w:val="20"/>
        </w:rPr>
        <w:t>. This provision replaces Section 24(m) of the Agreement: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Except to the extent explicitly and minimally required under applicable legislation, there shall be no additional obligations for any Subsidiary employing Participant as a result of this Restricted Stock Unit Award.</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Nature of Grant</w:t>
      </w:r>
      <w:r>
        <w:rPr>
          <w:rFonts w:ascii="Arial;sans-serif" w:hAnsi="Arial;sans-serif"/>
          <w:b w:val="false"/>
          <w:color w:val="000000"/>
          <w:sz w:val="20"/>
        </w:rPr>
        <w:t>. This provision replaces Section 24(p)(i) of the Agreement: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Except to the extent explicitly and minimally required under local employment standards legislation, no claim or entitlement to compensation or damages shall arise from (i) forfeiture of the Restricted Stock Units resulting from the termination of Participant’s employment or other service relationship (regardless of the reason for such termination, and whether or not later found to be invalid or in breach of employment laws in the jurisdiction where Participant is employed or the terms of Participant’s employment agreement, if any), and/or (ii) forfeiture of the Restricted Stock Units or recoupment of any Shares, cash or other benefits acquired pursuant to the Restricted Stock Units resulting from the application of any recoupment or clawback policy of the Company, as it may be amended from time to time (whether such policy is adopted on or after the date of this Agreement) or any recoupment otherwise required by applicable laws, regulations or stock exchange listing standards.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i/>
          <w:color w:val="000000"/>
          <w:sz w:val="20"/>
        </w:rPr>
        <w:t>The following terms and conditions will apply if Participant is a resident of Quebec</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Data Privacy</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provision supplements section 25 of the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hereby authorizes the Company and the Company’s representatives to discuss with and obtain all relevant information from all personnel, professional or not, involved in the administration and operation of the Plan. Participant further authorizes the Company, any Parent or Subsidiary and any stock plan service provider that may be selected by the Company to assist with the Plan to disclose and discuss the Plan with their respective advisors. Participant further authorizes the Company and any Parent or Subsidiary to record such information and to keep such information in Participant’s employee file. Participant acknowledges and agrees that his or her personal information, including sensitive personal information, may be transferred or disclosed outside of the province of Quebec, including to the United States. Finally, Participant acknowledges and authorizes the Company and other parties involved in the administration of the Plan to use technology for profiling purposes and to make automated decisions that may have an impact on Participant or the administration of the Plan.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Language Consent</w:t>
      </w:r>
      <w:r>
        <w:rPr>
          <w:rFonts w:ascii="Arial;sans-serif" w:hAnsi="Arial;sans-serif"/>
          <w:b w:val="false"/>
          <w:color w:val="000000"/>
          <w:sz w:val="20"/>
        </w:rPr>
        <w:t>. A French translation of the Plan and the Agreement has been made available to Participant.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 Notwithstanding anything to the contrary in the Plan or the Agreement, and unless Participant indicates otherwise, the French translation of this Agreement and the Plan will govern Participant’s participation in the Plan. If Participant transfers residency outside Quebec, the English version of this Agreement and the Plan will govern Participant’s participation in the Plan.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Participant is permitted to sell Shares acquired through the Plan through the designated broker appointed under the Plan, if any, provided the resale of Shares acquired under the Plan takes place outside Canada through the facilities of a stock exchange on which the Shares are listed on the Nasdaq Global Select Market.</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CHINA</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The following terms and conditions apply if Participant is subject to exchange control restrictions and regulations in China, including the requirements imposed by the State Administration of Foreign Exchange (“SAFE”) as determined by the Company in its sole discretion.</w:t>
      </w:r>
    </w:p>
    <w:p>
      <w:pPr>
        <w:pStyle w:val="TextBody"/>
        <w:bidi w:val="0"/>
        <w:spacing w:before="0" w:after="0"/>
        <w:jc w:val="left"/>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20"/>
          <w:u w:val="single"/>
        </w:rPr>
        <w:t>Vesting</w:t>
      </w:r>
      <w:r>
        <w:rPr>
          <w:rFonts w:ascii="Arial;sans-serif" w:hAnsi="Arial;sans-serif"/>
          <w:b w:val="false"/>
          <w:color w:val="000000"/>
          <w:sz w:val="20"/>
        </w:rPr>
        <w:t xml:space="preserve">. Notwithstanding anything to the contrary in the Plan or this Agreement, unless otherwise determined by the Company, the Restricted Stock Units will not vest and no Shares will be issued to Participant unless and until all necessary exchange control or other approvals with respect to the Restricted Stock Units under the Plan have been obtained from the SAFE or its local counterpart (“SAFE Approval”). In the event that SAFE Approval has not been obtained prior to any date(s) on which the Restricted Stock Units are scheduled to vest in accordance with the vesting schedule set forth in this Agreement, unless otherwise determined by the Company, Participant will receive a vesting credit for the Restricted Stock Units that would have vested once SAFE Approval is obtained (the “Actual Vesting Date”). Unless otherwise determined by the Company, if Participant’s status as an Employee terminates prior to the Actual Vesting Date, Participant shall not be entitled to vest in any portion of the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Stock Units and the Restricted Stock Units shall be forfeited without any liability to the Company, the Employer or any Subsidiary or affiliate of the Company.</w: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color w:val="000000"/>
          <w:sz w:val="20"/>
          <w:u w:val="single"/>
        </w:rPr>
        <w:t>Sale Requirement</w:t>
      </w:r>
      <w:r>
        <w:rPr>
          <w:rFonts w:ascii="Arial;sans-serif" w:hAnsi="Arial;sans-serif"/>
          <w:b w:val="false"/>
          <w:color w:val="000000"/>
          <w:sz w:val="20"/>
        </w:rPr>
        <w:t xml:space="preserve">. Notwithstanding any provisions concerning the conversion of Restricted Stock Units and issuance of Shares set forth in this Agreement and the Plan, due to exchange control laws in China, Participant agrees that the Company reserves the right to require the immediate sale of any Shares issued upon settlement of the Restricted Stock Units. Participant understands and agrees that any such immediate sale of Shares will occur as soon as is practical following settlement of the Restricted Stock Units. Alternatively, if the Shares are not immediately sold upon settlement of the Restricted Stock Units, the Company will require the sale of any Shares Participant may then hold within six (6) months (or such other period as may be required under applicable legal or exchange control requirements) following the termination of Participant’s employment with the Company including its Subsidiaries. </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agrees that the Company is authorized to instruct such designated broker as may be selected by the Company to assist with the sale of the Shares on Participant’s behalf pursuant to this authorization, and Participant expressly authorizes such broker to complete the sale of such Shares. Participant also agrees to sign any agreements, forms and/or consents that may be reasonably requested by the Company (or the Company’s designated broker) to effectuate the sale of the Shares (including, without limitation, as to the transfers of the proceeds and other exchange control matters noted below) and to otherwise cooperate with the Company with respect to such matters, provided that he or she shall not be permitted to exercise any influence over how, when or whether the sales occur. Upon the sale of the Shares, Participant will receive the cash proceeds from the sale, less any applicable Tax-Related Items, brokerage fees or commissions, in accordance with applicable exchange control laws and regulations.</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Participant acknowledges that such designated broker as may be selected by the Company is under no obligation to arrange for the sale of the Shares at any particular price. Due to fluctuations in the Share price and/or applicable exchange rates between the settlement date and (if later) the date on which the Shares are sold, the amount of proceeds ultimately distributed to Participant may be more or less than the market value of the Shares on the settlement date (which is the amount relevant to determining his or her liability for Tax-Related Items). Participant understands and agrees that the Company is not responsible for the amount of any loss that he or she may incur and that the Company assumes no liability for any fluctuations in the Share price and/or any applicable exchange rate. </w: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color w:val="000000"/>
          <w:sz w:val="20"/>
          <w:u w:val="single"/>
        </w:rPr>
        <w:t>Designated Broker Account</w:t>
      </w:r>
      <w:r>
        <w:rPr>
          <w:rFonts w:ascii="Arial;sans-serif" w:hAnsi="Arial;sans-serif"/>
          <w:b w:val="false"/>
          <w:color w:val="000000"/>
          <w:sz w:val="20"/>
        </w:rPr>
        <w:t>. If Shares issued upon the settlement of the Restricted Stock Units are not immediately sold, Participant acknowledges that he or she is required to maintain the Shares in an account as may be selected by the Company until the Shares are sold through such Company-designated broker (as further detailed below).</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Requirements</w:t>
      </w:r>
      <w:r>
        <w:rPr>
          <w:rFonts w:ascii="Arial;sans-serif" w:hAnsi="Arial;sans-serif"/>
          <w:b w:val="false"/>
          <w:color w:val="000000"/>
          <w:sz w:val="20"/>
        </w:rPr>
        <w:t xml:space="preserve">. Participant understands and agrees that, pursuant to local exchange control requirements, he or she will be required to immediately repatriate the cash proceeds from the sale of Shares and any cash dividends paid on such Shares to China. Participant further understands that, under local law, such repatriation of his or her cash proceeds may need to be effectuated through a special exchange control account established by the Company, the Employer or any other parent or Subsidiary, and Participant hereby consents and agrees that any proceeds from the sale of Shares or any cash dividends paid on such Shares may be transferred to such special account prior to being delivered to him or her. </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 xml:space="preserve">The proceeds may be paid to Participant in US dollars or local currency at the Company’s discretion. In the event the proceeds are paid to Participant in US dollars, he or she understands that he or she will be required to set up a US dollar bank account in China and provide the bank account details to his or her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Employer and/or the Company so that the proceeds may be deposited into this account. If the proceeds are paid to Participant in local currency, the Company is under no obligation to secure any particular exchange conversion rate and/or conversion date and the Company may face delays in converting the proceeds to local currency due to exchange control restrictions. Participant agrees to bear any currency fluctuation risk between the time the Shares are sold or dividends are received and the time the proceeds are distributed through any such special exchange account. Participant further agrees to comply with any other requirements that may be imposed by the Company in the future in order to facilitate compliance with exchange control requirements in China.</w:t>
      </w:r>
    </w:p>
    <w:p>
      <w:pPr>
        <w:pStyle w:val="TextBody"/>
        <w:bidi w:val="0"/>
        <w:spacing w:before="0" w:after="0"/>
        <w:jc w:val="left"/>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COLOMBIA</w:t>
      </w:r>
    </w:p>
    <w:p>
      <w:pPr>
        <w:pStyle w:val="TextBody"/>
        <w:bidi w:val="0"/>
        <w:spacing w:before="0" w:after="0"/>
        <w:jc w:val="left"/>
        <w:rPr/>
      </w:pPr>
      <w:r>
        <w:rPr/>
      </w:r>
    </w:p>
    <w:p>
      <w:pPr>
        <w:pStyle w:val="TextBody"/>
        <w:bidi w:val="0"/>
        <w:spacing w:lineRule="auto" w:line="312" w:before="0" w:after="0"/>
        <w:jc w:val="left"/>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Labor Law Acknowledgement</w:t>
      </w:r>
      <w:r>
        <w:rPr>
          <w:rFonts w:ascii="Arial;sans-serif" w:hAnsi="Arial;sans-serif"/>
          <w:b w:val="false"/>
          <w:color w:val="000000"/>
          <w:sz w:val="20"/>
        </w:rPr>
        <w:t>. This provision supplements Section 24 of the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expressly acknowledges that, pursuant to Article 15 of Law 50/1990 (Article 128 of the Colombian Labor Code), the Restricted Stock Units and any payments Participant receives pursuant to the Restricted Stock Units are wholly discretionary and are a benefit of an extraordinary nature that do not exclusively depend on Participant’s performance. Accordingly, the Plan, the Restricted Stock Units and related benefits do not constitute a component of Participant’s “salary” for any legal purpose, including for purposes of calculating any and all labor benefits, such as fringe benefits, vacation pay, termination or other indemnities, payroll taxes, social insurance contributions, or any other outstanding employment-related amounts, subject to the limitations provided in Law 1393/2010.</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Mandate Letter</w:t>
      </w:r>
      <w:r>
        <w:rPr>
          <w:rFonts w:ascii="Arial;sans-serif" w:hAnsi="Arial;sans-serif"/>
          <w:b w:val="false"/>
          <w:color w:val="000000"/>
          <w:sz w:val="20"/>
        </w:rPr>
        <w:t>. In accepting the Restricted Stock Units, Participant agrees that, if requested by the Company or the Employer, Participant will execute a Mandate Letter or such other document (whether electronically or by such other method as requested by the Company or the Employer) that the Company determines is necessary or advisable in order that (i) a sufficient number of Shares to be allocated to Participant upon vesting can be withheld or sold on Participant’s behalf to cover Tax-Related Items required to be withheld by the Employer and (ii) the proceeds from such sale can be wired directly from the Company to the Employer in Colombia for remittance to the tax authorities.</w:t>
      </w:r>
    </w:p>
    <w:p>
      <w:pPr>
        <w:pStyle w:val="TextBody"/>
        <w:bidi w:val="0"/>
        <w:spacing w:before="0" w:after="0"/>
        <w:jc w:val="left"/>
        <w:rPr/>
      </w:pPr>
      <w:r>
        <w:rPr/>
      </w:r>
    </w:p>
    <w:p>
      <w:pPr>
        <w:pStyle w:val="TextBody"/>
        <w:bidi w:val="0"/>
        <w:spacing w:lineRule="auto" w:line="312" w:before="0" w:after="0"/>
        <w:jc w:val="left"/>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Participant is responsible for complying with any and all Colombian foreign exchange requirements in connection with the Restricted Stock Units, any Shares acquired and funds remitted into Colombia in connection with the Plan. This may include, among others, reporting obligations to the Central Bank (</w:t>
      </w:r>
      <w:r>
        <w:rPr>
          <w:rFonts w:ascii="Arial;sans-serif" w:hAnsi="Arial;sans-serif"/>
          <w:b w:val="false"/>
          <w:i/>
          <w:color w:val="000000"/>
          <w:sz w:val="20"/>
        </w:rPr>
        <w:t>Banco de la República</w:t>
      </w:r>
      <w:r>
        <w:rPr>
          <w:rFonts w:ascii="Arial;sans-serif" w:hAnsi="Arial;sans-serif"/>
          <w:b w:val="false"/>
          <w:color w:val="000000"/>
          <w:sz w:val="20"/>
        </w:rPr>
        <w:t>) and, in certain circumstances, repatriation requirements. Participant is responsible for ensuring his or her compliance with any applicable requirements and should speak to his or her personal legal advisor on this matter.</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Shares are not and will not be registered with the Colombian registry of publicly traded securities (</w:t>
      </w:r>
      <w:r>
        <w:rPr>
          <w:rFonts w:ascii="Arial;sans-serif" w:hAnsi="Arial;sans-serif"/>
          <w:b w:val="false"/>
          <w:i/>
          <w:color w:val="000000"/>
          <w:sz w:val="20"/>
        </w:rPr>
        <w:t>Registro Nacional de Valores y Emisores</w:t>
      </w:r>
      <w:r>
        <w:rPr>
          <w:rFonts w:ascii="Arial;sans-serif" w:hAnsi="Arial;sans-serif"/>
          <w:b w:val="false"/>
          <w:color w:val="000000"/>
          <w:sz w:val="20"/>
        </w:rPr>
        <w:t>) and therefore the Shares may not be offered to the public in Colombia. Nothing in this document should be construed as the making of a public offer of securities in Colombia.</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COSTA RICA</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CROATIA</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Croatian residents may be required to report any acquisition of foreign securities (such as Shares) to the Croatian National Bank for statistical purposes. However, because exchange control regulations may change without notice, Participant should consult their personal legal advisor to ensure compliance with current regulations. It is Participant’s responsibility to comply with Croatian exchange control laws.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CZECH REPUBLIC</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color w:val="000000"/>
          <w:sz w:val="20"/>
        </w:rPr>
        <w:t>.</w:t>
      </w:r>
      <w:r>
        <w:rPr>
          <w:color w:val="000000"/>
        </w:rPr>
        <w:t xml:space="preserve"> </w:t>
      </w:r>
      <w:r>
        <w:rPr>
          <w:rFonts w:ascii="Arial;sans-serif" w:hAnsi="Arial;sans-serif"/>
          <w:b w:val="false"/>
          <w:color w:val="000000"/>
          <w:sz w:val="20"/>
        </w:rPr>
        <w:t>Proceeds from the sale of Shares, any dividends paid on such Shares may be held in a cash account abroad and Participant is no longer required to report the opening and maintenance of a foreign account to the Czech National Bank (the “CNB”), unless the CNB notifies Participant specifically that such reporting is required. Upon request of the CNB, Participant may need to file a notification within fifteen (15) days of the end of the calendar quarter in which Participant acquires Shares. However, because exchange control regulations change frequently and without notice, Participant should consult his or her personal legal advisor prior to vesting to ensure compliance with current regulations.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DENMARK</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Danish Stock Option Act</w:t>
      </w:r>
      <w:r>
        <w:rPr>
          <w:rFonts w:ascii="Arial;sans-serif" w:hAnsi="Arial;sans-serif"/>
          <w:b w:val="false"/>
          <w:color w:val="000000"/>
          <w:sz w:val="20"/>
        </w:rPr>
        <w:t>. By participating in the Plan, Participant acknowledges that he or she received an Employer Statement translated into Danish, which is being provided to comply with the Danish Stock Option Act,</w:t>
      </w:r>
      <w:r>
        <w:rPr>
          <w:color w:val="000000"/>
        </w:rPr>
        <w:t xml:space="preserve"> </w:t>
      </w:r>
      <w:r>
        <w:rPr>
          <w:rFonts w:ascii="Arial;sans-serif" w:hAnsi="Arial;sans-serif"/>
          <w:b w:val="false"/>
          <w:color w:val="000000"/>
          <w:sz w:val="20"/>
        </w:rPr>
        <w:t xml:space="preserve">as amended effective January 1, 2019, to the extent the Danish Stock Option Act applies to the Restricted Stock Units.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Securities/Tax Reporting Information</w:t>
      </w:r>
      <w:r>
        <w:rPr>
          <w:rFonts w:ascii="Arial;sans-serif" w:hAnsi="Arial;sans-serif"/>
          <w:b w:val="false"/>
          <w:color w:val="000000"/>
          <w:sz w:val="20"/>
        </w:rPr>
        <w:t xml:space="preserve">. Participant must report the foreign bank/broker accounts and their deposits, and Shares held in a foreign bank or broker in his or her tax return under the section on foreign affairs and income. </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FINLAND</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FRANCE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20"/>
          <w:u w:val="single"/>
        </w:rPr>
        <w:t>French-qualified Restricted Stock Units</w:t>
      </w:r>
      <w:r>
        <w:rPr>
          <w:rFonts w:ascii="Arial;sans-serif" w:hAnsi="Arial;sans-serif"/>
          <w:b w:val="false"/>
          <w:color w:val="000000"/>
          <w:sz w:val="20"/>
        </w:rPr>
        <w:t xml:space="preserve">. The Restricted Stock Units are intended to qualify for the favorable tax and social security regime in France under Sections L. 225-197-1 to L. 225-197-5 and Sections L. 22-10-59 and L. 22-10-60 of the French Commercial Code, as amended. Certain events may affect the status of the Restricted Stock Units as French-qualified Restricted Stock Units, and the French-qualified Restricted Stock Units may be disqualified in the future. The Company does not make any undertaking or representation to maintain the qualified status of the Restricted Stock Units. If the Restricted Stock Units no longer qualify as French-qualified Restricted Stock Units, the favorable tax and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social security treatment will not apply, and the Participant will be required to pay his or her portion of social security contributions resulting from the Restricted Stock Units (as well as any income tax that is due).</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Plan Terms</w:t>
      </w:r>
      <w:r>
        <w:rPr>
          <w:rFonts w:ascii="Arial;sans-serif" w:hAnsi="Arial;sans-serif"/>
          <w:b w:val="false"/>
          <w:color w:val="000000"/>
          <w:sz w:val="20"/>
        </w:rPr>
        <w:t>. The Restricted Stock Units are subject to the terms and conditions of the Plan and the Rules of the Autodesk, Inc. 2022 Equity Incentive Plan for grants to Participants in France (the “French Sub-plan”). To the extent that any term is defined in both the Plan and the French Sub-plan, for purposes of this grant of a French-qualified Restricted Stock Units, the definitions in the French Sub-plan shall prevail.</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Vesting</w:t>
      </w:r>
      <w:r>
        <w:rPr>
          <w:rFonts w:ascii="Arial;sans-serif" w:hAnsi="Arial;sans-serif"/>
          <w:b w:val="false"/>
          <w:color w:val="000000"/>
          <w:sz w:val="20"/>
        </w:rPr>
        <w:t>. This provision supplements Section 3 in the Agreement: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Except in the event of the Participant’s death to benefit from the favorable tax and social security regime, no vesting shall occur prior to the first anniversary of the Grant Date, or such other minimum period as required for the vesting period applicable to French-qualified Restricted Stock Units under Section L. 225-197-1 of the French Commercial Code, as amended, or relevant Sections of the French Tax Code or the French Social Security Code, as amended.</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Death of Participant</w:t>
      </w:r>
      <w:r>
        <w:rPr>
          <w:rFonts w:ascii="Arial;sans-serif" w:hAnsi="Arial;sans-serif"/>
          <w:b w:val="false"/>
          <w:color w:val="000000"/>
          <w:sz w:val="20"/>
        </w:rPr>
        <w:t>. This provision replaces Section 7(b) in the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Subject to Section 7(c), in the event of the death of Participant during the term of this Award and while an Employee, all unvested Restricted Stock Units that are Time-Based RSUs shall vest in full as of the date of death and will become fully transferable to the heirs of Participant. Notwithstanding the foregoing, in the event of Participant’s death, Participant’s heirs are entitled to request that the number of Shares corresponding to the unvested Restricted Stock Units as of the date of Participant’s death be delivered to them, provided such request is made within six (6) months following the date of Participant’s death. If Participant’s heir do not request the delivery of the Shares within six (6) months following Participants death, the Restricted Stock Units will be forfeited.</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Restrictions on the Sale or Transfer of Shares.</w:t>
      </w:r>
      <w:r>
        <w:rPr>
          <w:color w:val="000000"/>
        </w:rPr>
        <w:t xml:space="preserve"> </w:t>
      </w:r>
      <w:r>
        <w:rPr>
          <w:rFonts w:ascii="Arial;sans-serif" w:hAnsi="Arial;sans-serif"/>
          <w:b w:val="false"/>
          <w:color w:val="000000"/>
          <w:sz w:val="20"/>
        </w:rPr>
        <w:t>Participant must not sell or otherwise dispose of the Shares until the second anniversary of the Grant Date or such other period as is required to comply with the minimum holding period applicable to shares underlying the French-Qualified Restricted Stock Units under Section L. 225-197-1 of the French Commercial Code, as amended or the relevant sections of the French Tax Code or the French Social Security Code, as amended. The minimum holding period applies even after Participant is no longer an employee of the French Entity, except in the case of Participant’s death or Disability. Additionally, Participant shall not sell the Shares during certain Closed Periods, as defined in the French Sub-Plan, to the extent such Closed Period for French-Qualified Restricted Stock Units apply.</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Disqualification of French-Qualified Restricted Stock Units</w:t>
      </w:r>
      <w:r>
        <w:rPr>
          <w:rFonts w:ascii="Arial;sans-serif" w:hAnsi="Arial;sans-serif"/>
          <w:b w:val="false"/>
          <w:color w:val="000000"/>
          <w:sz w:val="20"/>
        </w:rPr>
        <w:t>. If the French-qualified Restricted Stock Units are otherwise modified or adjusted in a manner in keeping with the Plan or as mandated as a matter of law and the modification or adjustment is contrary to the terms and conditions of the French Sub-plan or is contrary to French rules, the Restricted Stock Units may no longer qualify as French-qualified Restricted Stock Units. If the Restricted Stock Units no longer qualify as French-qualified Restricted Stock Units, the Administrator may, provided it is authorized to do so under the Plan, determine to lift, shorten or terminate certain restrictions applicable to the vesting of the Restricted Stock Units or the sale of the Shares which may have been imposed under the French Sub-plan and this Agreement.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Language Consent</w:t>
      </w:r>
      <w:r>
        <w:rPr>
          <w:rFonts w:ascii="Arial;sans-serif" w:hAnsi="Arial;sans-serif"/>
          <w:b w:val="false"/>
          <w:color w:val="000000"/>
          <w:sz w:val="20"/>
        </w:rPr>
        <w:t>. By accepting the Award, Participant confirms having read and understood the Plan and Agreement which were provided in the English language. Participant accepts the terms of those documents accordingly.</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i/>
          <w:color w:val="000000"/>
          <w:sz w:val="20"/>
          <w:u w:val="single"/>
        </w:rPr>
        <w:t>Consentement Relatif à la Langue Utilisée</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En acceptant l’Attribution, le Participant confirme avoir lu et compris le Plan et le Contrat, qui ont été communiqués en langue anglaise. Le Participant accepte les termes de ces documents en connaissance de cause.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Participant must declare to the customs and excise authorities any cash or securities he or she imports or exports without the use of a financial institution when the value of the cash or securities is equal to or exceeds a certain amount.</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GERMANY</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Cross-border payments in excess of €50,000 must be reported to the German Federal Bank (Bundesbank). If Participant makes or receives a payment in excess of this amount (including if Participant acquires Shares under the Plan or receives dividends with a value in excess of this amount or sell Shares via a foreign broker, bank or service provider and receive proceeds in excess of this amount) and/or if the Company withholds or sells Shares with a value in excess of this amount to cover the Tax-Related Items, Participant must report the payment and/or the value of the Shares withheld or sold to Bundesbank. Such reports must be filed either electronically using the “General Statistics Reporting Portal” (“</w:t>
      </w:r>
      <w:r>
        <w:rPr>
          <w:rFonts w:ascii="Arial;sans-serif" w:hAnsi="Arial;sans-serif"/>
          <w:b w:val="false"/>
          <w:i/>
          <w:color w:val="000000"/>
          <w:sz w:val="20"/>
        </w:rPr>
        <w:t>Allgemeine Meldeportal Statistik</w:t>
      </w:r>
      <w:r>
        <w:rPr>
          <w:color w:val="000000"/>
        </w:rPr>
        <w:t>”</w:t>
      </w:r>
      <w:r>
        <w:rPr>
          <w:rFonts w:ascii="Arial;sans-serif" w:hAnsi="Arial;sans-serif"/>
          <w:b w:val="false"/>
          <w:color w:val="000000"/>
          <w:sz w:val="20"/>
        </w:rPr>
        <w:t>) available via the Bundesbank’s website (www.bundesbank.de) or via such other method (e.g., by email or telephone) as is permitted or required by the Bundesbank. The report must be submitted monthly or within other such timing as is permitted or required by the Bundesbank. Participant should consult with Participant’s personal legal advisor to ensure compliance with applicable reporting requirements.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HONG KONG</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Form of Settlement</w:t>
      </w:r>
      <w:r>
        <w:rPr>
          <w:rFonts w:ascii="Arial;sans-serif" w:hAnsi="Arial;sans-serif"/>
          <w:b w:val="false"/>
          <w:color w:val="000000"/>
          <w:sz w:val="20"/>
        </w:rPr>
        <w:t>. As detailed in Section 2 of the Agreement and notwithstanding any discretion in the Plan, the Restricted Stock Units will be settled only in Shares. The Restricted Stock Units do not provide any right for Participant to receive a cash payment.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Compliance</w:t>
      </w:r>
      <w:r>
        <w:rPr>
          <w:rFonts w:ascii="Arial;sans-serif" w:hAnsi="Arial;sans-serif"/>
          <w:b w:val="false"/>
          <w:color w:val="000000"/>
          <w:sz w:val="20"/>
        </w:rPr>
        <w:t>. Participant acknowledges and agrees that any and all Shares allotted or issued pursuant to the terms and conditions of the Plan are issued to Participant for his/her own account and not with a view to all or any of those Shares being offered for sale to the public. Participant may not sell or offer to sell any Shares issued to him or her within six months following the Date of Grant. By accepting the Restricted Stock Units, Participant acknowledges and agrees that he or she is bound by the provisions of the certificate of incorporation or bylaws of the Company, as amended (including any provisions restricting the sale or transfer of such Shares) and the Plan and that any subsequent sale or transfer of the Shares must be undertaken in accordance with all Applicable Laws and regulations and that no documentation issued by the Company to Participant in respect of the Restricted Stock Units or the Shares may be disseminated or disclosed to any person at any time.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20"/>
          <w:u w:val="single"/>
        </w:rPr>
        <w:t>Securities Law Notification</w:t>
      </w:r>
      <w:r>
        <w:rPr>
          <w:rFonts w:ascii="Arial;sans-serif" w:hAnsi="Arial;sans-serif"/>
          <w:b w:val="false"/>
          <w:color w:val="000000"/>
          <w:sz w:val="20"/>
        </w:rPr>
        <w:t xml:space="preserve">. </w:t>
      </w:r>
      <w:r>
        <w:rPr>
          <w:rFonts w:ascii="Arial;sans-serif" w:hAnsi="Arial;sans-serif"/>
          <w:b w:val="false"/>
          <w:i/>
          <w:color w:val="000000"/>
          <w:sz w:val="20"/>
        </w:rPr>
        <w:t xml:space="preserve">WARNING: The contents of this Agreement, the Plan and any other incidental communication materials distributed in connection with the Restricted Stock Units have not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been reviewed by any regulatory authority in Hong Kong. Participant should exercise caution in relation to the Award. If Participant is in any doubt about any of the contents of this Agreement, including this Exhibit B, the Plan any other incidental communication materials distributed in connection with the Restricted Stock Units, Participant should obtain independent professional advice.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The Restricted Stock Units and Shares that may be issued in respect of the Restricted Stock Units have not been offered or sold and will not be offered or sold in Hong Kong by means of any document other than in other circumstances which do not result in the document being a “prospectus” as defined in the Companies Ordinance (Chapter 32 of the Laws of Hong Kong) or which do not constitute an offer to the public within the meaning of that ordinance.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This Agreement, including this Exhibit B, and the information contained herein may not be used other than by Participant and may not be reproduced in any form or transferred to any person in Hong Kong. This Award is not an offer for sale to the public in Hong Kong and it is not the intention of the Company that the Restricted Stock Units or the Shares be offered for sale to the public in Hong Kong.</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 xml:space="preserve">HUNGARY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INDIA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Participant must repatriate any proceeds from the sale of Shares acquired under the Plan and any cash dividends to India and convert the proceeds into local currency within such time as prescribed under applicable Indian exchange control laws, as may be amended from time to time. Participant will receive a foreign inward remittance certificate (“FIRC”) from the bank where Participant deposits the foreign currency. Participant should retain the FIRC as evidence of the repatriation of funds in the event the Reserve Bank of India or the Employer requests proof of repatriation. Participant agrees to provide any information that may be required by the Company or the Employer to make any applicable filings under exchange control laws in India.  It is Participant’s responsibility to comply with applicable exchange control laws in India.</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INDONESIA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Language Consent and Information</w:t>
      </w:r>
      <w:r>
        <w:rPr>
          <w:rFonts w:ascii="Arial;sans-serif" w:hAnsi="Arial;sans-serif"/>
          <w:b w:val="false"/>
          <w:color w:val="000000"/>
          <w:sz w:val="20"/>
        </w:rPr>
        <w:t>. By accepting the grant of Restricted Stock Units, Participant (i) confirms having read and understood the documents relating to this grant (i.e., the Notice of Grant, the Agreement (including Exhibit A and B thereof) and the Plan)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pStyle w:val="TextBody"/>
        <w:bidi w:val="0"/>
        <w:spacing w:before="0" w:after="0"/>
        <w:jc w:val="both"/>
        <w:rPr/>
      </w:pPr>
      <w:r>
        <w:rPr/>
      </w:r>
    </w:p>
    <w:p>
      <w:pPr>
        <w:pStyle w:val="TextBody"/>
        <w:bidi w:val="0"/>
        <w:spacing w:lineRule="auto" w:line="288"/>
        <w:jc w:val="both"/>
        <w:rPr/>
      </w:pPr>
      <w:r>
        <w:rPr>
          <w:rFonts w:ascii="Arial;sans-serif" w:hAnsi="Arial;sans-serif"/>
          <w:b/>
          <w:i/>
          <w:color w:val="000000"/>
          <w:sz w:val="20"/>
        </w:rPr>
        <w:t>Persetujuan dan Pemberitahuan Bahasa</w:t>
      </w:r>
      <w:r>
        <w:rPr>
          <w:color w:val="000000"/>
        </w:rPr>
        <w:t xml:space="preserve"> </w:t>
      </w:r>
      <w:r>
        <w:rPr>
          <w:rFonts w:ascii="Arial;sans-serif" w:hAnsi="Arial;sans-serif"/>
          <w:b w:val="false"/>
          <w:i/>
          <w:color w:val="000000"/>
          <w:sz w:val="20"/>
        </w:rPr>
        <w:t xml:space="preserve">. Dengan menerima pemberian Unit Saham Terbatas ini, Peserta (i) memberikan konfirmasi bahwa dirinya telah membaca dan memahami dokumen-dokumen berkaitan dengan pemberian ini (yaitu, Pemberitahuan Pemberian, Perjanjian Penghargaan dan Program) yang disediakan dalam Bahasa Inggris, (ii) menerima persyaratan di dalam dokumen-dokumen tersebut, dan (iii) setuju untuk tidak mengajukan keberatan atas keberlakuan dari dokumen ini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berdasarkan Undang-Undang No. 24 Tahun 2009 tentang Bendera, Bahasa dan Lambang Negara serta Lagu Kebangsaan ataupun Peraturan Presiden sebagai pelaksanaannya (ketika diterbitkan)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In general, no exchange control approvals are required in Indonesia. However, foreign exchange activity is subject to certain reporting requirements. For foreign currency transactions exceeding US$25,000, the underlying document of that transaction will have to be submitted to the relevant local bank. If there is a change of position of any the foreign asset held (including Shares acquired under the Plan), Participant must report this change in position (i.e., sale of Shares) to the Bank of Indonesia no later than the 15th day of the month following the change in position. If Indonesian residents remit proceeds from the sale of Shares into Indonesia, the Indonesian Bank through which the transaction is made will submit a report on the transaction to the Bank of Indonesia. For transactions of US$10,000 or more (or its equivalent in other currency), a description of the transaction must be included in the report. Although the bank through which the transaction is made is required to make the report, Indonesian residents must complete a “Transfer Report Form.” The Transfer Report Form will be provided to the Indonesian residents by the bank through which the transaction is made.</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IRELAND</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ISRAEL</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The following provisions apply to Participants who are in Israel on the Date of Grant.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Grant</w:t>
      </w:r>
      <w:r>
        <w:rPr>
          <w:rFonts w:ascii="Arial;sans-serif" w:hAnsi="Arial;sans-serif"/>
          <w:b w:val="false"/>
          <w:color w:val="000000"/>
          <w:sz w:val="20"/>
        </w:rPr>
        <w:t>. Section 1 of the Agreement shall be supplemented to add the following language at the end thereof:</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References to the Plan will be deemed to include the Sub-plan for Israeli Participants (the “Sub-plan”). The Restricted Stock Units are granted as a 102 Capital Gains Track Grant, subject to the terms and conditions of Section 102(b)(2) and 102(b)(3) of the Income Tax Ordinance (New Version) – 1961 (the “ITO”), the Plan and the Trust Agreement (“Trust Agreement”), entered into between the Company and ESOP Management and Trust Services Ltd. (the “Trustee”). References to the issuance of Shares to Participant shall be deemed to include the words “or the Trustee”. References to “Applicable Law” shall be deemed to include Section 102 of the ITO.</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Section 102 Compliance</w:t>
      </w:r>
      <w:r>
        <w:rPr>
          <w:rFonts w:ascii="Arial;sans-serif" w:hAnsi="Arial;sans-serif"/>
          <w:b w:val="false"/>
          <w:color w:val="000000"/>
          <w:sz w:val="20"/>
        </w:rPr>
        <w:t>. By accepting this Restricted Stock Unit Award, Participant acknowledges and agrees that: (a) the Award is granted under and governed by the Plan, Sections 102(b)(2) and 102(b)(3) of the ITO and the Rules promulgated in connection therewith, and the Trust Agreement; (b) the Shares issued upon vesting of the Restricted Stock Units will be issued to the Trustee to hold on behalf of Participant, pursuant to the terms of Section 102 of the ITO and the Trust Agreement; (c) Participant agrees to the terms of the Section 102 Confirmation Letter, attached hereto as Exhibit C, and (d) Participant is familiar with the terms and provisions of the ITO, particularly the “Capital Gains Track” described in Sections 102(b)(2) and 102(b)(3) thereof, and will not require the Trustee to release or sell the Restricted Stock Units or Shares during the Required Holding Period (defined in the Sub-plan), unless permitted to do so by Applicable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color w:val="000000"/>
          <w:sz w:val="20"/>
          <w:u w:val="single"/>
        </w:rPr>
        <w:t>Distribution after Vesting</w:t>
      </w:r>
      <w:r>
        <w:rPr>
          <w:rFonts w:ascii="Arial;sans-serif" w:hAnsi="Arial;sans-serif"/>
          <w:b w:val="false"/>
          <w:color w:val="000000"/>
          <w:sz w:val="20"/>
        </w:rPr>
        <w:t>. Section 6 of the Agreement shall be deleted in its entirety and replaced by the following language: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The Shares will be issued in the name of the Trustee as required by Applicable Law to qualify under Section 102 of the ITO, for the benefit of Participant. Participant shall comply with the ITO, the Rules, and the terms and conditions of the Trust Agreement entered into between the Company and the Trustee. The Trustee will hold the Shares for the Required Holding Period, as set forth in the Sub-Plan. Participant hereby undertakes to release the Trustee from any liability in respect of any action or decision duly taken and bona fide executed in relation to the Plan and the Sub-Plan, or any Shares issued to the Trustee hereunder. Participant hereby confirms that s/he shall execute any and all documents that the Company or the Trustee may reasonably determine to be necessary in order to comply with the ITO and, in particular, the Rules.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Responsibility for Taxes</w:t>
      </w:r>
      <w:r>
        <w:rPr>
          <w:rFonts w:ascii="Arial;sans-serif" w:hAnsi="Arial;sans-serif"/>
          <w:b w:val="false"/>
          <w:color w:val="000000"/>
          <w:sz w:val="20"/>
        </w:rPr>
        <w:t>. Section 8 of the Agreement shall be supplemented by the following language: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To the extent required by Applicable Law on any date Participant is required to recognize taxable income with respect to the Restricted Stock Units, Participant will be required to pay, and the Trustee and/or the Company will withhold any Tax-Related Items which will enable the Company and/or the Trustee to satisfy its obligation to withhold any Tax-Related Items arising on such date Participant is required to recognize taxable income with respect to the Restricted Stock Units. The Company, in its sole discretion, may, to the extent permitted by Applicable Law, require or otherwise allow the Trustee or the Company to withhold and/or Participant to pay such Tax-Related Items by (i) withholding cash from Participant’s account at the broker designated by the Company for such purpose, (ii) selling of sufficient Shares on the date Participant is required to recognize taxable income with respect to the Restricted Stock Units, (iii) deductions from compensation payable to Participant or (iv) any other method permitted by Applicable Law.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In the event Participant disposes of any Shares issued upon vesting of the Restricted Stock Units prior to the expiration of the Required Holding Period, Participant acknowledges and agrees that such shares will not qualify for 102 Capital Gains Tax Treatment and will be subject to taxation in Israel in accordance with ordinary income tax principles. Further, Participant acknowledges and agrees that Participant will be liable for the Employer’s component of payments to the National Insurance Institute (to the extent such payments by the Employer are required).</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further agrees that the Trustee may act on behalf of the Company or the Employer, as applicable, to satisfy any obligation to withhold Tax-Related Items applicable to Participant in connection with the Units granted under the Sub-Plan.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Address for Notices</w:t>
      </w:r>
      <w:r>
        <w:rPr>
          <w:rFonts w:ascii="Arial;sans-serif" w:hAnsi="Arial;sans-serif"/>
          <w:b w:val="false"/>
          <w:color w:val="000000"/>
          <w:sz w:val="20"/>
        </w:rPr>
        <w:t>. Section 11 of the Agreement shall be deleted in its entirety and replaced by the following language:</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rPr>
        <w:t xml:space="preserve">Any notice to be given to the Company under the terms of this Agreement will be addressed to the Company at Autodesk, Inc., c/o Stock Administrator, </w:t>
      </w:r>
      <w:r>
        <w:rPr>
          <w:rFonts w:ascii="Arial;sans-serif" w:hAnsi="Arial;sans-serif"/>
          <w:b/>
          <w:color w:val="000000"/>
          <w:sz w:val="20"/>
        </w:rPr>
        <w:t>The Landmark @ One Market, 1 Market Street, Suite 400, San Francisco, CA 94105 U.S.A.</w:t>
      </w:r>
      <w:r>
        <w:rPr>
          <w:rFonts w:ascii="Arial;sans-serif" w:hAnsi="Arial;sans-serif"/>
          <w:b w:val="false"/>
          <w:color w:val="000000"/>
          <w:sz w:val="20"/>
        </w:rPr>
        <w:t>, or at such other address as the Company may hereafter designate in writing, unless otherwise expressly instructed by the Company or the Trustee with respect to a specific type of notice.</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val="false"/>
          <w:color w:val="000000"/>
          <w:sz w:val="20"/>
          <w:u w:val="single"/>
        </w:rPr>
        <w:t>Data Privacy</w:t>
      </w:r>
      <w:r>
        <w:rPr>
          <w:rFonts w:ascii="Arial;sans-serif" w:hAnsi="Arial;sans-serif"/>
          <w:b w:val="false"/>
          <w:color w:val="000000"/>
          <w:sz w:val="20"/>
        </w:rPr>
        <w:t xml:space="preserve">. Section 25 of the Agreement shall be supplemented by the following language: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Without derogating from the scope of Section 25 of the Agreement, Participant hereby explicitly consents to the transfer of Data between the Company, the Trustee, and/or a designated Plan broker, including any requisite transfer of such Data outside the Participant’s country and further transfers thereafter as may be required to a broker or other third party.</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The following provisions apply to Participants who permanently transfer to Israel after the Date of Grant.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Mandatory Sale Restriction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To facilitate compliance with local tax requirements, Participant agrees to the sale of any Shares to be issued to him or her upon settlement of the Restricted Stock Units. The sale may occur (i) immediately upon settlement, (ii) following Participant’s termination of employment, or (iii) within any other time frame as the Company determines to be necessary to comply with local tax requirements. Participant further agrees the Company is authorized to instruct its designated broker to assist with the mandatory sale of such Shares (on his or her behalf pursuant to this authorization) and Participant expressly authorizes the Company’s designated broker to complete the sale of such Shares. Participant acknowledges the Company’s designated broker is under no obligation to arrange for the sale of the Shares at any particular price. Upon the sale of the Shares, the Company agrees to pay Participant the cash proceeds from the sale, less any brokerage fees or commissions and subject to any obligation to satisfy Tax-Related Items.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further agrees any Shares to be issued to him or her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issued to Participant under the Plan, whether or not he or she continues to be employed by the Company or any parent or Subsidiary.</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ITALY</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Plan Document Acknowledgement</w:t>
      </w:r>
      <w:r>
        <w:rPr>
          <w:rFonts w:ascii="Arial;sans-serif" w:hAnsi="Arial;sans-serif"/>
          <w:b w:val="false"/>
          <w:color w:val="000000"/>
          <w:sz w:val="20"/>
        </w:rPr>
        <w:t xml:space="preserve">. By accepting the Award, Participant acknowledges he or she has received a copy of the Plan and the Agreement and has reviewed the Plan and the Agreement, including this Exhibit B, in their entirety and fully understands and accepts all provisions of the Plan and the Agreement, including this Exhibit B.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Participant further acknowledges having read and specifically approves the following sections of the Agreement: Section 3 (Vesting Schedule), Section 5 (Forfeiture upon Termination of Service as a an Employee), Section 7 (Disability or Death of Participant), Section 8 (Responsibility for Taxes), Section 24 (Nature of Grant), Section 14 (Additional Conditions to Issuance of Stock), Section 17 (Electronic Delivery), Section 22 (Governing Law), Section 23 (Language); Section 25 (Data Privacy Information and Consent), and Section 30 (Insider Trading Restrictions/Market Abuse Laws). </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JAPAN</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JORDAN</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KOREA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understands Participant is responsible for complying with any applicable exchange control reporting obligations in Korea. Because the exchange control regulations may change without notice, Participant understand that Participant should consult with a personal legal advisor to ensure compliance with any exchange control regulations applicable to any aspect of my participation in the Plan.</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MALAYSIA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 xml:space="preserve">Terms and Conditions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Responsibility for Taxes</w:t>
      </w:r>
      <w:r>
        <w:rPr>
          <w:rFonts w:ascii="Arial;sans-serif" w:hAnsi="Arial;sans-serif"/>
          <w:b w:val="false"/>
          <w:color w:val="000000"/>
          <w:sz w:val="20"/>
        </w:rPr>
        <w:t xml:space="preserve">. This provision replaces Section 8 of the Agreement in its entirety: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As a condition of grant, Participant hereby elects to pay any and all income tax due on the benefits derived from the Restricted Stock Units and/or the receipt of Shares upon vesting of the Restricted Stock Units (“Taxes on RSUs”) directly to the Malaysian Inland Revenue Board and report such benefits on his or her annual tax return for the relevant year of the tax assessment. Participant further understands and agrees that by making this election, the Company and the Employer will not withhold any taxes pursuant to the Income Tax (Deduction of Remuneration) Rules 1994 in respect of the Taxes on RSUs, and Participant acknowledges and agrees that the ultimate liability for all Taxes on RSUs is and remains Participant’s responsibility.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Further, if Participant becomes subject to taxation in more than one jurisdiction between the Date of Grant and the date of any relevant taxable event, Participant acknowledges that the Company and/or the Employer (or former employer, as applicable) may be required to withhold or account for the Taxes on RSUs in any relevant jurisdiction outside Malaysia and may do so in the manner set forth in the Agreement.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This election will remain in effect unless and until Participant actively cancels the election by notifying the Employer in writing and the Employer confirms receipt of such cancellation notice.</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Data Privacy</w:t>
      </w:r>
      <w:r>
        <w:rPr>
          <w:rFonts w:ascii="Arial;sans-serif" w:hAnsi="Arial;sans-serif"/>
          <w:b w:val="false"/>
          <w:i/>
          <w:color w:val="000000"/>
          <w:sz w:val="20"/>
        </w:rPr>
        <w:t xml:space="preserve">. </w:t>
      </w:r>
      <w:r>
        <w:rPr>
          <w:rFonts w:ascii="Arial;sans-serif" w:hAnsi="Arial;sans-serif"/>
          <w:b w:val="false"/>
          <w:color w:val="000000"/>
          <w:sz w:val="20"/>
        </w:rPr>
        <w:t>This provision replaces Section 25 of the Agreement in its entirety:</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 xml:space="preserve">Participant hereby explicitly, voluntarily and unambiguously consents to the collection, use and transfer, in electronic or other form, of his or her personal data as described in this Agreement and any other Plan participation materials by and among, as applicable, the Employer, the Company and any Parent or Subsidiary or any third parties authorized by same in assisting in the implementation, administration and management of Participant’s participation in the Plan. </w:t>
      </w:r>
    </w:p>
    <w:p>
      <w:pPr>
        <w:pStyle w:val="TextBody"/>
        <w:bidi w:val="0"/>
        <w:spacing w:before="0" w:after="0"/>
        <w:jc w:val="both"/>
        <w:rPr/>
      </w:pPr>
      <w:r>
        <w:rPr/>
      </w:r>
    </w:p>
    <w:p>
      <w:pPr>
        <w:pStyle w:val="TextBody"/>
        <w:bidi w:val="0"/>
        <w:spacing w:lineRule="auto" w:line="312"/>
        <w:jc w:val="both"/>
        <w:rPr>
          <w:rFonts w:ascii="Arial;sans-serif" w:hAnsi="Arial;sans-serif"/>
          <w:b w:val="false"/>
          <w:i/>
          <w:color w:val="000000"/>
          <w:sz w:val="20"/>
        </w:rPr>
      </w:pPr>
      <w:r>
        <w:rPr>
          <w:rFonts w:ascii="Arial;sans-serif" w:hAnsi="Arial;sans-serif"/>
          <w:b w:val="false"/>
          <w:i/>
          <w:color w:val="000000"/>
          <w:sz w:val="20"/>
        </w:rPr>
        <w:t xml:space="preserve">Participant may have previously provided the Company and the Employer with, and the Company and the Employer may hold, certain personal information about Participant, including, but not limited to, his or her name, home address and telephone number, date of birth, social insurance number or other identification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 xml:space="preserve">number, salary, nationality, job title, any Shares or directorships held in the Company, the fact and conditions of Participant’s participation in the Plan, details of all Restricted Stock Units or any other entitlement to Shares awarded, cancelled, exercised, vested, unvested or outstanding in Participant’s favor (“Data”), for the exclusive purpose of implementing, administering and managing the Plan.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i/>
          <w:color w:val="000000"/>
          <w:sz w:val="20"/>
        </w:rPr>
        <w:t>Participant also authorizes any transfer of Data, as may be required, to such stock plan service provider as may be selected by the Company from time to time, which is assisting the Company with the implementation, administration and management of the Plan and/or with whom any Shares acquired upon settlement of the Restricted Stock Units are deposited. Participant acknowledges that these recipients may be located in Participant’s country or elsewhere, and that the recipient’s country (e.g., the United States) may have different data privacy laws and protections to Participant’s country, which may not give the same level of protection to Data. Participant understands that he or she may request a list with the names and addresses of any potential recipients of Data by contacting his or her local human resources representative. Participant authorizes the Company, the stock plan service provider and any other possible recipients which may assist the Company (presently or in the future) with implementing, administering and managing Participant’s participation in the Plan to receive, possess, use, retain and transfer Data, in electronic or other form, for the sole purpose of implementing, administering and managing Participant’s participation in the Plan. Participant understands that Data will be held only as long as is necessary to implement, administer and manage his or her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HRGC APAC, whose contact details are</w:t>
      </w:r>
      <w:r>
        <w:rPr>
          <w:color w:val="000000"/>
        </w:rPr>
        <w:t xml:space="preserve"> </w:t>
      </w:r>
      <w:r>
        <w:rPr>
          <w:rFonts w:ascii="Arial;sans-serif" w:hAnsi="Arial;sans-serif"/>
          <w:b w:val="false"/>
          <w:i/>
          <w:color w:val="000000"/>
          <w:sz w:val="20"/>
        </w:rPr>
        <w:t>hrgc.apac@autodesk.com</w:t>
      </w:r>
      <w:r>
        <w:rPr>
          <w:rFonts w:ascii="Arial;sans-serif" w:hAnsi="Arial;sans-serif"/>
          <w:b w:val="false"/>
          <w:color w:val="000000"/>
          <w:sz w:val="20"/>
        </w:rPr>
        <w:t xml:space="preserve">. </w:t>
      </w:r>
      <w:r>
        <w:rPr>
          <w:rFonts w:ascii="Arial;sans-serif" w:hAnsi="Arial;sans-serif"/>
          <w:b w:val="false"/>
          <w:i/>
          <w:color w:val="000000"/>
          <w:sz w:val="20"/>
        </w:rPr>
        <w:t xml:space="preserve">Further, Participant understands that he or she is providing the consents herein on a purely voluntary basis. If Participant does not consent, or if Participant later seeks to revoke the consent, his or her employment status or service and career with the Employer will not be adversely affected; the only adverse consequence of refusing or withdrawing the consent is that the Company would not be able to grant future Restricted Stock Units or other equity awards to Participant or administer or maintain such awards. Therefore, Participant understands that refusing or withdrawing his or her consent may affect his or her ability to participate in the Plan. For more information on the consequences of the refusal to consent or withdrawal of consent, Participant understands that he or she may contact his or her local human resources representative.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Notifikasi Privasi Data</w:t>
      </w:r>
      <w:r>
        <w:rPr>
          <w:rFonts w:ascii="Arial;sans-serif" w:hAnsi="Arial;sans-serif"/>
          <w:b w:val="false"/>
          <w:color w:val="000000"/>
          <w:sz w:val="20"/>
        </w:rPr>
        <w:t>. Peruntukan ini menggantikan Seksyen 25 dalam Perjanjian Anugerah secara keseluruhan :</w: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Pesertadengan ini secara eksplisit, secara sukarela dan tanpa sebarang keraguan mengizinkan pengumpulan, penggunaan dan pemindahan, dalam bentuk elektronik atau lain-lain, data peribadinya seperti yang dinyatakan dalam Perjanjian Penganugerahan ini dan apa-apa bahan Pelan penyertaan oleh dan di antara Majikan, Syarikat dan mana-mana Syarikat Induk atau Anak Syarikat atau mana-mana pihak ketiga yang diberi kuasa oleh yang sama untuk membantu dalam pelaksanaan, pentadbiran dan pengurusan penyertaan Peserta dalam Pelan tersebut.</w:t>
      </w:r>
    </w:p>
    <w:p>
      <w:pPr>
        <w:pStyle w:val="TextBody"/>
        <w:bidi w:val="0"/>
        <w:spacing w:before="0" w:after="0"/>
        <w:jc w:val="left"/>
        <w:rPr/>
      </w:pPr>
      <w:r>
        <w:rPr/>
      </w:r>
    </w:p>
    <w:p>
      <w:pPr>
        <w:pStyle w:val="TextBody"/>
        <w:bidi w:val="0"/>
        <w:spacing w:lineRule="auto" w:line="312"/>
        <w:jc w:val="both"/>
        <w:rPr>
          <w:rFonts w:ascii="Arial;sans-serif" w:hAnsi="Arial;sans-serif"/>
          <w:b w:val="false"/>
          <w:i/>
          <w:color w:val="000000"/>
          <w:sz w:val="20"/>
        </w:rPr>
      </w:pPr>
      <w:r>
        <w:rPr>
          <w:rFonts w:ascii="Arial;sans-serif" w:hAnsi="Arial;sans-serif"/>
          <w:b w:val="false"/>
          <w:i/>
          <w:color w:val="000000"/>
          <w:sz w:val="20"/>
        </w:rPr>
        <w:t>Sebelum ini, Peserta mungkin telah membekalkan Syarikat dan Majikan dengan, dan Syarikat dan Majikan mungkin memegang, maklumat peribadi tertentu tentang Peserta, termasuk, tetapi tidak terhad kepada, namanya , alamat rumah dan nombor telefon, tarikh lahir, nombor insurans sosial atau nombor pengenalan lain, gaji, kewarganegaraan, jawatan, apa-apa saham atau jawatan pengarah yang dipegang dalam Syarikat, fakta dan syarat-syarat penyertaan Peserta dalam Pelan tersebut, butir-butir semua Unit-unit Saham Terbatas atau apa-apa hak lain untuk saham yang dianugerahkan, dibatalkan, dilaksanakan, terletak hak, tidak diletak hak ataupun bagi faedah Peserta (“Data”), untuk tujuan yang eksklusif bagi melaksanakan, mentadbir dan menguruskan Pelan tersebut.</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Peserta juga memberi kuasa untuk membuat apa-apa pemindahan Data, sebagaimana yang diperlukan, kepada pembekal perkhidmatan pelan saham yang lain sebagaimana yang dipilih oleh Syarikat dari semasa ke semasa, yang membantu Syarikat dalam pelaksanaan, pentadbiran dan pengurusan Pelan dan/atau dengan sesiapa yang mendepositkan Saham-Saham yang diperolehi melalui penyelesaian Unit-unit Saham Terbatas. Peserta mengakui bahawa penerima-penerima ini mungkin berada di negara Peserta atau di tempat lain, dan bahawa negara penerima (contohnya, Amerika Syarikat) mungkin mempunyai undang-undang privasi data dan perlindungan yang berbeza daripada negara Peserta, yang mungkin tidak boleh memberi tahap perlindungan yang sama kepada Data. Pesertafaham bahawa dia boleh meminta senarai nama dan alamat mana-mana penerima Data dengan menghubungi wakil sumber manusia tempatannya . Peserta memberi kuasa kepada Syarikat, pembekal perkhidmatan pelan saham dan mana-mana penerima lain yang mungkin membantu Syarikat (masa sekarang atau pada masa depan) untuk melaksanakan, mentadbir dan menguruskan penyertaan Peserta dalam Pelan tersebut untuk menerima, memiliki, menggunakan, mengekalkan dan memindahkan Data, dalam bentuk elektronik atau lain-lain, semata-mata dengan tujuan untuk melaksanakan, mentadbir dan menguruskan penyertaan Peserta dalam Pelan tersebut. Peserta faham bahawa Data akan dipegang hanya untuk tempoh yang diperlukan untuk melaksanakan, mentadbir dan menguruskan penyertaannya dalam Pelan tesebut. Peserta faham bahawa dia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 di mana butir-butir hubungannya adalah hrgc.apac@autodesk.com. Selanjutnya, Peserta memahami bahawa dia memberikan persetujuan di sini secara sukarela. Jika Peserta tidak bersetuju, atau jika Peserta kemudian membatalkan persetujuannya, status pekerjaan atau perkhidmatan dan kerjayanya dengan Majikan tidak akan terjejas; satunya akibat buruk jika dia tidak bersetuju atau menarik balik persetujuannya adalah bahawa Syarikat tidak akan dapat memberikan Unit-unit Saham Terbatas pada masa depan atau anugerah ekuiti lain kepada Peserta atau mentadbir atau mengekalkan anugerah-anugerah tersebut. Oleh itu, Peserta faham bahawa keengganan atau penarikan balik persetujuannya boleh menjejaskan keupayaannya untuk mengambil bahagian dalam Pelan tesebut. Untuk maklumat lanjut mengenai akibat keengganan untuk memberikan keizinan atau penarikan balik keizinan, Peserta fahami bahawa dia boleh menghubungi wakil sumber manusia tempatannya .</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 xml:space="preserve">Notifications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Director Notification Obligation</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If Participant is a director of a Malaysian Subsidiary, Participant is subject to certain notification requirements under the Malaysian Companies Act. Among these requirements is an obligation to notify the Malaysian Subsidiary in writing when Participant receives or disposes of an interest (e.g., Restricted Stock Units, Shares, etc.) in the Company or any related company. This notification must be made within fourteen (14) days of receiving or disposing of any interest in the Company or any related company.</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MEXICO</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Plan Document Acknowledgement</w:t>
      </w:r>
      <w:r>
        <w:rPr>
          <w:rFonts w:ascii="Arial;sans-serif" w:hAnsi="Arial;sans-serif"/>
          <w:b w:val="false"/>
          <w:color w:val="000000"/>
          <w:sz w:val="20"/>
        </w:rPr>
        <w:t>. This provision supplements Section 24 of the Agreement:</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 xml:space="preserve">By accepting the Restricted Stock Units, Participant acknowledges that he or she has received a copy of the Plan and the Agreement, including this Exhibit B, which he or she has reviewed. Participant further acknowledges that he or she accepts all the provisions of the Plan and the Agreement, including this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Exhibit B. Participant also acknowledges that he or she has read and specifically and expressly approves the terms and conditions set forth in the “Nature of Grant” Section of the Agreement, which clearly provide as follows:</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(1) Participant’s participation in the Plan does not constitute an acquired right;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(2) The Plan and Participant’s participation in it are offered by the Company on a wholly discretionary basis; and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(3) Participant’s participation in the Plan is voluntary.</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Labor Law Acknowledgement and Policy Statement</w:t>
      </w:r>
      <w:r>
        <w:rPr>
          <w:rFonts w:ascii="Arial;sans-serif" w:hAnsi="Arial;sans-serif"/>
          <w:b w:val="false"/>
          <w:color w:val="000000"/>
          <w:sz w:val="20"/>
        </w:rPr>
        <w:t>. By accepting the Restricted Stock Units, Participant acknowledges that Autodesk, Inc., with registered offices at The Landmark @ One Market, 1 Market Street, Suite 400, San Francisco, CA 94105 U.S.A., is solely responsible for the administration of the Plan. Participant further acknowledges that his or her participation in the Plan, the grant of the Restricted Stock Units and any acquisition of Shares under the Plan do not constitute an employment relationship or service contract between Participant and the Company because Participant is participating in the Plan on a wholly commercial basis. Based on the foregoing, Participant expressly acknowledges that the Plan and the benefits that he or she may derive from participation in the Plan do not establish any rights between Participant and the Employer, and do not form part of the employment conditions and/or benefits provided by the Company or any Subsidiary, and any modification of the Plan or its termination shall not constitute a change or impairment of the terms and conditions of Participant’s employment.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further understands that his or her participation in the Plan is the result of a unilateral and discretionary decision of the Company and, therefore, the Company reserves the absolute right to amend and/or discontinue Participant’s participation in the Plan at any time, without any liability to Participant.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Finally, Participant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and legal representatives, with respect to any claim that may arise.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Términos y Condiciones</w:t>
      </w:r>
    </w:p>
    <w:p>
      <w:pPr>
        <w:pStyle w:val="TextBody"/>
        <w:bidi w:val="0"/>
        <w:spacing w:lineRule="auto" w:line="312" w:before="0" w:after="0"/>
        <w:jc w:val="both"/>
        <w:rPr/>
      </w:pPr>
      <w:r>
        <w:rPr>
          <w:rFonts w:ascii="Arial;sans-serif" w:hAnsi="Arial;sans-serif"/>
          <w:b w:val="false"/>
          <w:i/>
          <w:color w:val="000000"/>
          <w:sz w:val="20"/>
          <w:u w:val="single"/>
        </w:rPr>
        <w:t>Documento de Reconocimiento del Plan</w:t>
      </w:r>
      <w:r>
        <w:rPr>
          <w:rFonts w:ascii="Arial;sans-serif" w:hAnsi="Arial;sans-serif"/>
          <w:b w:val="false"/>
          <w:i/>
          <w:color w:val="000000"/>
          <w:sz w:val="20"/>
        </w:rPr>
        <w:t>. Esta disposición suplementa la Sección 24 del Contrato:</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 xml:space="preserve">Al aceptar las Unidades de Acción Restringida, el Participante reconoce que ha recibido una copia del Plan y del Contrato, incluyendo este Anexo B, que ha sido revisado por el Participante. El Participante reconoce, además, que acepta todas las disposiciones del Plan y del Contrato, incluyendo este Anexo B. El Participante también reconoce que ha leído y específica y expresamente aprueba los términos y condiciones establecidos en la Sección del Contrato intitulada “Naturaleza del Otorgamiento”, que claramente establece lo siguiente: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 xml:space="preserve">(1) La participación del Participante en el Plan no constituye un derecho adquirido;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(2)     El Plan y la participación del Participante en el Plan se ofrecen por la Compañía de manera totalmente discrecional; y</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(3) La participación del Participante en el Plan es voluntaria.</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pPr>
      <w:r>
        <w:rPr>
          <w:rFonts w:ascii="Arial;sans-serif" w:hAnsi="Arial;sans-serif"/>
          <w:b w:val="false"/>
          <w:i/>
          <w:color w:val="000000"/>
          <w:sz w:val="20"/>
          <w:u w:val="single"/>
        </w:rPr>
        <w:t>Reconocimiento de Ley Laboral y Declaración de Política</w:t>
      </w:r>
      <w:r>
        <w:rPr>
          <w:rFonts w:ascii="Arial;sans-serif" w:hAnsi="Arial;sans-serif"/>
          <w:b w:val="false"/>
          <w:i/>
          <w:color w:val="000000"/>
          <w:sz w:val="20"/>
        </w:rPr>
        <w:t>. Al aceptar las Unidades de Acción Restringida, el Participante reconoce que Autodesk, Inc., con oficinas registradas en The Landmark @ One Market, 1 Market Street, Suite 400, San Francisco, CA 94105, EE.UU., es únicamente responsable por la administración del Plan. Además, el Participante reconoce que su participación en el Plan, el otorgamiento de las Unidades de Acción Restringida y cualquier adquisición de Acciones de conformidad con el Plan no constituyen una relación laboral o un contrato de servicio entre el Participante y la Compañía, ya que el Participante está participando en el Plan sobre una base exclusivamente comercial. Con base en lo anterior, el Participante expresamente reconoce que el Plan y los beneficios que le deriven de la participación en el Plan no establecen derecho alguno entre el Participante y el Patrón y no forman parte de las condiciones de trabajo y/o prestaciones otorgadas por la Compañía o cualquier Subsidiaria de la Compañía, y cualquier modificación del Plan o su terminación no constituirá un cambio o deterioro de los términos y condiciones de empleo del Participante.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Además, el Participante entiende que su participación en el Plan es resultado de una decisión unilateral y discrecional de la Compañía y, por lo tanto, la Compañía se reserva el derecho absoluto de modificar y/o discontinuar la participación del Participante en el Plan en cualquier momento, sin responsabilidad alguna para con el Participante.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i/>
          <w:color w:val="000000"/>
          <w:sz w:val="20"/>
        </w:rPr>
      </w:pPr>
      <w:r>
        <w:rPr>
          <w:rFonts w:ascii="Arial;sans-serif" w:hAnsi="Arial;sans-serif"/>
          <w:b w:val="false"/>
          <w:i/>
          <w:color w:val="000000"/>
          <w:sz w:val="20"/>
        </w:rPr>
        <w:t>Finalmente, el Participante en este acto manifiesta que no se reserva ninguna acción o derecho para interponer una demanda o reclamación en contra de la Compañía por cualquier compensación o daño o perjuicio en relación con cualquier disposición del Plan o los beneficios derivados del Plan y, en consecuencia, otorga un amplio y total finiquito a la Compañía, sus Subsidiarias, afiliadas, sucursales, oficinas de representación, accionistas, directores, funcionarios, agentes y representantes con respecto a cualquier demanda o reclamación que pudiera surgir.</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Any Restricted Stock Units offered under the Plan and the Shares underlying the Restricted Stock Units have not been registered with the National Register of Securities maintained by the Mexican National Banking and Securities Commission and cannot be offered or sold publicly in Mexico. In addition, the Plan and any other document relating to any Restricted Stock Units may not be publicly distributed in Mexico. These materials are addressed to Participant only because of their existing relationship with the Company and its Subsidiaries and affiliates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the Company or one of its Subsidiaries and affiliates, made in accordance with the provisions of the Mexican Securities Market Law, and any rights under such offering shall not be assigned or transferred.</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NETHERLANDS</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There are no country-specific provisions.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NEW ZEALAND</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Warning: This is an offer of rights to receive Shares upon vesting of the Restricted Stock Units subject to the terms of the Plan and this Agreement. Restricted Stock Units give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 Participant a stake in the ownership of the Company. Participant may receive a return if dividends are paid on the Shares.</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If the Company runs into financial difficulties and is wound up, Participant will be paid only after all creditors have been paid. Participant may lose some or all of his or her investment.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New Zealand law normally requires people who offer financial products to give information to investors before they invest. This information is designed to help investors to make an informed decision. The usual rules do not apply to this offer because it is made under an employee share purchase scheme. As a result, the Participant may not be given all the information usually required. Participant will also have fewer other legal protections for this investment.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should ask questions, read all documents carefully, and seek independent financial advice before committing to participate in the Plan.</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A copy of the Company’s latest annual report and most recent published annual financial statements are available online at www.sec.gov/, as well as on the Company’s website at http://investors.autodesk.com.</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As noted above, Participant is advised to carefully read the materials provided before making a decision whether to participate in the Plan. Participant is also encouraged to contact his or her tax advisor for specific information concerning Participant’s personal tax situation with regard to Plan participation.</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NORWAY</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In general, Participant should not be subject to any foreign exchange requirements in connection with the acquisition or sale of Shares under the Plan, except normal reporting requirements to the Norwegian Currency Registry. If the transfer of funds into or out of Norway is made through a Norwegian bank, the bank will make the registration.</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PHILIPPINES</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Form of Settlement</w:t>
      </w:r>
      <w:r>
        <w:rPr>
          <w:rFonts w:ascii="Arial;sans-serif" w:hAnsi="Arial;sans-serif"/>
          <w:b w:val="false"/>
          <w:color w:val="000000"/>
          <w:sz w:val="20"/>
        </w:rPr>
        <w:t>. As detailed in Section 2 of the Agreement and notwithstanding any discretion in the Plan, the Company reserves the right to settle Restricted Stock Units in cash.</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000000"/>
          <w:sz w:val="20"/>
          <w:u w:val="single"/>
        </w:rPr>
        <w:t>Securities Law Information</w:t>
      </w:r>
      <w:r>
        <w:rPr>
          <w:rFonts w:ascii="Arial;sans-serif" w:hAnsi="Arial;sans-serif"/>
          <w:b w:val="false"/>
          <w:color w:val="000000"/>
          <w:sz w:val="20"/>
        </w:rPr>
        <w:t>. This offering is subject to exemption from the requirements of securities registration with the Philippines Securities and Exchange Commission, under Section 10.1 (k) of the Philippine Securities Regulation Code. Section 10.1(k) of the Philippine Securities Regulation Code provides as follows:</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color w:val="000000"/>
        </w:rPr>
      </w:pPr>
      <w:r>
        <w:rPr>
          <w:color w:val="000000"/>
        </w:rPr>
        <w:t>“</w:t>
      </w:r>
      <w:r>
        <w:rPr>
          <w:rFonts w:ascii="Arial;sans-serif" w:hAnsi="Arial;sans-serif"/>
          <w:b w:val="false"/>
          <w:color w:val="000000"/>
          <w:sz w:val="20"/>
        </w:rPr>
        <w:t>Section 10.1 Exempt Transactions – The requirement of registration under Subsection 8.1 shall not apply to the sale of any security in any of the following section;</w:t>
      </w:r>
    </w:p>
    <w:p>
      <w:pPr>
        <w:pStyle w:val="TextBody"/>
        <w:bidi w:val="0"/>
        <w:spacing w:before="0" w:after="0"/>
        <w:ind w:left="0" w:right="0" w:firstLine="720"/>
        <w:jc w:val="left"/>
        <w:rPr/>
      </w:pPr>
      <w:r>
        <w:rPr/>
      </w:r>
    </w:p>
    <w:p>
      <w:pPr>
        <w:pStyle w:val="TextBody"/>
        <w:bidi w:val="0"/>
        <w:spacing w:lineRule="auto" w:line="312"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 .]</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ind w:left="0" w:right="0" w:firstLine="720"/>
        <w:jc w:val="left"/>
        <w:rPr>
          <w:color w:val="000000"/>
        </w:rPr>
      </w:pPr>
      <w:r>
        <w:rPr>
          <w:color w:val="000000"/>
        </w:rPr>
        <w:t>“</w:t>
      </w:r>
      <w:r>
        <w:rPr>
          <w:rFonts w:ascii="Arial;sans-serif" w:hAnsi="Arial;sans-serif"/>
          <w:b w:val="false"/>
          <w:color w:val="000000"/>
          <w:sz w:val="20"/>
        </w:rPr>
        <w:t>(k) The sale of securities by an issuer to fewer than twenty (20) persons in the Philippines during any twelve-month period.”</w:t>
      </w:r>
    </w:p>
    <w:p>
      <w:pPr>
        <w:pStyle w:val="TextBody"/>
        <w:bidi w:val="0"/>
        <w:spacing w:before="0" w:after="0"/>
        <w:ind w:left="0" w:right="0" w:firstLine="72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http://investors.autodesk.com. In addition, Participant may receive, free of charge, a copy of the Company’s Annual Report, Quarterly Reports or any other reports, proxy statements or communications distributed to the Company’s stockholders by contacting</w:t>
      </w:r>
      <w:r>
        <w:rPr>
          <w:color w:val="000000"/>
        </w:rPr>
        <w:t xml:space="preserve"> </w:t>
      </w:r>
      <w:r>
        <w:rPr>
          <w:rFonts w:ascii="Arial;sans-serif" w:hAnsi="Arial;sans-serif"/>
          <w:b w:val="false"/>
          <w:color w:val="000000"/>
          <w:sz w:val="20"/>
        </w:rPr>
        <w:t xml:space="preserve">erika.menjares@autodesk.com.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acknowledges he or she is permitted to dispose or sell Shares acquired under the Plan provided the offer and resale of the Shares takes place outside the Philippines through the facilities of a stock exchange on which the Shares are listed. The Shares are currently listed on the Nasdaq Global Select Market in the United States of America.</w:t>
      </w:r>
    </w:p>
    <w:p>
      <w:pPr>
        <w:pStyle w:val="TextBody"/>
        <w:bidi w:val="0"/>
        <w:spacing w:before="0" w:after="0"/>
        <w:jc w:val="left"/>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POLAND</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Polish residents are required to transfer funds (e.g., in connection with the sale of Shares) through a bank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PORTUGAL</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Language Consent</w:t>
      </w:r>
      <w:r>
        <w:rPr>
          <w:rFonts w:ascii="Arial;sans-serif" w:hAnsi="Arial;sans-serif"/>
          <w:b w:val="false"/>
          <w:color w:val="000000"/>
          <w:sz w:val="20"/>
        </w:rPr>
        <w:t>. Participant hereby expressly declares that Participant has full knowledge of the English language and has read, understood and fully accepted and agreed with the terms and conditions established in the Plan and Agreement.</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Conhecimento da Lingua</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Por meio do presente, eu declaro expressamente que tem pleno conhecimento da língua inglesa e que li, compreendi e livremente aceitei e concordei com os termos e condições estabelecidas no Plano e no Acordo.</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xml:space="preserve">. If Participant is a resident of Portugal and he or she receives Shares, the acquisition of such Shares should be reported to the Banco de Portugal for statistical purposes. If the Shares are deposited with a commercial bank or financial intermediary in Portugal, such bank or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intermediary will submit the report to the Banco de Portugal. If the Shares are not deposited with a commercial bank, broker or financial intermediary in Portugal, Participant will be responsible for submitting the report to the Banco de Portugal.</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ROMANIA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Vesting Schedule</w:t>
      </w:r>
      <w:r>
        <w:rPr>
          <w:rFonts w:ascii="Arial;sans-serif" w:hAnsi="Arial;sans-serif"/>
          <w:b w:val="false"/>
          <w:color w:val="000000"/>
          <w:sz w:val="20"/>
        </w:rPr>
        <w:t>. Notwithstanding Section 3 of the Agreement and the vesting provisions set forth in the Notice of Grant, Participant’s Restricted Stock Units will not vest prior to one year anniversary of the Date of Grant.</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Romanian residents are not required to seek authorization from the National Bank of Romania to participate in the Plan nor to obtain special authorization to open and operate a foreign bank account in order to deposit any dividends received or the proceeds from the sale of Shares. However, if Participant deposits the sale of Shares acquired under the Plan in a bank account in Romania, Participant may be required to provide the Romanian bank with appropriate documentation explaining the source of the funds. Romanian residents should consult their personal advisor to determine whether they will be required to submit such documentation to the Romanian bank.</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SERBIA</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The grant of the Restricted Stock Units and the issuance of any Shares under the Plan are not subject to the regulations governing public offerings and private placements under the Law on Capital Markets.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Pursuant to the Law on Foreign Exchange Transactions, Serbian residents may freely acquire Shares under the Plan. However, the National Bank of Serbia generally requires residents to report the acquisition of Shares, the value of the Shares at vesting and, on a quarterly basis, any changes in the value of the underlying Shares.  An exemption from the reporting obligation may apply on the basis that the Shares are acquired for no consideration. As the exchange control regulations in Serbia may change without notice, Participant should consult with Participant’s personal advisor with respect to all applicable reporting obligations.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SINGAPORE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Form of Settlement</w:t>
      </w:r>
      <w:r>
        <w:rPr>
          <w:rFonts w:ascii="Arial;sans-serif" w:hAnsi="Arial;sans-serif"/>
          <w:b w:val="false"/>
          <w:color w:val="000000"/>
          <w:sz w:val="20"/>
        </w:rPr>
        <w:t>. As detailed in Section 2 of the Agreement and notwithstanding any discretion in the Plan, the Restricted Stock Units will be settled only in Shares. The Restricted Stock Units do not provide any right for Participant to receive a cash payment.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xml:space="preserve">. The Award is being granted pursuant to the “Qualifying Person” exemption under section 273(1)(f) of the Singapore Securities and Futures Act (Chapter 289, 2006 Ed.) (“SFA”) and is not being granted to Participant with a view to the Shares acquired from the Award being subsequently offered for sale to any other party. The Plan has not been, and will not be, lodged or registered as a prospectus with the Monetary Authority of Singapore. Further, the grant of the Award is subject to section 257 of the SFA and Participant should not sell, or offer to sell, any Shares acquired pursuant to the award in Singapore, unless such sale or offer is made (i) after six months from the Date of Grant or (ii) pursuant to the exemptions under Part XIII Division (1) Subdivision (4) (other than section 280) of the SFA.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To the extent Participant sells, offers to sell or otherwise disposes of Shares acquired through the Plan within six months of the Date of Grant, Participant is permitted to dispose of such Shares through the designated broker appointed under the Plan, if any, provided the resale of Shares acquired under the Plan takes place outside Singapore through the facilities of a stock exchange on which the Shares are listed. The Shares are currently listed on the Nasdaq Global Select Market in the United States of America.</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Director Notification Obligation</w:t>
      </w:r>
      <w:r>
        <w:rPr>
          <w:rFonts w:ascii="Arial;sans-serif" w:hAnsi="Arial;sans-serif"/>
          <w:b w:val="false"/>
          <w:color w:val="000000"/>
          <w:sz w:val="20"/>
        </w:rPr>
        <w:t>. If Participant is a director, associate director or shadow director of a Singaporean Subsidiary, Participant is subject to certain notification requirements under the Singapore Companies Act. Among these requirements is an obligation to notify the Singaporean Subsidiary in writing when Participant receives an interest (e.g., Restricted Stock Units, Shares) in the Company or a Subsidiary or related entity. In addition, Participant must notify the Singaporean Subsidiary when he or she sells any Shares (including when Participant sells the Shares acquired under the Plan). These notifications must be made within two (2) business days of acquiring or disposing of any interest in the Company or any Subsidiary or related entity. In addition, a notification must be made of Participant’s interests in the Company or any Subsidiary or related entity within two (2) business days of becoming a director, associate director or shadow director of a parent, Subsidiary or affiliate in Singapore. Participant understands if he or she is the Chief Executive Officer (“CEO”) of the Company’s Subsidiary or affiliate in Singapore and the above notification requirements are determined to apply to the CEO of the Company’s Subsidiary or affiliate in Singapore, the above notification requirements also may apply to Participant.</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SPAIN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Termination of Employment</w:t>
      </w:r>
      <w:r>
        <w:rPr>
          <w:rFonts w:ascii="Arial;sans-serif" w:hAnsi="Arial;sans-serif"/>
          <w:b w:val="false"/>
          <w:color w:val="000000"/>
          <w:sz w:val="20"/>
        </w:rPr>
        <w:t>. For purposes of the Award, a termination of employment includes any termination that is deemed an “unfair dismissal” or a “constructive dismissal.”</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Labor Law Acknowledgement</w:t>
      </w:r>
      <w:r>
        <w:rPr>
          <w:rFonts w:ascii="Arial;sans-serif" w:hAnsi="Arial;sans-serif"/>
          <w:b w:val="false"/>
          <w:color w:val="000000"/>
          <w:sz w:val="20"/>
        </w:rPr>
        <w:t>. As a condition of receipt of the Award, Participant acknowledges that he or she understands and agrees to participation in the Plan and that he or she has received a copy of the Plan.</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 xml:space="preserve">Participant understands that the Company has unilaterally, gratuitously and discretionally decided to grant Restricted Stock Units under the Plan to individuals who may be Employees of the Company or its Subsidiaries throughout the world. The decision is a limited decision that is entered into upon the express assumption and condition that (i) any grant will not economically or otherwise bind the Company or any of its Subsidiaries on an ongoing basis, (ii) the Restricted Stock Units and any Shares to be issued upon vesting of the Restricted Stock Units are not part of any employment contract (either with the Company or any of its Subsidiaries) and shall not be considered a mandatory benefit, salary for any purposes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(including severance compensation) or any other right whatsoever, and (iii) unless otherwise provided for in the Agreement, the Restricted Stock Units will cease vesting upon Participant's termination of employment. Furthermore, Participant understands and freely accepts that there is no guarantee that any benefit whatsoever shall arise from any gratuitous and discretionary grant since the future value of the Award and the underlying Shares is unknown and unpredictable. In addition, Participant understands that this grant would not be made but for the assumptions and conditions referred to above; thus, Participant understands, acknowledges and freely accepts that should any or all of the assumptions be mistaken or should any of the conditions not be met for any reason, then the Award shall be null and void.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Furthermore, Participant understands that the Award is a conditional right. Except as determined by the Committee or as provided in the Agreement, Participant shall forfeit any unvested Award upon termination of employment. In particular, Participant understands and agrees that any unvested Restricted Stock Units as of the date of termination will be forfeited without entitlement to the underlying Shares or to any amount of indemnification in the event of a termination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Participant’s employer and under Article 10.3 of the Royal Decree 1382/1985.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Participant may be required to electronically declare to the Bank of Spain any foreign accounts (including brokerage accounts held abroad), any foreign instruments (including Shares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rPr>
        <w:t xml:space="preserve">If Participant holds 10% or more of the Share capital of the Company or such other amount that would entitle Participant to join the Company’s board of directors, then the acquisition of Shares under the Plan must be declared for statistical purposes to the </w:t>
      </w:r>
      <w:r>
        <w:rPr>
          <w:rFonts w:ascii="Arial;sans-serif" w:hAnsi="Arial;sans-serif"/>
          <w:b w:val="false"/>
          <w:i/>
          <w:color w:val="000000"/>
          <w:sz w:val="20"/>
        </w:rPr>
        <w:t>Dirección General de Comercio e Inversiones</w:t>
      </w:r>
      <w:r>
        <w:rPr>
          <w:color w:val="000000"/>
        </w:rPr>
        <w:t xml:space="preserve"> </w:t>
      </w:r>
      <w:r>
        <w:rPr>
          <w:rFonts w:ascii="Arial;sans-serif" w:hAnsi="Arial;sans-serif"/>
          <w:b w:val="false"/>
          <w:color w:val="000000"/>
          <w:sz w:val="20"/>
        </w:rPr>
        <w:t>(the “DGCI”), the Bureau for Commerce and Investments, which is a department of the Ministry of Industry, Trade and Tourism, generally, within one month of the acquisition.</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xml:space="preserve">. No “offer of securities to the public,” as defined under Spanish law, has taken place or will take place in the Spanish territory in connection with the Award. The Agreement has not been nor will it be registered with the </w:t>
      </w:r>
      <w:r>
        <w:rPr>
          <w:rFonts w:ascii="Arial;sans-serif" w:hAnsi="Arial;sans-serif"/>
          <w:b w:val="false"/>
          <w:i/>
          <w:color w:val="000000"/>
          <w:sz w:val="20"/>
        </w:rPr>
        <w:t>Comisión Nacional del Mercado de Valores</w:t>
      </w:r>
      <w:r>
        <w:rPr>
          <w:rFonts w:ascii="Arial;sans-serif" w:hAnsi="Arial;sans-serif"/>
          <w:b w:val="false"/>
          <w:color w:val="000000"/>
          <w:sz w:val="20"/>
        </w:rPr>
        <w:t>, and does not constitute a public offering prospectus.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SWEDEN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Responsibility for Taxes</w:t>
      </w:r>
      <w:r>
        <w:rPr>
          <w:rFonts w:ascii="Arial;sans-serif" w:hAnsi="Arial;sans-serif"/>
          <w:b w:val="false"/>
          <w:color w:val="000000"/>
          <w:sz w:val="20"/>
        </w:rPr>
        <w:t>. The following provisions supplement Section 8 of the Agreement:</w:t>
      </w:r>
    </w:p>
    <w:p>
      <w:pPr>
        <w:pStyle w:val="TextBody"/>
        <w:bidi w:val="0"/>
        <w:spacing w:before="0" w:after="0"/>
        <w:jc w:val="both"/>
        <w:rPr/>
      </w:pPr>
      <w:r>
        <w:rPr/>
      </w:r>
    </w:p>
    <w:p>
      <w:pPr>
        <w:pStyle w:val="TextBody"/>
        <w:bidi w:val="0"/>
        <w:spacing w:lineRule="auto" w:line="312"/>
        <w:jc w:val="both"/>
        <w:rPr>
          <w:rFonts w:ascii="Arial;sans-serif" w:hAnsi="Arial;sans-serif"/>
          <w:b w:val="false"/>
          <w:color w:val="000000"/>
          <w:sz w:val="20"/>
        </w:rPr>
      </w:pPr>
      <w:r>
        <w:rPr>
          <w:rFonts w:ascii="Arial;sans-serif" w:hAnsi="Arial;sans-serif"/>
          <w:b w:val="false"/>
          <w:color w:val="000000"/>
          <w:sz w:val="20"/>
        </w:rPr>
        <w:t xml:space="preserve">Without limiting the Company’s and the Employer's authority to satisfy their withholding obligations for Tax-Related Items as set forth in Section 8 of the Agreement, in accepting the Restricted Stock Units,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authorizes the Company and/or the Employer to withhold Shares or to sell Shares otherwise deliverable to Participant upon vesting/settlement to satisfy Tax-Related Items, regardless of whether the Company and/or the Employer have an obligation to withhold such Tax-Related Items.</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SWITZERLAND</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Because the grant of Restricted Stock Units is considered a private offering in Switzerland; it is not subject to registration in Switzerland. Neither this Agreement nor any other materials relating to the Restricted Stock Units (1) constitute a prospectus according to articles 35 et seq. of the Swiss Federal Act on Financial Services (“FinSA”), (2) may be publicly distributed nor otherwise made publicly available in Switzerland to any person other than an employee of the Company or Employer or (3) has been or will be filed with, approved or supervised by any Swiss reviewing body according to article 51 FinSA or any Swiss regulatory authority, including the Swiss Financial Market Supervisory Authority.</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TAIWAN</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Data Privacy Acknowledgement</w:t>
      </w:r>
      <w:r>
        <w:rPr>
          <w:rFonts w:ascii="Arial;sans-serif" w:hAnsi="Arial;sans-serif"/>
          <w:b w:val="false"/>
          <w:color w:val="000000"/>
          <w:sz w:val="20"/>
        </w:rPr>
        <w:t>. Participant hereby acknowledges having read and understood the terms regarding collection, processing and transfer of Participant’s data contained in Section 25 of the Agreement and agrees that, by enrolling in the Plan, Participant is agreeing to such terms. In this regard, upon request of the Company or the Employer, Participant agrees to provide any executed data privacy consent form (or any other agreements or consents that may be required by the Employer or the Company) should the Company and/or the Employer deem such agreement or consent necessary under the data privacy laws, either now or in the future. Participant understands that Participant will not be able to participate in the Plan if Participant fails to execute any such consent or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 xml:space="preserve">Notifications </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color w:val="000000"/>
        </w:rPr>
        <w:t xml:space="preserve"> </w:t>
      </w:r>
      <w:r>
        <w:rPr>
          <w:rFonts w:ascii="Arial;sans-serif" w:hAnsi="Arial;sans-serif"/>
          <w:b w:val="false"/>
          <w:color w:val="000000"/>
          <w:sz w:val="20"/>
        </w:rPr>
        <w:t>The offer of participation in the Plan is available only for Employees. The offer of participation in the Plan is not a public offer of securities by a Taiwanese company.</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Taiwanese residents may acquire and remit foreign currency (including funds to purchase or proceeds from the sale of Shares) into and out of Taiwan, through an authorized foreign exchange bank, up to US$10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Participant is personally responsible for complying with exchange control restrictions in Taiwan.</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THAILAND</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If Participant realizes US$1,000,000 or more in a single transaction from the sale of Shares or the payment of dividends, he or she is required to repatriate the funds to Thailand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immediately following the receipt of the funds, unless Participant can rely on any applicable exemptions (e.g., where the funds will be used offshore for any permissible purposes under exchange control regulations and the relevant form and supporting documents have been submitted to a commercial bank in Thailand).</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 xml:space="preserve">Any foreign currency repatriated to Thailand must be converted to Thai Baht or deposited into a foreign currency account opened with any commercial bank in Thailand acting as an authorized agent within 360 days of repatriation. Further, Participant must specifically report the inward remittance to the Bank of Thailand on a Foreign Exchange Transaction Form.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If Participant fails to comply with these obligations, Participant may be subject to penalties assessed by the Bank of Thailand. Because exchange control regulations change frequently and without notice, Participant should consult his or her legal advisor before selling any Shares (or receiving any other funds in connection with the Plan) to ensure compliance with current regulations. Participant is personally responsible for complying with exchange control restrictions in Thailand.</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TURKEY (TÜRKIYE)</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Under Turkish law, Participant is not permitted to sell any Shares acquired under the Plan in Turkey. The Shares are currently traded on the Nasdaq Global Select Market, which is located outside Turkey, under the ticker symbol “ADSK” and the Shares may be sold through this exchange.</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Exchange Control Information</w:t>
      </w:r>
      <w:r>
        <w:rPr>
          <w:rFonts w:ascii="Arial;sans-serif" w:hAnsi="Arial;sans-serif"/>
          <w:b w:val="false"/>
          <w:color w:val="000000"/>
          <w:sz w:val="20"/>
        </w:rPr>
        <w:t>. Participant will likely be required to engage a Turkish financial intermediary to assist with the sale of Shares acquired under the Plan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 is uncertain, Participant should consult his or her personal legal advisor for further information regarding these requirements to ensure compliance.</w:t>
      </w:r>
    </w:p>
    <w:p>
      <w:pPr>
        <w:pStyle w:val="TextBody"/>
        <w:bidi w:val="0"/>
        <w:spacing w:before="0" w:after="0"/>
        <w:jc w:val="both"/>
        <w:rPr/>
      </w:pPr>
      <w:r>
        <w:rPr/>
      </w:r>
    </w:p>
    <w:p>
      <w:pPr>
        <w:pStyle w:val="TextBody"/>
        <w:bidi w:val="0"/>
        <w:spacing w:lineRule="auto" w:line="312" w:before="0" w:after="0"/>
        <w:jc w:val="both"/>
        <w:rPr>
          <w:rFonts w:ascii="Arial;sans-serif" w:hAnsi="Arial;sans-serif"/>
          <w:b/>
          <w:color w:val="000000"/>
          <w:sz w:val="20"/>
        </w:rPr>
      </w:pPr>
      <w:r>
        <w:rPr>
          <w:rFonts w:ascii="Arial;sans-serif" w:hAnsi="Arial;sans-serif"/>
          <w:b/>
          <w:color w:val="000000"/>
          <w:sz w:val="20"/>
        </w:rPr>
        <w:t>UNITED ARAB EMIRATES</w:t>
      </w:r>
    </w:p>
    <w:p>
      <w:pPr>
        <w:pStyle w:val="TextBody"/>
        <w:bidi w:val="0"/>
        <w:spacing w:before="0" w:after="0"/>
        <w:jc w:val="both"/>
        <w:rPr/>
      </w:pPr>
      <w:r>
        <w:rPr/>
      </w:r>
    </w:p>
    <w:p>
      <w:pPr>
        <w:pStyle w:val="TextBody"/>
        <w:bidi w:val="0"/>
        <w:spacing w:lineRule="auto" w:line="312" w:before="0" w:after="0"/>
        <w:jc w:val="both"/>
        <w:rPr>
          <w:rFonts w:ascii="Arial;sans-serif" w:hAnsi="Arial;sans-serif"/>
          <w:b/>
          <w:i/>
          <w:color w:val="000000"/>
          <w:sz w:val="20"/>
        </w:rPr>
      </w:pPr>
      <w:r>
        <w:rPr>
          <w:rFonts w:ascii="Arial;sans-serif" w:hAnsi="Arial;sans-serif"/>
          <w:b/>
          <w:i/>
          <w:color w:val="000000"/>
          <w:sz w:val="20"/>
        </w:rPr>
        <w:t>Notifications</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u w:val="single"/>
        </w:rPr>
        <w:t>Securities Law Information</w:t>
      </w:r>
      <w:r>
        <w:rPr>
          <w:rFonts w:ascii="Arial;sans-serif" w:hAnsi="Arial;sans-serif"/>
          <w:b w:val="false"/>
          <w:color w:val="000000"/>
          <w:sz w:val="20"/>
        </w:rPr>
        <w:t xml:space="preserve">. Participation in the Plan is being offered only to selected employees and is in the nature of providing equity incentives to employees of the Company or its Subsidiaries and affiliates in the United Arab Emirates. The Plan and the Agreement are intended for distribution only to such employees and must not be delivered to, or relied on by, any other person. Prospective purchasers of the securities offered should conduct their own due diligence on the securities. If Participant does not understand the contents of the Plan or the Agreement (including this Exhibit B), Participant understands that Participant should consult an authorized financial adviser. </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 Emirates Securities and Commodities Authority has no responsibility for reviewing or verifying any documents in connection with the Plan. Neither the Ministry of Economy nor the Dubai Department of Economic Development have approved the Plan or the Agreement nor taken steps to verify the information set out therein, and have no responsibility for such documents.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left"/>
        <w:rPr>
          <w:rFonts w:ascii="Arial;sans-serif" w:hAnsi="Arial;sans-serif"/>
          <w:b/>
          <w:color w:val="000000"/>
          <w:sz w:val="20"/>
        </w:rPr>
      </w:pPr>
      <w:r>
        <w:rPr>
          <w:rFonts w:ascii="Arial;sans-serif" w:hAnsi="Arial;sans-serif"/>
          <w:b/>
          <w:color w:val="000000"/>
          <w:sz w:val="20"/>
        </w:rPr>
        <w:t>UNITED KINGDOM</w:t>
      </w:r>
    </w:p>
    <w:p>
      <w:pPr>
        <w:pStyle w:val="TextBody"/>
        <w:bidi w:val="0"/>
        <w:spacing w:before="0" w:after="0"/>
        <w:jc w:val="left"/>
        <w:rPr/>
      </w:pPr>
      <w:r>
        <w:rPr/>
      </w:r>
    </w:p>
    <w:p>
      <w:pPr>
        <w:pStyle w:val="TextBody"/>
        <w:bidi w:val="0"/>
        <w:spacing w:lineRule="auto" w:line="312" w:before="0" w:after="0"/>
        <w:jc w:val="left"/>
        <w:rPr>
          <w:rFonts w:ascii="Arial;sans-serif" w:hAnsi="Arial;sans-serif"/>
          <w:b/>
          <w:i/>
          <w:color w:val="000000"/>
          <w:sz w:val="20"/>
        </w:rPr>
      </w:pPr>
      <w:r>
        <w:rPr>
          <w:rFonts w:ascii="Arial;sans-serif" w:hAnsi="Arial;sans-serif"/>
          <w:b/>
          <w:i/>
          <w:color w:val="000000"/>
          <w:sz w:val="20"/>
        </w:rPr>
        <w:t xml:space="preserve">Terms and Conditions </w:t>
      </w:r>
    </w:p>
    <w:p>
      <w:pPr>
        <w:pStyle w:val="TextBody"/>
        <w:bidi w:val="0"/>
        <w:spacing w:before="0" w:after="0"/>
        <w:jc w:val="left"/>
        <w:rPr/>
      </w:pPr>
      <w:r>
        <w:rPr/>
      </w:r>
    </w:p>
    <w:p>
      <w:pPr>
        <w:pStyle w:val="TextBody"/>
        <w:bidi w:val="0"/>
        <w:spacing w:lineRule="auto" w:line="288" w:before="0" w:after="120"/>
        <w:jc w:val="both"/>
        <w:rPr/>
      </w:pPr>
      <w:r>
        <w:rPr>
          <w:rFonts w:ascii="Arial;sans-serif" w:hAnsi="Arial;sans-serif"/>
          <w:b w:val="false"/>
          <w:color w:val="000000"/>
          <w:sz w:val="20"/>
          <w:u w:val="single"/>
        </w:rPr>
        <w:t>Disability or Death of Participant</w:t>
      </w:r>
      <w:r>
        <w:rPr>
          <w:rFonts w:ascii="Arial;sans-serif" w:hAnsi="Arial;sans-serif"/>
          <w:b w:val="false"/>
          <w:color w:val="000000"/>
          <w:sz w:val="20"/>
        </w:rPr>
        <w:t>. The following provision replaces Section 7(b) of the Agreement:</w:t>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Subject to Section 7(c), in the event of the death of Participant during the term of this Award and while an Employee, all unvested Restricted Stock Units that are Time-Based RSUs shall vest in full as of the date of death.  Upon such death, any distribution or delivery to be made to Participant under this Agreement shall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0" w:after="0"/>
        <w:jc w:val="left"/>
        <w:rPr/>
      </w:pPr>
      <w:r>
        <w:rPr/>
      </w:r>
    </w:p>
    <w:p>
      <w:pPr>
        <w:pStyle w:val="TextBody"/>
        <w:bidi w:val="0"/>
        <w:spacing w:lineRule="auto" w:line="312" w:before="0" w:after="0"/>
        <w:jc w:val="left"/>
        <w:rPr/>
      </w:pPr>
      <w:r>
        <w:rPr>
          <w:rFonts w:ascii="Arial;sans-serif" w:hAnsi="Arial;sans-serif"/>
          <w:b w:val="false"/>
          <w:color w:val="000000"/>
          <w:sz w:val="20"/>
          <w:u w:val="single"/>
        </w:rPr>
        <w:t>Responsibility for Taxes</w:t>
      </w:r>
      <w:r>
        <w:rPr>
          <w:rFonts w:ascii="Arial;sans-serif" w:hAnsi="Arial;sans-serif"/>
          <w:b w:val="false"/>
          <w:color w:val="000000"/>
          <w:sz w:val="20"/>
        </w:rPr>
        <w:t>. The following provisions supplement Section 8 of the Agreement:</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Participant agrees to be liable for any Tax-Related Items and hereby covenants to pay any such Tax-Related Items, as and when requested by the Company or, if different, the Employer or by HM Revenue &amp; Customs (“HMRC”) (or any other tax authority or any other relevant authority). Participant also agrees to indemnify and keep indemnified the Company and, if different, the Employer against any Tax-Related Items that they are required to pay or withhold or have paid or will pay to HMRC on his or her behalf (or any other tax authority or any other relevant authority).</w:t>
      </w:r>
    </w:p>
    <w:p>
      <w:pPr>
        <w:pStyle w:val="TextBody"/>
        <w:bidi w:val="0"/>
        <w:spacing w:before="0" w:after="0"/>
        <w:jc w:val="both"/>
        <w:rPr/>
      </w:pPr>
      <w:r>
        <w:rPr/>
      </w:r>
    </w:p>
    <w:p>
      <w:pPr>
        <w:pStyle w:val="TextBody"/>
        <w:bidi w:val="0"/>
        <w:spacing w:lineRule="auto" w:line="312" w:before="0" w:after="0"/>
        <w:jc w:val="both"/>
        <w:rPr/>
      </w:pPr>
      <w:r>
        <w:rPr>
          <w:rFonts w:ascii="Arial;sans-serif" w:hAnsi="Arial;sans-serif"/>
          <w:b w:val="false"/>
          <w:color w:val="000000"/>
          <w:sz w:val="20"/>
        </w:rPr>
        <w:t>Notwithstanding the foregoing, if Participant is a director or an executive officer of the Company (within the meaning of such terms for purposes of Section 13(k) of the Exchange Act), Participant acknowledges that he or she may not be able to indemnify the Company or the Employer for the amount of any income tax not collected from or paid by him or her, as it may be considered a loan. In this case, the amount of any income tax not collected within 90 days of the end of the U.K. tax year in which the event giving rise to the Tax-Related Item(s) occurs may constitute an additional benefit to Participant on which additional income tax and National Insurance contributions (“NICs”) may be payable. Participant will be responsible for reporting and paying any income tax due on this additional benefit directly to HMRC under the self-assessment regime and for reimbursing the Company or the Employer (as appropriate) for the value of any NICs due on this additional benefit, which the Company or the Employer may recover from Participant by any of the means referred to in the Plan or Section 8 of the Agreement.</w:t>
      </w:r>
      <w:r>
        <w:rPr>
          <w:color w:val="000000"/>
        </w:rPr>
        <w:t xml:space="preserve"> </w:t>
      </w:r>
      <w:r>
        <w:rPr>
          <w:rFonts w:ascii="Arial;sans-serif" w:hAnsi="Arial;sans-serif"/>
          <w:b w:val="false"/>
          <w:color w:val="000000"/>
          <w:sz w:val="20"/>
        </w:rPr>
        <w:t>However, Participant is primarily responsible for reporting and paying any income tax due on this additional benefit directly to HMRC under the self-assessment regime.</w:t>
      </w:r>
    </w:p>
    <w:p>
      <w:pPr>
        <w:pStyle w:val="TextBody"/>
        <w:bidi w:val="0"/>
        <w:spacing w:before="0" w:after="0"/>
        <w:jc w:val="both"/>
        <w:rPr/>
      </w:pPr>
      <w:r>
        <w:rPr/>
      </w:r>
    </w:p>
    <w:p>
      <w:pPr>
        <w:pStyle w:val="TextBody"/>
        <w:bidi w:val="0"/>
        <w:spacing w:lineRule="auto" w:line="312" w:before="0" w:after="0"/>
        <w:jc w:val="both"/>
        <w:rPr>
          <w:rFonts w:ascii="Arial;sans-serif" w:hAnsi="Arial;sans-serif"/>
          <w:b w:val="false"/>
          <w:color w:val="000000"/>
          <w:sz w:val="20"/>
        </w:rPr>
      </w:pPr>
      <w:r>
        <w:rPr>
          <w:rFonts w:ascii="Arial;sans-serif" w:hAnsi="Arial;sans-serif"/>
          <w:b w:val="false"/>
          <w:color w:val="000000"/>
          <w:sz w:val="20"/>
        </w:rPr>
        <w:t>The Administrator may require a Participant, as a condition of the grant or vesting of an Award granted under this Award Agreement, to enter into an election under section 431 of the Income Tax (Earnings and Pensions) Act 2003 before or within 14 days after the acquisition of Shares in connection to the Award.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C</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Autodesk, Inc.</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Section 102 Confirmation Letter</w:t>
      </w:r>
    </w:p>
    <w:p>
      <w:pPr>
        <w:pStyle w:val="TextBody"/>
        <w:bidi w:val="0"/>
        <w:spacing w:lineRule="auto" w:line="288" w:before="0" w:after="24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APPROVAL OF THE DESIGNATED EMPLOYEE</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hereby agree that the Awards granted to me by Autodesk, Inc. shall be allocated under the provisions of the track referred to as the "Capital Gains Track", according to Section 102(b)(2) and 102(b)(3) of the Israeli Income Tax Ordinance and shall be held by the Trustee for the periods stated in Section 102 and in accordance with the provisions of the Trust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hereby declare that: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1.I understand the provisions of Section 102 and the applicable tax track of this grant of Awards.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2.Subject to the provisions of Section 102, I confirm that I shall not sell and/or transfer the Awards or Shares before the end of the Holding Period. In the event that I shall elect to sell or release the Shares, as the case may be, prior to the expiration of the Holding Period, the sanctions under Section 102 shall apply to and shall be borne solely by me.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3.I understand that this Award grant is conditioned upon the receipt of all required approvals from Israeli tax authorities.</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4.I agree to be bonded by the provisions of the trust agreement.</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5.I hereby confirm that I have: (i) read and understand this letter; (ii) received all the clarifications and explanations that I have requested; and (iii) had the opportunity to consult with my advisers before signing this confirmation letter.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Acceptance by Employee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Employee acknowledges that, as a condition of accepting the Awards and/or participating in the employee equity benefit plans implemented by Autodesk, by electronically accepting the Awards, the Employee agrees to be bound by the terms of this letter.</w:t>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i/>
          <w:color w:val="000000"/>
          <w:sz w:val="22"/>
        </w:rPr>
      </w:pPr>
      <w:r>
        <w:rPr>
          <w:rFonts w:ascii="Times New Roman;sans-serif" w:hAnsi="Times New Roman;sans-serif"/>
          <w:b/>
          <w:i/>
          <w:color w:val="000000"/>
          <w:sz w:val="22"/>
        </w:rPr>
        <w:t>Execution Version</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tbl>
      <w:tblPr>
        <w:tblW w:w="10205" w:type="dxa"/>
        <w:jc w:val="left"/>
        <w:tblInd w:w="0" w:type="dxa"/>
        <w:tblLayout w:type="fixed"/>
        <w:tblCellMar>
          <w:top w:w="28" w:type="dxa"/>
          <w:left w:w="28" w:type="dxa"/>
          <w:bottom w:w="28" w:type="dxa"/>
          <w:right w:w="28" w:type="dxa"/>
        </w:tblCellMar>
      </w:tblPr>
      <w:tblGrid>
        <w:gridCol w:w="3294"/>
        <w:gridCol w:w="2858"/>
        <w:gridCol w:w="4053"/>
      </w:tblGrid>
      <w:tr>
        <w:trPr/>
        <w:tc>
          <w:tcPr>
            <w:tcW w:w="3294"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U.S. $1,500,000,000</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CREDIT AGREEMENT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Dated as of May 8, 2025 among</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AUTODESK, INC.</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 Borrower</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THE LENDERS PARTY HERETO</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 Lenders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CITIBANK, N.A.</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 Administrative Agent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op w:val="double" w:sz="5" w:space="0" w:color="000000"/>
            </w:tcBorders>
            <w:tcMar>
              <w:top w:w="30" w:type="dxa"/>
              <w:left w:w="0" w:type="dxa"/>
              <w:bottom w:w="0" w:type="dxa"/>
              <w:right w:w="0" w:type="dxa"/>
            </w:tcMar>
            <w:vAlign w:val="center"/>
          </w:tcPr>
          <w:p>
            <w:pPr>
              <w:pStyle w:val="TableContents"/>
              <w:bidi w:val="0"/>
              <w:spacing w:lineRule="auto" w:line="288" w:before="240" w:after="283"/>
              <w:jc w:val="center"/>
              <w:rPr/>
            </w:pPr>
            <w:r>
              <w:rPr>
                <w:rFonts w:ascii="Times New Roman;sans-serif" w:hAnsi="Times New Roman;sans-serif"/>
                <w:b/>
                <w:color w:val="000000"/>
                <w:sz w:val="22"/>
              </w:rPr>
              <w:t>CITIBANK, N.A.</w:t>
            </w:r>
            <w:r>
              <w:rPr>
                <w:rFonts w:ascii="Times New Roman;sans-serif" w:hAnsi="Times New Roman;sans-serif"/>
                <w:b w:val="false"/>
                <w:color w:val="000000"/>
                <w:sz w:val="22"/>
              </w:rPr>
              <w:t xml:space="preserve">, </w:t>
            </w:r>
            <w:r>
              <w:rPr>
                <w:rFonts w:ascii="Times New Roman;sans-serif" w:hAnsi="Times New Roman;sans-serif"/>
                <w:b/>
                <w:color w:val="000000"/>
                <w:sz w:val="22"/>
              </w:rPr>
              <w:t xml:space="preserve">BOFA SECURITIES, INC., BNP PARIBAS SECURITIES CORP., MORGAN STANLEY SENIOR FUNDING, INC.,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color w:val="000000"/>
                <w:sz w:val="22"/>
              </w:rPr>
              <w:t>U.S. BANK NATIONAL ASSOCIATION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 Joint Lead Arrangers and Joint Bookrunners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and</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Times New Roman;sans-serif" w:hAnsi="Times New Roman;sans-serif"/>
                <w:b/>
                <w:color w:val="000000"/>
                <w:sz w:val="22"/>
              </w:rPr>
              <w:t>CITIBANK, N.A.</w:t>
            </w:r>
            <w:r>
              <w:rPr>
                <w:rFonts w:ascii="Times New Roman;sans-serif" w:hAnsi="Times New Roman;sans-serif"/>
                <w:b w:val="false"/>
                <w:color w:val="000000"/>
                <w:sz w:val="22"/>
              </w:rPr>
              <w:t xml:space="preserve">, </w:t>
            </w:r>
            <w:r>
              <w:rPr>
                <w:rFonts w:ascii="Times New Roman;sans-serif" w:hAnsi="Times New Roman;sans-serif"/>
                <w:b/>
                <w:color w:val="000000"/>
                <w:sz w:val="22"/>
              </w:rPr>
              <w:t xml:space="preserve">BANK OF AMERICA, N.A., BNP PARIBAS, MORGAN STANLEY SENIOR FUNDING, INC.,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color w:val="000000"/>
                <w:sz w:val="22"/>
              </w:rPr>
              <w:t>U.S. BANK NATIONAL ASSOCIATION</w:t>
            </w:r>
          </w:p>
        </w:tc>
      </w:tr>
      <w:tr>
        <w:trPr/>
        <w:tc>
          <w:tcPr>
            <w:tcW w:w="10205" w:type="dxa"/>
            <w:gridSpan w:val="3"/>
            <w:tcBorders>
              <w:bottom w:val="double" w:sz="5"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 Syndication Agents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TABLE OF CONTENTS</w:t>
      </w:r>
    </w:p>
    <w:p>
      <w:pPr>
        <w:pStyle w:val="TextBody"/>
        <w:bidi w:val="0"/>
        <w:spacing w:lineRule="auto" w:line="288" w:before="0" w:after="120"/>
        <w:jc w:val="right"/>
        <w:rPr>
          <w:rFonts w:ascii="Times New Roman;sans-serif" w:hAnsi="Times New Roman;sans-serif"/>
          <w:b w:val="false"/>
          <w:color w:val="000000"/>
          <w:sz w:val="22"/>
        </w:rPr>
      </w:pPr>
      <w:r>
        <w:rPr>
          <w:rFonts w:ascii="Times New Roman;sans-serif" w:hAnsi="Times New Roman;sans-serif"/>
          <w:b w:val="false"/>
          <w:color w:val="000000"/>
          <w:sz w:val="22"/>
        </w:rPr>
        <w:t>Page</w:t>
      </w:r>
    </w:p>
    <w:p>
      <w:pPr>
        <w:pStyle w:val="TextBody"/>
        <w:bidi w:val="0"/>
        <w:spacing w:before="0" w:after="0"/>
        <w:jc w:val="both"/>
        <w:rPr/>
      </w:pPr>
      <w:r>
        <w:rPr/>
      </w:r>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1.01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Certain Defined Terms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1.02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Computation of Time Periods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18</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1.03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Accounting Terms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18</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1.04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Terms Generally</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19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1.05</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Rates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19</w:t>
        </w:r>
      </w:hyperlink>
    </w:p>
    <w:p>
      <w:pPr>
        <w:pStyle w:val="TextBody"/>
        <w:bidi w:val="0"/>
        <w:spacing w:lineRule="auto" w:line="288" w:before="240" w:after="240"/>
        <w:ind w:left="0" w:right="0" w:hanging="1728"/>
        <w:jc w:val="left"/>
        <w:rPr/>
      </w:pPr>
      <w:hyperlink w:anchor="i07666efec88a48da8fb4b5be2cecb637_7">
        <w:r>
          <w:rPr>
            <w:rStyle w:val="InternetLink"/>
          </w:rPr>
          <w:t>ARTICLE II</w:t>
        </w:r>
      </w:hyperlink>
      <w:hyperlink w:anchor="i07666efec88a48da8fb4b5be2cecb637_7">
        <w:r>
          <w:rPr>
            <w:rStyle w:val="InternetLink"/>
          </w:rPr>
          <w:t>    </w:t>
        </w:r>
      </w:hyperlink>
      <w:hyperlink w:anchor="i07666efec88a48da8fb4b5be2cecb637_7">
        <w:r>
          <w:rPr>
            <w:rStyle w:val="InternetLink"/>
          </w:rPr>
          <w:t>AMOUNTS AND TERMS OF THE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The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Making the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Fees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Optional Termination or Reduction of the Commitments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2.05</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Repayment of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2.06</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Interest on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2.07</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Interest Rate Determination</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22</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2.08</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Optional Conversion and Continuation of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23</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2.09</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Prepayments of Advances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23</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2.10</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Increased Costs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Illegality</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Payments and Computations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Taxes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26</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Sharing of Payments, Etc</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2.15</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Evidence of Debt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29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2.16</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Use of Proceeds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2.17</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Increase in the Aggregate Commitments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2.18</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Defaulting Lenders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2.19</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Replacement of Lenders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32</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2.20</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Extension of Termination Date</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33</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2.21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[Reserved]</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2.22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Benchmark Replacement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34</w:t>
        </w:r>
      </w:hyperlink>
    </w:p>
    <w:p>
      <w:pPr>
        <w:pStyle w:val="TextBody"/>
        <w:bidi w:val="0"/>
        <w:spacing w:lineRule="auto" w:line="288" w:before="240" w:after="240"/>
        <w:ind w:left="0" w:right="0" w:hanging="1728"/>
        <w:jc w:val="left"/>
        <w:rPr/>
      </w:pPr>
      <w:hyperlink w:anchor="i07666efec88a48da8fb4b5be2cecb637_7">
        <w:r>
          <w:rPr>
            <w:rStyle w:val="InternetLink"/>
          </w:rPr>
          <w:t>ARTICLE III</w:t>
        </w:r>
      </w:hyperlink>
      <w:hyperlink w:anchor="i07666efec88a48da8fb4b5be2cecb637_7">
        <w:r>
          <w:rPr>
            <w:rStyle w:val="InternetLink"/>
          </w:rPr>
          <w:t>    </w:t>
        </w:r>
      </w:hyperlink>
      <w:hyperlink w:anchor="i07666efec88a48da8fb4b5be2cecb637_7">
        <w:r>
          <w:rPr>
            <w:rStyle w:val="InternetLink"/>
          </w:rPr>
          <w:t>CONDITIONS TO EFFECTIVENESS AND LENDING</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3.01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Conditions Precedent to Effectiveness of Commitments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3.02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Conditions Precedent to Each Borrowing</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37</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3.03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Determinations Under Section 3.01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37</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3.04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Existing Credit Agreement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37</w:t>
        </w:r>
      </w:hyperlink>
    </w:p>
    <w:p>
      <w:pPr>
        <w:pStyle w:val="TextBody"/>
        <w:bidi w:val="0"/>
        <w:spacing w:lineRule="auto" w:line="288" w:before="240" w:after="240"/>
        <w:ind w:left="0" w:right="0" w:hanging="1728"/>
        <w:jc w:val="left"/>
        <w:rPr/>
      </w:pPr>
      <w:hyperlink w:anchor="i07666efec88a48da8fb4b5be2cecb637_7">
        <w:r>
          <w:rPr>
            <w:rStyle w:val="InternetLink"/>
          </w:rPr>
          <w:t>ARTICLE IV</w:t>
        </w:r>
      </w:hyperlink>
      <w:hyperlink w:anchor="i07666efec88a48da8fb4b5be2cecb637_7">
        <w:r>
          <w:rPr>
            <w:rStyle w:val="InternetLink"/>
          </w:rPr>
          <w:t>    </w:t>
        </w:r>
      </w:hyperlink>
      <w:hyperlink w:anchor="i07666efec88a48da8fb4b5be2cecb637_7">
        <w:r>
          <w:rPr>
            <w:rStyle w:val="InternetLink"/>
          </w:rPr>
          <w:t>REPRESENTATIONS AND WARRANTIES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38</w:t>
        </w:r>
      </w:hyperlink>
    </w:p>
    <w:p>
      <w:pPr>
        <w:pStyle w:val="TextBody"/>
        <w:bidi w:val="0"/>
        <w:spacing w:lineRule="auto" w:line="288"/>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4.01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Representations and Warranties of the Borrower</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38</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txbxContent>
                </v:textbox>
                <w10:wrap type="none"/>
              </v:rect>
            </w:pict>
          </mc:Fallback>
        </mc:AlternateContent>
      </w:r>
    </w:p>
    <w:p>
      <w:pPr>
        <w:pStyle w:val="TextBody"/>
        <w:bidi w:val="0"/>
        <w:spacing w:lineRule="auto" w:line="288" w:before="240" w:after="240"/>
        <w:ind w:left="0" w:right="0" w:hanging="1728"/>
        <w:jc w:val="left"/>
        <w:rPr/>
      </w:pPr>
      <w:hyperlink w:anchor="i07666efec88a48da8fb4b5be2cecb637_7">
        <w:r>
          <w:rPr>
            <w:rStyle w:val="InternetLink"/>
          </w:rPr>
          <w:t>ARTICLE V</w:t>
        </w:r>
      </w:hyperlink>
      <w:hyperlink w:anchor="i07666efec88a48da8fb4b5be2cecb637_7">
        <w:r>
          <w:rPr>
            <w:rStyle w:val="InternetLink"/>
          </w:rPr>
          <w:t>    </w:t>
        </w:r>
      </w:hyperlink>
      <w:hyperlink w:anchor="i07666efec88a48da8fb4b5be2cecb637_7">
        <w:r>
          <w:rPr>
            <w:rStyle w:val="InternetLink"/>
          </w:rPr>
          <w:t>COVENANTS OF THE BORROWER</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5.01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Affirmative Covenants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39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5.02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Negative Covenants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42</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5.03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Financial Covenant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46</w:t>
        </w:r>
      </w:hyperlink>
    </w:p>
    <w:p>
      <w:pPr>
        <w:pStyle w:val="TextBody"/>
        <w:bidi w:val="0"/>
        <w:spacing w:lineRule="auto" w:line="288" w:before="240" w:after="240"/>
        <w:ind w:left="0" w:right="0" w:hanging="1728"/>
        <w:jc w:val="left"/>
        <w:rPr/>
      </w:pPr>
      <w:hyperlink w:anchor="i07666efec88a48da8fb4b5be2cecb637_7">
        <w:r>
          <w:rPr>
            <w:rStyle w:val="InternetLink"/>
          </w:rPr>
          <w:t>ARTICLE VI</w:t>
        </w:r>
      </w:hyperlink>
      <w:hyperlink w:anchor="i07666efec88a48da8fb4b5be2cecb637_7">
        <w:r>
          <w:rPr>
            <w:rStyle w:val="InternetLink"/>
          </w:rPr>
          <w:t>    </w:t>
        </w:r>
      </w:hyperlink>
      <w:hyperlink w:anchor="i07666efec88a48da8fb4b5be2cecb637_7">
        <w:r>
          <w:rPr>
            <w:rStyle w:val="InternetLink"/>
          </w:rPr>
          <w:t>EVENTS OF DEFAULT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46</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6.01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Events of Default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46</w:t>
        </w:r>
      </w:hyperlink>
    </w:p>
    <w:p>
      <w:pPr>
        <w:pStyle w:val="TextBody"/>
        <w:bidi w:val="0"/>
        <w:spacing w:lineRule="auto" w:line="288" w:before="240" w:after="240"/>
        <w:ind w:left="0" w:right="0" w:hanging="1728"/>
        <w:jc w:val="left"/>
        <w:rPr/>
      </w:pPr>
      <w:hyperlink w:anchor="i07666efec88a48da8fb4b5be2cecb637_7">
        <w:r>
          <w:rPr>
            <w:rStyle w:val="InternetLink"/>
          </w:rPr>
          <w:t>ARTICLE VII</w:t>
        </w:r>
      </w:hyperlink>
      <w:hyperlink w:anchor="i07666efec88a48da8fb4b5be2cecb637_7">
        <w:r>
          <w:rPr>
            <w:rStyle w:val="InternetLink"/>
          </w:rPr>
          <w:t>    </w:t>
        </w:r>
      </w:hyperlink>
      <w:hyperlink w:anchor="i07666efec88a48da8fb4b5be2cecb637_7">
        <w:r>
          <w:rPr>
            <w:rStyle w:val="InternetLink"/>
          </w:rPr>
          <w:t>THE AGENT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48</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Appointment and Authority</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48</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Rights as a Lender</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48</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Exculpatory Provisions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Reliance by Agent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49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7.05</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Indemnification</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7.06</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Delegation of Duties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7.07</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Resignation of Agent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50</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7.08</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Non-Reliance on Agent and Other Lenders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7.09</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No Other Duties, etc</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7.10</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Certain Lender ERISA Matters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51</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7.11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Recovery of Erroneous Payments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52</w:t>
        </w:r>
      </w:hyperlink>
    </w:p>
    <w:p>
      <w:pPr>
        <w:pStyle w:val="TextBody"/>
        <w:bidi w:val="0"/>
        <w:spacing w:lineRule="auto" w:line="288" w:before="240" w:after="240"/>
        <w:ind w:left="0" w:right="0" w:hanging="1728"/>
        <w:jc w:val="left"/>
        <w:rPr/>
      </w:pPr>
      <w:hyperlink w:anchor="i07666efec88a48da8fb4b5be2cecb637_7">
        <w:r>
          <w:rPr>
            <w:rStyle w:val="InternetLink"/>
          </w:rPr>
          <w:t>ARTICLE VIII</w:t>
        </w:r>
      </w:hyperlink>
      <w:hyperlink w:anchor="i07666efec88a48da8fb4b5be2cecb637_7">
        <w:r>
          <w:rPr>
            <w:rStyle w:val="InternetLink"/>
          </w:rPr>
          <w:t>    </w:t>
        </w:r>
      </w:hyperlink>
      <w:hyperlink w:anchor="i07666efec88a48da8fb4b5be2cecb637_7">
        <w:r>
          <w:rPr>
            <w:rStyle w:val="InternetLink"/>
          </w:rPr>
          <w:t>MISCELLANEOUS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Amendments, Etc</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Notices; Effectiveness; Electronic Communication</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56</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No Waiver; Remedies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57</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Costs and Expenses; Indemnification</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57</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8.05</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Right of Set-off</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8.06</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Binding Effect</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8.07</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Assignments and Participations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59</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8.08</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Confidentiality</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63</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8.09</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Governing Law</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8.10</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Execution in Counterparts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8.11</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Jurisdiction, Etc</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8.12</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Patriot Act Notice; Beneficial Ownership Regulation</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8.13</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Interest Rate Limitation</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64</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8.14</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No Fiduciary Duty; Other Relationships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8.15</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Electronic Execution of Assignments and Certain Other Documents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8.16</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color w:val="0000FF"/>
            <w:sz w:val="20"/>
            <w:u w:val="single"/>
          </w:rPr>
          <w:t>Acknowledgement and Consent to Bail-In of Certain Affected Financial Institutions</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val="false"/>
            <w:strike w:val="false"/>
            <w:dstrike w:val="false"/>
            <w:color w:val="000000"/>
            <w:sz w:val="20"/>
            <w:u w:val="none"/>
            <w:effect w:val="none"/>
          </w:rPr>
          <w:t>65</w:t>
        </w:r>
      </w:hyperlink>
    </w:p>
    <w:p>
      <w:pPr>
        <w:pStyle w:val="TextBody"/>
        <w:bidi w:val="0"/>
        <w:spacing w:lineRule="auto" w:line="288" w:before="0" w:after="0"/>
        <w:ind w:left="0" w:right="0" w:hanging="1728"/>
        <w:jc w:val="left"/>
        <w:rPr/>
      </w:pPr>
      <w:hyperlink w:anchor="i07666efec88a48da8fb4b5be2cecb637_7">
        <w:r>
          <w:rPr>
            <w:rStyle w:val="InternetLink"/>
            <w:rFonts w:ascii="Times New Roman;sans-serif" w:hAnsi="Times New Roman;sans-serif"/>
            <w:b w:val="false"/>
            <w:color w:val="0000FF"/>
            <w:sz w:val="20"/>
            <w:u w:val="single"/>
          </w:rPr>
          <w:t>SECTION 8.17</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color w:val="0000FF"/>
            <w:sz w:val="20"/>
            <w:u w:val="single"/>
          </w:rPr>
          <w:t>WAIVER OF JURY TRIAL</w:t>
        </w:r>
      </w:hyperlink>
      <w:hyperlink w:anchor="i07666efec88a48da8fb4b5be2cecb637_7">
        <w:r>
          <w:rPr>
            <w:rStyle w:val="InternetLink"/>
            <w:strike w:val="false"/>
            <w:dstrike w:val="false"/>
            <w:color w:val="000000"/>
            <w:u w:val="none"/>
            <w:effect w:val="none"/>
          </w:rPr>
          <w:t>    </w:t>
        </w:r>
      </w:hyperlink>
      <w:hyperlink w:anchor="i07666efec88a48da8fb4b5be2cecb637_7">
        <w:r>
          <w:rPr>
            <w:rStyle w:val="InternetLink"/>
            <w:rFonts w:ascii="Times New Roman;sans-serif" w:hAnsi="Times New Roman;sans-serif"/>
            <w:b/>
            <w:strike w:val="false"/>
            <w:dstrike w:val="false"/>
            <w:color w:val="000000"/>
            <w:sz w:val="20"/>
            <w:u w:val="none"/>
            <w:effect w:val="none"/>
          </w:rPr>
          <w:t>66</w:t>
        </w:r>
      </w:hyperlink>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Schedule I    -    Commitments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Exhibits</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Exhibit A    -    Form of Note</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Exhibit B    -    Form of Notice of Borrowing</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C    -    Form of Assignment and Assumption </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Exhibit D    -    Form of Tax Compliance Certificates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iii</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CREDIT AGREEMENT</w:t>
        <w:br/>
        <w:br/>
        <w:t>Dated as of May 8, 2025</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AUTODESK,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lenders from time to time party hereto, and CITIBANK, N.A. (“</w:t>
      </w:r>
      <w:r>
        <w:rPr>
          <w:rFonts w:ascii="Times New Roman;sans-serif" w:hAnsi="Times New Roman;sans-serif"/>
          <w:b w:val="false"/>
          <w:color w:val="000000"/>
          <w:sz w:val="22"/>
          <w:u w:val="single"/>
        </w:rPr>
        <w:t>Citibank</w:t>
      </w:r>
      <w:r>
        <w:rPr>
          <w:color w:val="000000"/>
        </w:rPr>
        <w:t>”</w:t>
      </w:r>
      <w:r>
        <w:rPr>
          <w:rFonts w:ascii="Times New Roman;sans-serif" w:hAnsi="Times New Roman;sans-serif"/>
          <w:b w:val="false"/>
          <w:color w:val="000000"/>
          <w:sz w:val="22"/>
        </w:rPr>
        <w:t>), as administrative agent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for the Lenders (as hereinafter defined), agree as follows:</w:t>
      </w:r>
    </w:p>
    <w:p>
      <w:pPr>
        <w:pStyle w:val="TextBody"/>
        <w:bidi w:val="0"/>
        <w:spacing w:lineRule="auto" w:line="319" w:before="0" w:after="240"/>
        <w:jc w:val="center"/>
        <w:rPr/>
      </w:pPr>
      <w:r>
        <w:rPr>
          <w:rFonts w:ascii="Times New Roman;sans-serif" w:hAnsi="Times New Roman;sans-serif"/>
          <w:b w:val="false"/>
          <w:color w:val="000000"/>
          <w:sz w:val="22"/>
        </w:rPr>
        <w:t>Article I</w:t>
      </w:r>
      <w:r>
        <w:rPr>
          <w:rFonts w:ascii="Times New Roman;sans-serif" w:hAnsi="Times New Roman;sans-serif"/>
          <w:b w:val="false"/>
          <w:color w:val="000000"/>
          <w:sz w:val="22"/>
        </w:rPr>
        <w:br/>
        <w:br/>
        <w:t>DEFINITIONS AND ACCOUNTING TERMS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1.01</w:t>
      </w:r>
      <w:r>
        <w:rPr>
          <w:rFonts w:ascii="Times New Roman;sans-serif" w:hAnsi="Times New Roman;sans-serif"/>
          <w:b w:val="false"/>
          <w:color w:val="000000"/>
          <w:sz w:val="22"/>
          <w:u w:val="single"/>
        </w:rPr>
        <w:t>Certain Defined Terms</w:t>
      </w:r>
      <w:r>
        <w:rPr>
          <w:rFonts w:ascii="Times New Roman;sans-serif" w:hAnsi="Times New Roman;sans-serif"/>
          <w:b w:val="false"/>
          <w:color w:val="000000"/>
          <w:sz w:val="22"/>
        </w:rPr>
        <w:t>. As used in this Agreement, the following terms shall have the following meanings (such meanings to be equally applicable to both the singular and plural forms of the terms defined):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Adjusted Term SOFR</w:t>
      </w:r>
      <w:r>
        <w:rPr>
          <w:color w:val="000000"/>
        </w:rPr>
        <w:t xml:space="preserve">” </w:t>
      </w:r>
      <w:r>
        <w:rPr>
          <w:rFonts w:ascii="Times New Roman;sans-serif" w:hAnsi="Times New Roman;sans-serif"/>
          <w:b w:val="false"/>
          <w:color w:val="000000"/>
          <w:sz w:val="22"/>
        </w:rPr>
        <w:t xml:space="preserve">means for the purposes of any calculation, the rate per annum equal to Term SOFR for such calculation;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Adjusted Term SOFR as so determined would be less than the Floor, such rate will be deemed to be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Administrative Questionnaire</w:t>
      </w:r>
      <w:r>
        <w:rPr>
          <w:color w:val="000000"/>
        </w:rPr>
        <w:t xml:space="preserve">” </w:t>
      </w:r>
      <w:r>
        <w:rPr>
          <w:rFonts w:ascii="Times New Roman;sans-serif" w:hAnsi="Times New Roman;sans-serif"/>
          <w:b w:val="false"/>
          <w:color w:val="000000"/>
          <w:sz w:val="22"/>
        </w:rPr>
        <w:t>means an Administrative Questionnaire in a form supplied by the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Advance</w:t>
      </w:r>
      <w:r>
        <w:rPr>
          <w:color w:val="000000"/>
        </w:rPr>
        <w:t xml:space="preserve">” </w:t>
      </w:r>
      <w:r>
        <w:rPr>
          <w:rFonts w:ascii="Times New Roman;sans-serif" w:hAnsi="Times New Roman;sans-serif"/>
          <w:b w:val="false"/>
          <w:color w:val="000000"/>
          <w:sz w:val="22"/>
        </w:rPr>
        <w:t>means an advance by a Lender to the Borrower as part of a Borrowing and refers to a Base Rate Advance or a SOFR Advance (each of which shall be a “</w:t>
      </w:r>
      <w:r>
        <w:rPr>
          <w:rFonts w:ascii="Times New Roman;sans-serif" w:hAnsi="Times New Roman;sans-serif"/>
          <w:b w:val="false"/>
          <w:color w:val="000000"/>
          <w:sz w:val="22"/>
          <w:u w:val="single"/>
        </w:rPr>
        <w:t>Type</w:t>
      </w:r>
      <w:r>
        <w:rPr>
          <w:color w:val="000000"/>
        </w:rPr>
        <w:t xml:space="preserve">” </w:t>
      </w:r>
      <w:r>
        <w:rPr>
          <w:rFonts w:ascii="Times New Roman;sans-serif" w:hAnsi="Times New Roman;sans-serif"/>
          <w:b w:val="false"/>
          <w:color w:val="000000"/>
          <w:sz w:val="22"/>
        </w:rPr>
        <w:t>of Advance).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Affected Financial Institution</w:t>
      </w:r>
      <w:r>
        <w:rPr>
          <w:color w:val="000000"/>
        </w:rPr>
        <w:t xml:space="preserve">” </w:t>
      </w:r>
      <w:r>
        <w:rPr>
          <w:rFonts w:ascii="Times New Roman;sans-serif" w:hAnsi="Times New Roman;sans-serif"/>
          <w:b w:val="false"/>
          <w:color w:val="000000"/>
          <w:sz w:val="22"/>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Affiliate</w:t>
      </w:r>
      <w:r>
        <w:rPr>
          <w:color w:val="000000"/>
        </w:rPr>
        <w:t xml:space="preserve">” </w:t>
      </w:r>
      <w:r>
        <w:rPr>
          <w:rFonts w:ascii="Times New Roman;sans-serif" w:hAnsi="Times New Roman;sans-serif"/>
          <w:b w:val="false"/>
          <w:color w:val="000000"/>
          <w:sz w:val="22"/>
        </w:rPr>
        <w:t>means, as to any Person, any other Person that, directly or indirectly, controls, is controlled by or is under common control with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Agent’s Account</w:t>
      </w:r>
      <w:r>
        <w:rPr>
          <w:color w:val="000000"/>
        </w:rPr>
        <w:t xml:space="preserve">” </w:t>
      </w:r>
      <w:r>
        <w:rPr>
          <w:rFonts w:ascii="Times New Roman;sans-serif" w:hAnsi="Times New Roman;sans-serif"/>
          <w:b w:val="false"/>
          <w:color w:val="000000"/>
          <w:sz w:val="22"/>
        </w:rPr>
        <w:t>means the account of the Agent maintained by the Agent at Citibank at its office at One Penns Way, OPS 2/2, New Castle, Delaware 19720, Account No. 36852248, Attention: Lending Agency.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Anti-Corruption Laws</w:t>
      </w:r>
      <w:r>
        <w:rPr>
          <w:color w:val="000000"/>
        </w:rPr>
        <w:t xml:space="preserve">” </w:t>
      </w:r>
      <w:r>
        <w:rPr>
          <w:rFonts w:ascii="Times New Roman;sans-serif" w:hAnsi="Times New Roman;sans-serif"/>
          <w:b w:val="false"/>
          <w:color w:val="000000"/>
          <w:sz w:val="22"/>
        </w:rPr>
        <w:t>means all laws, rules, and regulations of any jurisdiction applicable to the Borrower or its Subsidiaries from time to time concerning or relating to bribery, money laundering or corruption.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Lending Office</w:t>
      </w:r>
      <w:r>
        <w:rPr>
          <w:color w:val="000000"/>
        </w:rPr>
        <w:t xml:space="preserve">” </w:t>
      </w:r>
      <w:r>
        <w:rPr>
          <w:rFonts w:ascii="Times New Roman;sans-serif" w:hAnsi="Times New Roman;sans-serif"/>
          <w:b w:val="false"/>
          <w:color w:val="000000"/>
          <w:sz w:val="22"/>
        </w:rPr>
        <w:t>means, with respect to any Lender, the office of such Lender specified as its “Lending Office” in its Administrative Questionnaire delivered to the Agent, or such other office of such Lender as such Lender may from time to time specify to the Borrower and the Agent.</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Margin</w:t>
      </w:r>
      <w:r>
        <w:rPr>
          <w:color w:val="000000"/>
        </w:rPr>
        <w:t xml:space="preserve">” </w:t>
      </w:r>
      <w:r>
        <w:rPr>
          <w:rFonts w:ascii="Times New Roman;sans-serif" w:hAnsi="Times New Roman;sans-serif"/>
          <w:b w:val="false"/>
          <w:color w:val="000000"/>
          <w:sz w:val="22"/>
        </w:rPr>
        <w:t>means, as of any date, a percentage per annum determined by reference to the Public Debt Rating in effect on such date as set forth below:</w:t>
      </w:r>
    </w:p>
    <w:tbl>
      <w:tblPr>
        <w:tblW w:w="9824" w:type="dxa"/>
        <w:jc w:val="left"/>
        <w:tblInd w:w="0" w:type="dxa"/>
        <w:tblLayout w:type="fixed"/>
        <w:tblCellMar>
          <w:top w:w="28" w:type="dxa"/>
          <w:left w:w="28" w:type="dxa"/>
          <w:bottom w:w="28" w:type="dxa"/>
          <w:right w:w="28" w:type="dxa"/>
        </w:tblCellMar>
      </w:tblPr>
      <w:tblGrid>
        <w:gridCol w:w="1375"/>
        <w:gridCol w:w="1208"/>
        <w:gridCol w:w="1212"/>
        <w:gridCol w:w="1264"/>
        <w:gridCol w:w="1264"/>
        <w:gridCol w:w="1267"/>
        <w:gridCol w:w="654"/>
        <w:gridCol w:w="654"/>
        <w:gridCol w:w="926"/>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Public Debt Rating S&amp;P/Moody’s/Fitch</w:t>
            </w:r>
          </w:p>
        </w:tc>
        <w:tc>
          <w:tcPr>
            <w:tcW w:w="3795"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Applicable Margin for SOFR Advances</w:t>
            </w:r>
          </w:p>
        </w:tc>
        <w:tc>
          <w:tcPr>
            <w:tcW w:w="2234" w:type="dxa"/>
            <w:gridSpan w:val="3"/>
            <w:tcBorders>
              <w:top w:val="single" w:sz="4"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Applicable Margin for</w:t>
              <w:br/>
              <w:t>Base Rate Advances</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1</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 A1 / A+ or above</w:t>
            </w:r>
          </w:p>
        </w:tc>
        <w:tc>
          <w:tcPr>
            <w:tcW w:w="379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0.575%</w:t>
            </w:r>
          </w:p>
        </w:tc>
        <w:tc>
          <w:tcPr>
            <w:tcW w:w="2234"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2</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 A2 / A</w:t>
            </w:r>
          </w:p>
        </w:tc>
        <w:tc>
          <w:tcPr>
            <w:tcW w:w="379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0.685%</w:t>
            </w:r>
          </w:p>
        </w:tc>
        <w:tc>
          <w:tcPr>
            <w:tcW w:w="2234"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3</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 A3 / A-</w:t>
            </w:r>
          </w:p>
        </w:tc>
        <w:tc>
          <w:tcPr>
            <w:tcW w:w="379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0.800%</w:t>
            </w:r>
          </w:p>
        </w:tc>
        <w:tc>
          <w:tcPr>
            <w:tcW w:w="2234"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4</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BBB+ / Baa1 / BBB+</w:t>
            </w:r>
          </w:p>
        </w:tc>
        <w:tc>
          <w:tcPr>
            <w:tcW w:w="379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0.900%</w:t>
            </w:r>
          </w:p>
        </w:tc>
        <w:tc>
          <w:tcPr>
            <w:tcW w:w="2234"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r>
        <w:trPr/>
        <w:tc>
          <w:tcPr>
            <w:tcW w:w="3795"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5</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BBB / Baa2 / BBB or below</w:t>
            </w:r>
          </w:p>
        </w:tc>
        <w:tc>
          <w:tcPr>
            <w:tcW w:w="3795"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1.000%</w:t>
            </w:r>
          </w:p>
        </w:tc>
        <w:tc>
          <w:tcPr>
            <w:tcW w:w="2234" w:type="dxa"/>
            <w:gridSpan w:val="3"/>
            <w:tcBorders>
              <w:top w:val="single" w:sz="6" w:space="0" w:color="000000"/>
              <w:left w:val="single" w:sz="6"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0.000%</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Applicable Percentage</w:t>
      </w:r>
      <w:r>
        <w:rPr>
          <w:color w:val="000000"/>
        </w:rPr>
        <w:t xml:space="preserve">” </w:t>
      </w:r>
      <w:r>
        <w:rPr>
          <w:rFonts w:ascii="Times New Roman;sans-serif" w:hAnsi="Times New Roman;sans-serif"/>
          <w:b w:val="false"/>
          <w:color w:val="000000"/>
          <w:sz w:val="22"/>
        </w:rPr>
        <w:t>means, as of any date, a percentage per annum determined by reference to the Public Debt Rating in effect on such date as set forth below:</w:t>
      </w:r>
    </w:p>
    <w:tbl>
      <w:tblPr>
        <w:tblW w:w="5024" w:type="dxa"/>
        <w:jc w:val="left"/>
        <w:tblInd w:w="0" w:type="dxa"/>
        <w:tblLayout w:type="fixed"/>
        <w:tblCellMar>
          <w:top w:w="28" w:type="dxa"/>
          <w:left w:w="28" w:type="dxa"/>
          <w:bottom w:w="28" w:type="dxa"/>
          <w:right w:w="28" w:type="dxa"/>
        </w:tblCellMar>
      </w:tblPr>
      <w:tblGrid>
        <w:gridCol w:w="1375"/>
        <w:gridCol w:w="1208"/>
        <w:gridCol w:w="1212"/>
        <w:gridCol w:w="360"/>
        <w:gridCol w:w="360"/>
        <w:gridCol w:w="509"/>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Public Debt Rating S&amp;P/Moody’s/Fitch</w:t>
            </w:r>
          </w:p>
        </w:tc>
        <w:tc>
          <w:tcPr>
            <w:tcW w:w="1229" w:type="dxa"/>
            <w:gridSpan w:val="3"/>
            <w:tcBorders>
              <w:top w:val="single" w:sz="4"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Applicable </w:t>
              <w:br/>
              <w:t>Percentage</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1</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 A1 / A+ or above</w:t>
            </w:r>
          </w:p>
        </w:tc>
        <w:tc>
          <w:tcPr>
            <w:tcW w:w="1229"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0.050%</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2</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 A2 / A</w:t>
            </w:r>
          </w:p>
        </w:tc>
        <w:tc>
          <w:tcPr>
            <w:tcW w:w="1229"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0.065%</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3</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 / A3 / A-</w:t>
            </w:r>
          </w:p>
        </w:tc>
        <w:tc>
          <w:tcPr>
            <w:tcW w:w="1229"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0.075%</w:t>
            </w:r>
          </w:p>
        </w:tc>
      </w:tr>
      <w:tr>
        <w:trPr/>
        <w:tc>
          <w:tcPr>
            <w:tcW w:w="3795" w:type="dxa"/>
            <w:gridSpan w:val="3"/>
            <w:tcBorders>
              <w:top w:val="single" w:sz="6"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4</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BBB+ / Baa1 / BBB+</w:t>
            </w:r>
          </w:p>
        </w:tc>
        <w:tc>
          <w:tcPr>
            <w:tcW w:w="1229" w:type="dxa"/>
            <w:gridSpan w:val="3"/>
            <w:tcBorders>
              <w:top w:val="single" w:sz="6" w:space="0" w:color="000000"/>
              <w:left w:val="single" w:sz="6"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0.100%</w:t>
            </w:r>
          </w:p>
        </w:tc>
      </w:tr>
      <w:tr>
        <w:trPr/>
        <w:tc>
          <w:tcPr>
            <w:tcW w:w="3795"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Level 5</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BBB / Baa2 / BBB or below</w:t>
            </w:r>
          </w:p>
        </w:tc>
        <w:tc>
          <w:tcPr>
            <w:tcW w:w="1229" w:type="dxa"/>
            <w:gridSpan w:val="3"/>
            <w:tcBorders>
              <w:top w:val="single" w:sz="6" w:space="0" w:color="000000"/>
              <w:left w:val="single" w:sz="6"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0.125%</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Approved Fund</w:t>
      </w:r>
      <w:r>
        <w:rPr>
          <w:color w:val="000000"/>
        </w:rPr>
        <w:t xml:space="preserve">” </w:t>
      </w:r>
      <w:r>
        <w:rPr>
          <w:rFonts w:ascii="Times New Roman;sans-serif" w:hAnsi="Times New Roman;sans-serif"/>
          <w:b w:val="false"/>
          <w:color w:val="000000"/>
          <w:sz w:val="22"/>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Arrangers</w:t>
      </w:r>
      <w:r>
        <w:rPr>
          <w:color w:val="000000"/>
        </w:rPr>
        <w:t xml:space="preserve">” </w:t>
      </w:r>
      <w:r>
        <w:rPr>
          <w:rFonts w:ascii="Times New Roman;sans-serif" w:hAnsi="Times New Roman;sans-serif"/>
          <w:b w:val="false"/>
          <w:color w:val="000000"/>
          <w:sz w:val="22"/>
        </w:rPr>
        <w:t>means Citibank, BofA Securities, Inc., BNP Paribas Securities Corp., Morgan Stanley Senior Funding, Inc. and U.S. Bank National Association.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Assignment and Assumption</w:t>
      </w:r>
      <w:r>
        <w:rPr>
          <w:color w:val="000000"/>
        </w:rPr>
        <w:t xml:space="preserve">” </w:t>
      </w:r>
      <w:r>
        <w:rPr>
          <w:rFonts w:ascii="Times New Roman;sans-serif" w:hAnsi="Times New Roman;sans-serif"/>
          <w:b w:val="false"/>
          <w:color w:val="000000"/>
          <w:sz w:val="22"/>
        </w:rPr>
        <w:t>means an assignment and assumption entered into by a Lender and an Eligible Assignee (with the consent of any party whose consent is required by Section 8.07(b)(iii)), and accepted by the Agent, in substantially the form of Exhibit C 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Assuming Lender</w:t>
      </w:r>
      <w:r>
        <w:rPr>
          <w:color w:val="000000"/>
        </w:rPr>
        <w:t xml:space="preserve">” </w:t>
      </w:r>
      <w:r>
        <w:rPr>
          <w:rFonts w:ascii="Times New Roman;sans-serif" w:hAnsi="Times New Roman;sans-serif"/>
          <w:b w:val="false"/>
          <w:color w:val="000000"/>
          <w:sz w:val="22"/>
        </w:rPr>
        <w:t>has the meaning specified in Section 2.17(c).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Assumption Agreement</w:t>
      </w:r>
      <w:r>
        <w:rPr>
          <w:color w:val="000000"/>
        </w:rPr>
        <w:t xml:space="preserve">” </w:t>
      </w:r>
      <w:r>
        <w:rPr>
          <w:rFonts w:ascii="Times New Roman;sans-serif" w:hAnsi="Times New Roman;sans-serif"/>
          <w:b w:val="false"/>
          <w:color w:val="000000"/>
          <w:sz w:val="22"/>
        </w:rPr>
        <w:t>has the meaning specified in Section 2.17(c)(ii).</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Available Tenor</w:t>
      </w:r>
      <w:r>
        <w:rPr>
          <w:color w:val="000000"/>
        </w:rPr>
        <w:t xml:space="preserve">” </w:t>
      </w:r>
      <w:r>
        <w:rPr>
          <w:rFonts w:ascii="Times New Roman;sans-serif" w:hAnsi="Times New Roman;sans-serif"/>
          <w:b w:val="false"/>
          <w:color w:val="000000"/>
          <w:sz w:val="22"/>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2.22(d).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Action</w:t>
      </w:r>
      <w:r>
        <w:rPr>
          <w:color w:val="000000"/>
        </w:rPr>
        <w:t xml:space="preserve">” </w:t>
      </w:r>
      <w:r>
        <w:rPr>
          <w:rFonts w:ascii="Times New Roman;sans-serif" w:hAnsi="Times New Roman;sans-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Bail-In Legislation</w:t>
      </w:r>
      <w:r>
        <w:rPr>
          <w:color w:val="000000"/>
        </w:rPr>
        <w:t xml:space="preserve">” </w:t>
      </w:r>
      <w:r>
        <w:rPr>
          <w:rFonts w:ascii="Times New Roman;sans-serif" w:hAnsi="Times New Roman;sans-serif"/>
          <w:b w:val="false"/>
          <w:color w:val="000000"/>
          <w:sz w:val="22"/>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w:t>
      </w:r>
      <w:r>
        <w:rPr>
          <w:color w:val="000000"/>
        </w:rPr>
        <w:t xml:space="preserve">” </w:t>
      </w:r>
      <w:r>
        <w:rPr>
          <w:rFonts w:ascii="Times New Roman;sans-serif" w:hAnsi="Times New Roman;sans-serif"/>
          <w:b w:val="false"/>
          <w:color w:val="000000"/>
          <w:sz w:val="22"/>
        </w:rPr>
        <w:t>means a fluctuating interest rate per annum in effect from time to time, which rate per annum shall at all times be equal to the highest of:</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rate of interest announced publicly by Citibank in New York, New York, from time to time, as Citibank’s base rate;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½ of one percent per annum above the Federal Funds Rate;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Adjusted Term SOFR for a one-month tenor in effect on such day plus 1.00%;</w:t>
      </w:r>
    </w:p>
    <w:p>
      <w:pPr>
        <w:pStyle w:val="TextBody"/>
        <w:bidi w:val="0"/>
        <w:spacing w:lineRule="auto" w:line="288" w:before="0" w:after="240"/>
        <w:ind w:left="0" w:right="0" w:firstLine="720"/>
        <w:jc w:val="both"/>
        <w:rPr/>
      </w:pP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Base Rate as so determined would be less than 1.00%, such rate shall be deemed to be 1.00% for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Base Rate Advance</w:t>
      </w:r>
      <w:r>
        <w:rPr>
          <w:color w:val="000000"/>
        </w:rPr>
        <w:t xml:space="preserve">” </w:t>
      </w:r>
      <w:r>
        <w:rPr>
          <w:rFonts w:ascii="Times New Roman;sans-serif" w:hAnsi="Times New Roman;sans-serif"/>
          <w:b w:val="false"/>
          <w:color w:val="000000"/>
          <w:sz w:val="22"/>
        </w:rPr>
        <w:t>means an Advance that bears interest as provided in Section 2.06(a)(i).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w:t>
      </w:r>
      <w:r>
        <w:rPr>
          <w:color w:val="000000"/>
        </w:rPr>
        <w:t xml:space="preserve">” </w:t>
      </w:r>
      <w:r>
        <w:rPr>
          <w:rFonts w:ascii="Times New Roman;sans-serif" w:hAnsi="Times New Roman;sans-serif"/>
          <w:b w:val="false"/>
          <w:color w:val="000000"/>
          <w:sz w:val="22"/>
        </w:rPr>
        <w:t xml:space="preserve">means, initially, the Term SOFR Reference Rate;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2.22(a).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Replacement</w:t>
      </w:r>
      <w:r>
        <w:rPr>
          <w:color w:val="000000"/>
        </w:rPr>
        <w:t xml:space="preserve">” </w:t>
      </w:r>
      <w:r>
        <w:rPr>
          <w:rFonts w:ascii="Times New Roman;sans-serif" w:hAnsi="Times New Roman;sans-serif"/>
          <w:b w:val="false"/>
          <w:color w:val="000000"/>
          <w:sz w:val="22"/>
        </w:rPr>
        <w:t>means, with respect to any Benchmark Transition Event, the first alternative set forth below that can be determined by the Agent for the applicable Benchmark Replacement Date:</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Daily Simple SOFR;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the sum of (a) the alternate benchmark rate that has been selected by the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U.S. dollar-denominated syndicated credit facilities at such time and (b) the related Benchmark Replacement Adjustment;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provided that, if such Benchmark Replacement as so determined would be less than the Floor, such Benchmark Replacement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Replacement Adjustment</w:t>
      </w:r>
      <w:r>
        <w:rPr>
          <w:color w:val="000000"/>
        </w:rPr>
        <w:t xml:space="preserve">” </w:t>
      </w:r>
      <w:r>
        <w:rPr>
          <w:rFonts w:ascii="Times New Roman;sans-serif" w:hAnsi="Times New Roman;sans-serif"/>
          <w:b w:val="false"/>
          <w:color w:val="000000"/>
          <w:sz w:val="22"/>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lineRule="auto" w:line="288" w:before="0" w:after="0"/>
        <w:ind w:left="0" w:right="0" w:hanging="720"/>
        <w:jc w:val="both"/>
        <w:rPr/>
      </w:pPr>
      <w:r>
        <w:rPr>
          <w:color w:val="000000"/>
        </w:rPr>
        <w:t>        “</w:t>
      </w:r>
      <w:r>
        <w:rPr>
          <w:rFonts w:ascii="Times New Roman;sans-serif" w:hAnsi="Times New Roman;sans-serif"/>
          <w:b w:val="false"/>
          <w:color w:val="000000"/>
          <w:sz w:val="22"/>
          <w:u w:val="single"/>
        </w:rPr>
        <w:t>Benchmark Replacement Date</w:t>
      </w:r>
      <w:r>
        <w:rPr>
          <w:color w:val="000000"/>
        </w:rPr>
        <w:t xml:space="preserve">” </w:t>
      </w:r>
      <w:r>
        <w:rPr>
          <w:rFonts w:ascii="Times New Roman;sans-serif" w:hAnsi="Times New Roman;sans-serif"/>
          <w:b w:val="false"/>
          <w:color w:val="000000"/>
          <w:sz w:val="22"/>
        </w:rPr>
        <w:t>means the earliest to occur of the following events with respect to the then-current Benchmark:</w:t>
      </w:r>
    </w:p>
    <w:p>
      <w:pPr>
        <w:pStyle w:val="TextBody"/>
        <w:bidi w:val="0"/>
        <w:spacing w:before="0" w:after="0"/>
        <w:ind w:left="0" w:right="0" w:hanging="720"/>
        <w:jc w:val="both"/>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(a)    in the case of clause (a) or (b) of the definition of “</w:t>
      </w:r>
      <w:r>
        <w:rPr>
          <w:rFonts w:ascii="Times New Roman;sans-serif" w:hAnsi="Times New Roman;sans-serif"/>
          <w:b w:val="false"/>
          <w:color w:val="000000"/>
          <w:sz w:val="22"/>
          <w:u w:val="single"/>
        </w:rPr>
        <w:t>Benchmark Transition Event</w:t>
      </w:r>
      <w:r>
        <w:rPr>
          <w:rFonts w:ascii="Times New Roman;sans-serif" w:hAnsi="Times New Roman;sans-serif"/>
          <w:b w:val="false"/>
          <w:color w:val="000000"/>
          <w:sz w:val="22"/>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(b)    in the case of clause (c) of the definition of “</w:t>
      </w:r>
      <w:r>
        <w:rPr>
          <w:rFonts w:ascii="Times New Roman;sans-serif" w:hAnsi="Times New Roman;sans-serif"/>
          <w:b w:val="false"/>
          <w:color w:val="000000"/>
          <w:sz w:val="22"/>
          <w:u w:val="single"/>
        </w:rPr>
        <w:t>Benchmark Transition Event</w:t>
      </w:r>
      <w:r>
        <w:rPr>
          <w:rFonts w:ascii="Times New Roman;sans-serif" w:hAnsi="Times New Roman;sans-serif"/>
          <w:b w:val="false"/>
          <w:color w:val="000000"/>
          <w:sz w:val="22"/>
        </w:rPr>
        <w:t>,” the first date on which all Available Tenors of such Benchmark (or the published component used in the calculation thereof) have been determined and announced by the regulatory supervisor lor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For the avoidance of doubt, the “</w:t>
      </w:r>
      <w:r>
        <w:rPr>
          <w:rFonts w:ascii="Times New Roman;sans-serif" w:hAnsi="Times New Roman;sans-serif"/>
          <w:b w:val="false"/>
          <w:color w:val="000000"/>
          <w:sz w:val="22"/>
          <w:u w:val="single"/>
        </w:rPr>
        <w:t>Benchmark Replacement Date</w:t>
      </w:r>
      <w:r>
        <w:rPr>
          <w:color w:val="000000"/>
        </w:rPr>
        <w:t xml:space="preserve">” </w:t>
      </w:r>
      <w:r>
        <w:rPr>
          <w:rFonts w:ascii="Times New Roman;sans-serif" w:hAnsi="Times New Roman;sans-serif"/>
          <w:b w:val="false"/>
          <w:color w:val="000000"/>
          <w:sz w:val="22"/>
        </w:rPr>
        <w:t>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Transition Event</w:t>
      </w:r>
      <w:r>
        <w:rPr>
          <w:color w:val="000000"/>
        </w:rPr>
        <w:t xml:space="preserve">” </w:t>
      </w:r>
      <w:r>
        <w:rPr>
          <w:rFonts w:ascii="Times New Roman;sans-serif" w:hAnsi="Times New Roman;sans-serif"/>
          <w:b w:val="false"/>
          <w:color w:val="000000"/>
          <w:sz w:val="22"/>
        </w:rPr>
        <w:t>means the occurrence of one or more of the following events with respect to the then-current Benchmark:</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(b)    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For the avoidance of doubt, a “</w:t>
      </w:r>
      <w:r>
        <w:rPr>
          <w:rFonts w:ascii="Times New Roman;sans-serif" w:hAnsi="Times New Roman;sans-serif"/>
          <w:b w:val="false"/>
          <w:color w:val="000000"/>
          <w:sz w:val="22"/>
          <w:u w:val="single"/>
        </w:rPr>
        <w:t>Benchmark Transition Event</w:t>
      </w:r>
      <w:r>
        <w:rPr>
          <w:color w:val="000000"/>
        </w:rPr>
        <w:t xml:space="preserve">” </w:t>
      </w:r>
      <w:r>
        <w:rPr>
          <w:rFonts w:ascii="Times New Roman;sans-serif" w:hAnsi="Times New Roman;sans-serif"/>
          <w:b w:val="false"/>
          <w:color w:val="000000"/>
          <w:sz w:val="22"/>
        </w:rPr>
        <w:t>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Transition Start Date</w:t>
      </w:r>
      <w:r>
        <w:rPr>
          <w:color w:val="000000"/>
        </w:rPr>
        <w:t xml:space="preserve">” </w:t>
      </w:r>
      <w:r>
        <w:rPr>
          <w:rFonts w:ascii="Times New Roman;sans-serif" w:hAnsi="Times New Roman;sans-serif"/>
          <w:b w:val="false"/>
          <w:color w:val="000000"/>
          <w:sz w:val="22"/>
        </w:rPr>
        <w:t>means, in the ease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Benchmark Unavailability Period</w:t>
      </w:r>
      <w:r>
        <w:rPr>
          <w:color w:val="000000"/>
        </w:rPr>
        <w:t xml:space="preserve">” </w:t>
      </w:r>
      <w:r>
        <w:rPr>
          <w:rFonts w:ascii="Times New Roman;sans-serif" w:hAnsi="Times New Roman;sans-serif"/>
          <w:b w:val="false"/>
          <w:color w:val="000000"/>
          <w:sz w:val="22"/>
        </w:rPr>
        <w:t>means, the period (if any) (a) beginning at the time that a Benchmark Replacement Date has occurred if, at such time, no Benchmark Replacement has replaced the then-current Benchmark for all purposes hereunder and under any Loan Document in accordance with Section 2.22 and (b) ending at the time that a Benchmark Replacement has replaced the then-current Benchmark for all purposes hereunder and under any Loan Document in accordance with Section 2.22.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Beneficial Ownership Regulation</w:t>
      </w:r>
      <w:r>
        <w:rPr>
          <w:color w:val="000000"/>
        </w:rPr>
        <w:t xml:space="preserve">” </w:t>
      </w:r>
      <w:r>
        <w:rPr>
          <w:rFonts w:ascii="Times New Roman;sans-serif" w:hAnsi="Times New Roman;sans-serif"/>
          <w:b w:val="false"/>
          <w:color w:val="000000"/>
          <w:sz w:val="22"/>
        </w:rPr>
        <w:t>means 31 C.F.R. § 1010.230.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Borrower Information</w:t>
      </w:r>
      <w:r>
        <w:rPr>
          <w:color w:val="000000"/>
        </w:rPr>
        <w:t xml:space="preserve">” </w:t>
      </w:r>
      <w:r>
        <w:rPr>
          <w:rFonts w:ascii="Times New Roman;sans-serif" w:hAnsi="Times New Roman;sans-serif"/>
          <w:b w:val="false"/>
          <w:color w:val="000000"/>
          <w:sz w:val="22"/>
        </w:rPr>
        <w:t>has the meaning specified in Section 8.08.</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Borrowing</w:t>
      </w:r>
      <w:r>
        <w:rPr>
          <w:color w:val="000000"/>
        </w:rPr>
        <w:t xml:space="preserve">” </w:t>
      </w:r>
      <w:r>
        <w:rPr>
          <w:rFonts w:ascii="Times New Roman;sans-serif" w:hAnsi="Times New Roman;sans-serif"/>
          <w:b w:val="false"/>
          <w:color w:val="000000"/>
          <w:sz w:val="22"/>
        </w:rPr>
        <w:t>means a borrowing consisting of simultaneous Advances of the same Type made by the Lenders pursuant to Section 2.01.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Business Day</w:t>
      </w:r>
      <w:r>
        <w:rPr>
          <w:color w:val="000000"/>
        </w:rPr>
        <w:t xml:space="preserve">” </w:t>
      </w:r>
      <w:r>
        <w:rPr>
          <w:rFonts w:ascii="Times New Roman;sans-serif" w:hAnsi="Times New Roman;sans-serif"/>
          <w:b w:val="false"/>
          <w:color w:val="000000"/>
          <w:sz w:val="22"/>
        </w:rPr>
        <w:t>means a day of the year on which banks are not required or authorized by law to close in New York 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Capital Lease Obligations</w:t>
      </w:r>
      <w:r>
        <w:rPr>
          <w:color w:val="000000"/>
        </w:rPr>
        <w:t xml:space="preserve">” </w:t>
      </w:r>
      <w:r>
        <w:rPr>
          <w:rFonts w:ascii="Times New Roman;sans-serif" w:hAnsi="Times New Roman;sans-serif"/>
          <w:b w:val="false"/>
          <w:color w:val="000000"/>
          <w:sz w:val="22"/>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 obligations on a balance sheet of such Person under GAAP, and the amount of such obligations shall be the capitalized amount thereof determined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w:t>
      </w:r>
      <w:r>
        <w:rPr>
          <w:color w:val="000000"/>
        </w:rPr>
        <w:t xml:space="preserve">” </w:t>
      </w:r>
      <w:r>
        <w:rPr>
          <w:rFonts w:ascii="Times New Roman;sans-serif" w:hAnsi="Times New Roman;sans-serif"/>
          <w:b w:val="false"/>
          <w:color w:val="000000"/>
          <w:sz w:val="22"/>
        </w:rPr>
        <w:t>means as to any Lender (a) the U.S. dollar amount set forth opposite such Lender’s name on Schedule I hereto as such Lender’s “Commitment”, (b) if such Lender has become a Lender hereunder pursuant to an Assumption Agreement, the amount set forth in such Assumption Agreement or (c) if such Lender has entered into an Assignment and Assumption, the amount set forth for such Lender in the Register maintained by the Agent pursuant to Section 8.07(c), in each case as such amount may be reduced pursuant to Section 2.04, or increased pursuant to Section 2.17 or increased or decreased pursuant to an Assignment and Assumption.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 Date</w:t>
      </w:r>
      <w:r>
        <w:rPr>
          <w:color w:val="000000"/>
        </w:rPr>
        <w:t xml:space="preserve">” </w:t>
      </w:r>
      <w:r>
        <w:rPr>
          <w:rFonts w:ascii="Times New Roman;sans-serif" w:hAnsi="Times New Roman;sans-serif"/>
          <w:b w:val="false"/>
          <w:color w:val="000000"/>
          <w:sz w:val="22"/>
        </w:rPr>
        <w:t>has the meaning specified in Section 2.17(b).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Commitment Increase</w:t>
      </w:r>
      <w:r>
        <w:rPr>
          <w:color w:val="000000"/>
        </w:rPr>
        <w:t xml:space="preserve">” </w:t>
      </w:r>
      <w:r>
        <w:rPr>
          <w:rFonts w:ascii="Times New Roman;sans-serif" w:hAnsi="Times New Roman;sans-serif"/>
          <w:b w:val="false"/>
          <w:color w:val="000000"/>
          <w:sz w:val="22"/>
        </w:rPr>
        <w:t>has the meaning specified in Section 2.17(a).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Conforming Changes</w:t>
      </w:r>
      <w:r>
        <w:rPr>
          <w:color w:val="000000"/>
        </w:rPr>
        <w:t xml:space="preserve">” </w:t>
      </w:r>
      <w:r>
        <w:rPr>
          <w:rFonts w:ascii="Times New Roman;sans-serif" w:hAnsi="Times New Roman;sans-serif"/>
          <w:b w:val="false"/>
          <w:color w:val="000000"/>
          <w:sz w:val="22"/>
        </w:rPr>
        <w:t>means, with respect to either the use or administration of Adjusted Term SOFR or the use, administration, adoption or implementation of any Benchmark Replacement, any technical, administrative or operational changes (including changes to the definition of “Base Rate,”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Agent, in consultation with the Borrower, reasonably decides may be appropriate to reflect the adoption and implementation of any such rate or to permit the use and administration thereof by the Agent in a manner substantially consistent with market practice (or, if the Agent, in consultation with the Borrower, reasonably decides that adoption of any portion of such market practice is not administratively feasible or if the Agent, in consultation with the Borrower, reasonably determines that no market practice for the administration of any such rate exists, in such other manner of administration as the Agent, in consultation with the Borrower,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w:t>
      </w:r>
      <w:r>
        <w:rPr>
          <w:color w:val="000000"/>
        </w:rPr>
        <w:t xml:space="preserve">” </w:t>
      </w:r>
      <w:r>
        <w:rPr>
          <w:rFonts w:ascii="Times New Roman;sans-serif" w:hAnsi="Times New Roman;sans-serif"/>
          <w:b w:val="false"/>
          <w:color w:val="000000"/>
          <w:sz w:val="22"/>
        </w:rPr>
        <w:t>refers to the consolidation of accounts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Covenant Debt</w:t>
      </w:r>
      <w:r>
        <w:rPr>
          <w:color w:val="000000"/>
        </w:rPr>
        <w:t xml:space="preserve">” </w:t>
      </w:r>
      <w:r>
        <w:rPr>
          <w:rFonts w:ascii="Times New Roman;sans-serif" w:hAnsi="Times New Roman;sans-serif"/>
          <w:b w:val="false"/>
          <w:color w:val="000000"/>
          <w:sz w:val="22"/>
        </w:rPr>
        <w:t>means Debt of the types described in clauses (a), (c) and (e) of the definition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EBITDA</w:t>
      </w:r>
      <w:r>
        <w:rPr>
          <w:color w:val="000000"/>
        </w:rPr>
        <w:t xml:space="preserve">” </w:t>
      </w:r>
      <w:r>
        <w:rPr>
          <w:rFonts w:ascii="Times New Roman;sans-serif" w:hAnsi="Times New Roman;sans-serif"/>
          <w:b w:val="false"/>
          <w:color w:val="000000"/>
          <w:sz w:val="22"/>
        </w:rPr>
        <w:t xml:space="preserve">means, for any period, net income (or net loss) plus, to the extent deducted in determining such net income (or net loss), the sum (without duplication) of (a)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interest expense, (b) income tax expense, (c) depreciation expense, (d) amortization expense, (e) any increases in deferred or unearned revenue or substantially equivalent items (net of any increases in deferred costs (which deferred costs, for avoidance of doubt, do not include deferred commissions, capitalized costs to acquire revenue contracts or substantially equivalent items)), (f) all unusual and non-recurring expenses, charges and losses, (g) in connection with any acquisition, all non-recurring restructuring costs, facilities relocation costs, acquisition integration costs and fees, including cash severance payments, and non-recurring fees and expenses, in each case paid during such period in connection with such acquisition and within twelve (12) months of the completion of such acquisition;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amount added back to net income (or net loss) pursuant to this clause (g) in respect of any such costs, fees, payments and expenses paid in cash in connection with all such acquisitions shall not exceed 20% of Consolidated EBITDA (calculated before giving effect to this clause (g) in the aggregate for any period of four fiscal quarters of the Borrower) and (h) non-cash expenses, charges and losses including, without limitation, restructuring expenses, goodwill, fixed asset and other intangibles impairment, acquisition integration costs, facilities relocation costs and charges and expenses related to the issuance of options and other equity based compensation to directors, employees and consultants, and minus, to the extent included in determining such net income (or net loss), the sum of (x) unusual and non-recurring gains and (y) any decreases in deferred or unearned revenue or substantially equivalent items (net of any decreases in deferred costs (which deferred costs, for avoidance of doubt, do not include deferred commissions, capitalized costs to acquire revenue contracts or substantially equivalent items)); in each case determined on a Consolidated basis for the Borrower and its Subsidiaries in accordance with GAAP and calculated on a Pro Forma Basis in accordance with Section 1.03(b).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Consolidated Tangible Assets</w:t>
      </w:r>
      <w:r>
        <w:rPr>
          <w:color w:val="000000"/>
        </w:rPr>
        <w:t xml:space="preserve">” </w:t>
      </w:r>
      <w:r>
        <w:rPr>
          <w:rFonts w:ascii="Times New Roman;sans-serif" w:hAnsi="Times New Roman;sans-serif"/>
          <w:b w:val="false"/>
          <w:color w:val="000000"/>
          <w:sz w:val="22"/>
        </w:rPr>
        <w:t>means, as of any date of determination, for the Borrower and its Subsidiaries (determined in each case on a Consolidated basis):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(a)    the book value of total assets of the Borrower and its Subsidiaries, </w:t>
      </w:r>
      <w:r>
        <w:rPr>
          <w:rFonts w:ascii="Times New Roman;sans-serif" w:hAnsi="Times New Roman;sans-serif"/>
          <w:b w:val="false"/>
          <w:color w:val="000000"/>
          <w:sz w:val="22"/>
          <w:u w:val="single"/>
        </w:rPr>
        <w:t>minus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the book value of all property that should be classified as intangibles (without duplication of deductions in respect of items already deducted in arriving at total assets), including goodwill, minority interests, research and development costs, trademarks, trade names, copyrights, patents and franchises.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Convert</w:t>
      </w:r>
      <w:r>
        <w:rPr>
          <w:color w:val="000000"/>
        </w:rPr>
        <w:t>”</w:t>
      </w:r>
      <w:r>
        <w:rPr>
          <w:rFonts w:ascii="Times New Roman;sans-serif" w:hAnsi="Times New Roman;sans-serif"/>
          <w:b w:val="false"/>
          <w:color w:val="000000"/>
          <w:sz w:val="22"/>
        </w:rPr>
        <w:t>, “</w:t>
      </w:r>
      <w:r>
        <w:rPr>
          <w:rFonts w:ascii="Times New Roman;sans-serif" w:hAnsi="Times New Roman;sans-serif"/>
          <w:b w:val="false"/>
          <w:color w:val="000000"/>
          <w:sz w:val="22"/>
          <w:u w:val="single"/>
        </w:rPr>
        <w:t>Conversion</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Converted</w:t>
      </w:r>
      <w:r>
        <w:rPr>
          <w:color w:val="000000"/>
        </w:rPr>
        <w:t xml:space="preserve">” </w:t>
      </w:r>
      <w:r>
        <w:rPr>
          <w:rFonts w:ascii="Times New Roman;sans-serif" w:hAnsi="Times New Roman;sans-serif"/>
          <w:b w:val="false"/>
          <w:color w:val="000000"/>
          <w:sz w:val="22"/>
        </w:rPr>
        <w:t>each refers to a conversion of Advances of one Type into Advances of the other Type pursuant to Section 2.07 or 2.08.</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Daily Simple SOFR</w:t>
      </w:r>
      <w:r>
        <w:rPr>
          <w:color w:val="000000"/>
        </w:rPr>
        <w:t xml:space="preserve">” </w:t>
      </w:r>
      <w:r>
        <w:rPr>
          <w:rFonts w:ascii="Times New Roman;sans-serif" w:hAnsi="Times New Roman;sans-serif"/>
          <w:b w:val="false"/>
          <w:color w:val="000000"/>
          <w:sz w:val="22"/>
        </w:rPr>
        <w:t>means, for any day (a “SOFR Rate Day”), a rate per annum equal to the greater of (a) SOFR for the day (such day, a “SOFR Determination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w:t>
      </w:r>
      <w:r>
        <w:rPr>
          <w:rFonts w:ascii="Times New Roman;sans-serif" w:hAnsi="Times New Roman;sans-serif"/>
          <w:b w:val="false"/>
          <w:color w:val="000000"/>
          <w:sz w:val="14"/>
        </w:rPr>
        <w:t>nd</w:t>
      </w:r>
      <w:r>
        <w:rPr>
          <w:rFonts w:ascii="Times New Roman;sans-serif" w:hAnsi="Times New Roman;sans-serif"/>
          <w:b w:val="false"/>
          <w:color w:val="000000"/>
          <w:sz w:val="22"/>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Securities Business Day for which such SOFR was published on the SOFR Administrator’s Website;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Debt</w:t>
      </w:r>
      <w:r>
        <w:rPr>
          <w:color w:val="000000"/>
        </w:rPr>
        <w:t xml:space="preserve">” </w:t>
      </w:r>
      <w:r>
        <w:rPr>
          <w:rFonts w:ascii="Times New Roman;sans-serif" w:hAnsi="Times New Roman;sans-serif"/>
          <w:b w:val="false"/>
          <w:color w:val="000000"/>
          <w:sz w:val="22"/>
        </w:rPr>
        <w:t>of any Person means, without duplication, (a) all indebtedness of such Person for borrowed money, (b) all obligations of such Person for the deferred purchase price of property or services (other than (i) accounts payable incurred in the ordinary course of such Person’s business or which are being contested in good faith, (ii) accrued liabilities (including deferred payments in respect of services by employees), and (iii) earn-outs and contractual indemnity obligations in connection with acquisitions),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 (f) all obligations, contingent or otherwise, of such Person in respect of bankers acceptances, letters of credit or similar extensions of credit, (g) all net obligations of such Person in respect of Hedge Agreements (determined as of any date as the amount such Person would be required to pay to its counterparty in accordance with the terms thereof as if terminated on such date of determination, after giving effect to any netting arrangement relating to such Hedge Agreement), (h) all Debt of others referred to in clauses (a) through (g) above or clause (i) below (collectively, “</w:t>
      </w:r>
      <w:r>
        <w:rPr>
          <w:rFonts w:ascii="Times New Roman;sans-serif" w:hAnsi="Times New Roman;sans-serif"/>
          <w:b w:val="false"/>
          <w:color w:val="000000"/>
          <w:sz w:val="22"/>
          <w:u w:val="single"/>
        </w:rPr>
        <w:t>Guaranteed Debt</w:t>
      </w:r>
      <w:r>
        <w:rPr>
          <w:color w:val="000000"/>
        </w:rPr>
        <w:t>”</w:t>
      </w:r>
      <w:r>
        <w:rPr>
          <w:rFonts w:ascii="Times New Roman;sans-serif" w:hAnsi="Times New Roman;sans-serif"/>
          <w:b w:val="false"/>
          <w:color w:val="000000"/>
          <w:sz w:val="22"/>
        </w:rPr>
        <w:t>) guaranteed directly or indirectly in any manner by such Person, or in effect guaranteed directly or indirectly by such Person through an agreement (1) to pay or purchase such Guaranteed Debt or to advance or supply funds for the payment or purchase of such Guaranteed Debt, (2) to purchase, sell or lease (as lessee or lessor) property, or to purchase or sell services, primarily for the purpose of enabling the debtor to make payment of such Guaranteed Debt or to assure the holder of such Guaranteed Debt against loss, (3) to supply funds to or in any other manner invest in the debtor (including any agreement to pay for property or services irrespective of whether such property is received or such services are rendered) or (4) otherwise to assure a creditor against loss, and (i) all Debt of others referred to in clauses (a) through (h) above (including Guaranteed Debt) secured by any Lien on property (including, without limitation, accounts and contract rights) owned by such Person, even though such Person has not assumed or become liable for the payment of such Debt.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amount of Debt of any Person for purposes of clause (i) above shall (unless such Debt has been assumed by such Person) be deemed to be equal to the lesser of (i) the aggregate unpaid amount of such Debt and (ii) the fair market value of the property encumbered thereby as determined by such Person in good faith. The amount of any Guaranteed Debt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w:t>
      </w:r>
      <w:r>
        <w:rPr>
          <w:color w:val="000000"/>
        </w:rPr>
        <w:t xml:space="preserve">” </w:t>
      </w:r>
      <w:r>
        <w:rPr>
          <w:rFonts w:ascii="Times New Roman;sans-serif" w:hAnsi="Times New Roman;sans-serif"/>
          <w:b w:val="false"/>
          <w:color w:val="000000"/>
          <w:sz w:val="22"/>
        </w:rPr>
        <w:t>means any Event of Default or any event that would constitute an Event of Default but for the requirement that notice be given or time elapse or both.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Defaulting Lender</w:t>
      </w:r>
      <w:r>
        <w:rPr>
          <w:color w:val="000000"/>
        </w:rPr>
        <w:t xml:space="preserve">” </w:t>
      </w:r>
      <w:r>
        <w:rPr>
          <w:rFonts w:ascii="Times New Roman;sans-serif" w:hAnsi="Times New Roman;sans-serif"/>
          <w:b w:val="false"/>
          <w:color w:val="000000"/>
          <w:sz w:val="22"/>
        </w:rPr>
        <w:t xml:space="preserve">means at any time, subject to Section 2.18(c), (i) any Lender that has failed for three or more Business Days to comply with its obligations under this Agreement to </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make an Advance or make any other payment due hereunder (each, a “</w:t>
      </w:r>
      <w:r>
        <w:rPr>
          <w:rFonts w:ascii="Times New Roman;sans-serif" w:hAnsi="Times New Roman;sans-serif"/>
          <w:b w:val="false"/>
          <w:color w:val="000000"/>
          <w:sz w:val="22"/>
          <w:u w:val="single"/>
        </w:rPr>
        <w:t>funding obligation</w:t>
      </w:r>
      <w:r>
        <w:rPr>
          <w:color w:val="000000"/>
        </w:rPr>
        <w:t>”</w:t>
      </w:r>
      <w:r>
        <w:rPr>
          <w:rFonts w:ascii="Times New Roman;sans-serif" w:hAnsi="Times New Roman;sans-serif"/>
          <w:b w:val="false"/>
          <w:color w:val="000000"/>
          <w:sz w:val="22"/>
        </w:rPr>
        <w:t>), unless such Lender has notified the Agent and the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(ii) any Lender that has notified the Agent or the Borrower in writing, or has stated publicly, that it does not intend to comply with its funding obligations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(iii) any Lender that has defaulted on its funding obligations under other loan agreements or credit agreements generally under which it has commitments to extend credit or that has notified, or whose Parent Company has notified, the Agent or the Borrower in writing, or has stated publicly, that it does not intend to comply with its funding obligations under loan agreements or credit agreements generally, (iv) any Lender that has, for three or more Business Days after written request of the Agent or the Borrower, failed to confirm in writing to the Agent and the Borrower that it will comply with its prospective funding obligations hereunder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Lender will cease to be a Defaulting Lender pursuant to this clause (iv) upon the Agent’s and the Borrower’s receipt of such written confirmation), or (v) any Lender with respect to which, or with respect to the Parent Company of which, a Lender Insolvency Event has occurred and is continuing;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 Lender Insolvency Event shall not be deemed to occur with respect to a Lender or its Parent Company solely as a result of the acquisition or maintenance of an ownership interest in such Lender or Parent Company by a governmental authority or instrumentality thereof where such action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 Any determination by the Agent that a Lender is a Defaulting Lender under any of clauses (i) through (v) above will be conclusive and binding absent manifest error, and such Lender will be deemed to be a Defaulting Lender (subject to Section 2.18(c)) upon notification of such determination by the Agent to the Borrower and the Lenders.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Financial Institution</w:t>
      </w:r>
      <w:r>
        <w:rPr>
          <w:color w:val="000000"/>
        </w:rPr>
        <w:t xml:space="preserve">” </w:t>
      </w:r>
      <w:r>
        <w:rPr>
          <w:rFonts w:ascii="Times New Roman;sans-serif" w:hAnsi="Times New Roman;sans-serif"/>
          <w:b w:val="false"/>
          <w:color w:val="000000"/>
          <w:sz w:val="22"/>
        </w:rPr>
        <w:t>means (a) any credit institution or investment firm established in any EEA Member Country which is subject to the supervision of 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EEA Member Country</w:t>
      </w:r>
      <w:r>
        <w:rPr>
          <w:color w:val="000000"/>
        </w:rPr>
        <w:t xml:space="preserve">” </w:t>
      </w:r>
      <w:r>
        <w:rPr>
          <w:rFonts w:ascii="Times New Roman;sans-serif" w:hAnsi="Times New Roman;sans-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Effective Date</w:t>
      </w:r>
      <w:r>
        <w:rPr>
          <w:color w:val="000000"/>
        </w:rPr>
        <w:t xml:space="preserve">” </w:t>
      </w:r>
      <w:r>
        <w:rPr>
          <w:rFonts w:ascii="Times New Roman;sans-serif" w:hAnsi="Times New Roman;sans-serif"/>
          <w:b w:val="false"/>
          <w:color w:val="000000"/>
          <w:sz w:val="22"/>
        </w:rPr>
        <w:t>has the meaning specified in Section 3.01.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Eligible Assignee</w:t>
      </w:r>
      <w:r>
        <w:rPr>
          <w:color w:val="000000"/>
        </w:rPr>
        <w:t xml:space="preserve">” </w:t>
      </w:r>
      <w:r>
        <w:rPr>
          <w:rFonts w:ascii="Times New Roman;sans-serif" w:hAnsi="Times New Roman;sans-serif"/>
          <w:b w:val="false"/>
          <w:color w:val="000000"/>
          <w:sz w:val="22"/>
        </w:rPr>
        <w:t xml:space="preserve">means (i) a Lender; (ii) an Affiliate of a Lender; (iii) an Approved Fund and (iv) any other Person approved by the Agent and, unless an Event of Default under Section 6.01(a) or Section 6.01(e) has occurred and is continuing at the time any assignment is effected in accordance with Section 8.07, the Borrower, such approval not to be unreasonably </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withheld or delayed; provided, however, that neither the Borrower nor an Affiliate of the Borrower shall qualify as an Eligible Assignee.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Action</w:t>
      </w:r>
      <w:r>
        <w:rPr>
          <w:color w:val="000000"/>
        </w:rPr>
        <w:t xml:space="preserve">” </w:t>
      </w:r>
      <w:r>
        <w:rPr>
          <w:rFonts w:ascii="Times New Roman;sans-serif" w:hAnsi="Times New Roman;sans-serif"/>
          <w:b w:val="false"/>
          <w:color w:val="000000"/>
          <w:sz w:val="22"/>
        </w:rPr>
        <w:t>means any action, suit, demand, demand letter, claim, notice of non-compliance or violation, notice of liability or potential liability, investigation, proceeding, consent order or consent agreement arising out of or relating to any Environmental Law, Environmental Permit or Hazardous Materials, including as arising from alleged injury or threat of injury to any Person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Law</w:t>
      </w:r>
      <w:r>
        <w:rPr>
          <w:color w:val="000000"/>
        </w:rPr>
        <w:t xml:space="preserve">” </w:t>
      </w:r>
      <w:r>
        <w:rPr>
          <w:rFonts w:ascii="Times New Roman;sans-serif" w:hAnsi="Times New Roman;sans-serif"/>
          <w:b w:val="false"/>
          <w:color w:val="000000"/>
          <w:sz w:val="22"/>
        </w:rPr>
        <w:t>means any federal, state, local or foreign statute, law, ordinance, rule, regulation, code, order, judgment, decree or judicial or agency interpretation, policy or guidance relating to pollution or protection of the environment, exposure to Hazardous Materials, worker safety or natural resources, including, without limitation, those relating to the use, handling, transportation, treatment, storage, disposal, release or discharge of Hazardous Materials.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Environmental Permit</w:t>
      </w:r>
      <w:r>
        <w:rPr>
          <w:color w:val="000000"/>
        </w:rPr>
        <w:t xml:space="preserve">” </w:t>
      </w:r>
      <w:r>
        <w:rPr>
          <w:rFonts w:ascii="Times New Roman;sans-serif" w:hAnsi="Times New Roman;sans-serif"/>
          <w:b w:val="false"/>
          <w:color w:val="000000"/>
          <w:sz w:val="22"/>
        </w:rPr>
        <w:t>means any permit, approval, identification number, license or other authorization required under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w:t>
      </w:r>
      <w:r>
        <w:rPr>
          <w:color w:val="000000"/>
        </w:rPr>
        <w:t xml:space="preserve">” </w:t>
      </w:r>
      <w:r>
        <w:rPr>
          <w:rFonts w:ascii="Times New Roman;sans-serif" w:hAnsi="Times New Roman;sans-serif"/>
          <w:b w:val="false"/>
          <w:color w:val="000000"/>
          <w:sz w:val="22"/>
        </w:rPr>
        <w:t>means the Employee Retirement Income Security Act of 1974, as amended from time to time, and the regulations promulgated and rulings issued thereunder.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Affiliate</w:t>
      </w:r>
      <w:r>
        <w:rPr>
          <w:color w:val="000000"/>
        </w:rPr>
        <w:t xml:space="preserve">” </w:t>
      </w:r>
      <w:r>
        <w:rPr>
          <w:rFonts w:ascii="Times New Roman;sans-serif" w:hAnsi="Times New Roman;sans-serif"/>
          <w:b w:val="false"/>
          <w:color w:val="000000"/>
          <w:sz w:val="22"/>
        </w:rPr>
        <w:t>means any Person that for purposes of Title IV of ERISA is a member of the Borrower’s controlled group, or under common control or treated as a single employer with the Borrower, within the meaning of Section 414 of the Internal Revenue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ERISA Event</w:t>
      </w:r>
      <w:r>
        <w:rPr>
          <w:color w:val="000000"/>
        </w:rPr>
        <w:t xml:space="preserve">” </w:t>
      </w:r>
      <w:r>
        <w:rPr>
          <w:rFonts w:ascii="Times New Roman;sans-serif" w:hAnsi="Times New Roman;sans-serif"/>
          <w:b w:val="false"/>
          <w:color w:val="000000"/>
          <w:sz w:val="22"/>
        </w:rPr>
        <w:t xml:space="preserve">means (a) (i) the occurrence of a reportable event, within the meaning of Section 4043(a) of ERISA, with respect to any Plan unless the 30-day notice requirement with respect to such event has been waived by the PBGC, or (ii) the requirements of Section 4043(b) of ERISA are met with respect to the Borrower or an ERISA Affiliate that is a contributing sponsor, as defined in Section 4001(a)(13) of ERISA, of a Plan, and such event is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imposition of a lien under Section 303(k) of ERISA or Section 430(k) of the Internal Revenue Code shall have been met with respect to any Plan; (g) the adoption of an amendment to a Plan requiring the provision of security to such Plan pursuant to Section 206(g) of ERISA; (h) the institution by the PBGC of proceedings to terminate a Plan pursuant to Section 4042 of ERISA, or the occurrence of any event or condition described in Section 4042 of ERISA that constitutes grounds for the termination of, or the appointment of a trustee to administer, a Plan; (i) the partial or complete withdrawal of the Borrower or any ERISA Affiliate from a Multiemployer Plan; or (j) the reorganization, insolvency or termination of a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Multiemployer Plan within the meaning of Title IV of ERISA or a determination that a Multiemployer Plan is in “endangered” or “critical” status within the meaning of Section 432 of the Internal Revenue Code or Section 305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EU Bail-In Legislation Schedule</w:t>
      </w:r>
      <w:r>
        <w:rPr>
          <w:color w:val="000000"/>
        </w:rPr>
        <w:t xml:space="preserve">” </w:t>
      </w:r>
      <w:r>
        <w:rPr>
          <w:rFonts w:ascii="Times New Roman;sans-serif" w:hAnsi="Times New Roman;sans-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Events of Default</w:t>
      </w:r>
      <w:r>
        <w:rPr>
          <w:color w:val="000000"/>
        </w:rPr>
        <w:t xml:space="preserve">” </w:t>
      </w:r>
      <w:r>
        <w:rPr>
          <w:rFonts w:ascii="Times New Roman;sans-serif" w:hAnsi="Times New Roman;sans-serif"/>
          <w:b w:val="false"/>
          <w:color w:val="000000"/>
          <w:sz w:val="22"/>
        </w:rPr>
        <w:t>has the meaning specified in Section 6.01.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2"/>
          <w:u w:val="single"/>
        </w:rPr>
        <w:t>Exchange Act</w:t>
      </w:r>
      <w:r>
        <w:rPr>
          <w:color w:val="000000"/>
        </w:rPr>
        <w:t xml:space="preserve">” </w:t>
      </w:r>
      <w:r>
        <w:rPr>
          <w:rFonts w:ascii="Times New Roman;sans-serif" w:hAnsi="Times New Roman;sans-serif"/>
          <w:b w:val="false"/>
          <w:color w:val="000000"/>
          <w:sz w:val="22"/>
        </w:rPr>
        <w:t>means the Securities Exchange Act of 1934.</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Existing Credit Agreement</w:t>
      </w:r>
      <w:r>
        <w:rPr>
          <w:color w:val="000000"/>
        </w:rPr>
        <w:t xml:space="preserve">” </w:t>
      </w:r>
      <w:r>
        <w:rPr>
          <w:rFonts w:ascii="Times New Roman;sans-serif" w:hAnsi="Times New Roman;sans-serif"/>
          <w:b w:val="false"/>
          <w:color w:val="000000"/>
          <w:sz w:val="22"/>
        </w:rPr>
        <w:t>means that certain Amended and Restated Credit Agreement, dated as of September 30, 2021, among the Borrower, the lenders party thereto and Citibank, as administrative agent, as amended, restated, amended and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Facility Fee</w:t>
      </w:r>
      <w:r>
        <w:rPr>
          <w:color w:val="000000"/>
        </w:rPr>
        <w:t xml:space="preserve">” </w:t>
      </w:r>
      <w:r>
        <w:rPr>
          <w:rFonts w:ascii="Times New Roman;sans-serif" w:hAnsi="Times New Roman;sans-serif"/>
          <w:b w:val="false"/>
          <w:color w:val="000000"/>
          <w:sz w:val="22"/>
        </w:rPr>
        <w:t>has the meaning specified in Section 2.03(a).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FATCA</w:t>
      </w:r>
      <w:r>
        <w:rPr>
          <w:color w:val="000000"/>
        </w:rPr>
        <w:t xml:space="preserve">” </w:t>
      </w:r>
      <w:r>
        <w:rPr>
          <w:rFonts w:ascii="Times New Roman;sans-serif" w:hAnsi="Times New Roman;sans-serif"/>
          <w:b w:val="false"/>
          <w:color w:val="000000"/>
          <w:sz w:val="22"/>
        </w:rPr>
        <w:t>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any published intergovernmental agreement entered into in connection with the implementation of such Sections of the Internal Revenue Code and any fiscal or regulatory legislation, rules or practices adopted pursuant to such published intergovernmental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Federal Funds Rate</w:t>
      </w:r>
      <w:r>
        <w:rPr>
          <w:color w:val="000000"/>
        </w:rPr>
        <w:t xml:space="preserve">” </w:t>
      </w:r>
      <w:r>
        <w:rPr>
          <w:rFonts w:ascii="Times New Roman;sans-serif" w:hAnsi="Times New Roman;sans-serif"/>
          <w:b w:val="false"/>
          <w:color w:val="000000"/>
          <w:sz w:val="22"/>
        </w:rPr>
        <w:t>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Fee Letter</w:t>
      </w:r>
      <w:r>
        <w:rPr>
          <w:color w:val="000000"/>
        </w:rPr>
        <w:t xml:space="preserve">” </w:t>
      </w:r>
      <w:r>
        <w:rPr>
          <w:rFonts w:ascii="Times New Roman;sans-serif" w:hAnsi="Times New Roman;sans-serif"/>
          <w:b w:val="false"/>
          <w:color w:val="000000"/>
          <w:sz w:val="22"/>
        </w:rPr>
        <w:t>means the letter agreement dated April 16, 2025, addressed to the Borrower from the Agent and Citigroup Global Markets Inc.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Fitch</w:t>
      </w:r>
      <w:r>
        <w:rPr>
          <w:color w:val="000000"/>
        </w:rPr>
        <w:t xml:space="preserve">” </w:t>
      </w:r>
      <w:r>
        <w:rPr>
          <w:rFonts w:ascii="Times New Roman;sans-serif" w:hAnsi="Times New Roman;sans-serif"/>
          <w:b w:val="false"/>
          <w:color w:val="000000"/>
          <w:sz w:val="22"/>
        </w:rPr>
        <w:t>means Fitch, Inc. and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Floor</w:t>
      </w:r>
      <w:r>
        <w:rPr>
          <w:color w:val="000000"/>
        </w:rPr>
        <w:t xml:space="preserve">” </w:t>
      </w:r>
      <w:r>
        <w:rPr>
          <w:rFonts w:ascii="Times New Roman;sans-serif" w:hAnsi="Times New Roman;sans-serif"/>
          <w:b w:val="false"/>
          <w:color w:val="000000"/>
          <w:sz w:val="22"/>
        </w:rPr>
        <w:t>means a rate of interest equal to 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Fund</w:t>
      </w:r>
      <w:r>
        <w:rPr>
          <w:color w:val="000000"/>
        </w:rPr>
        <w:t xml:space="preserve">” </w:t>
      </w:r>
      <w:r>
        <w:rPr>
          <w:rFonts w:ascii="Times New Roman;sans-serif" w:hAnsi="Times New Roman;sans-serif"/>
          <w:b w:val="false"/>
          <w:color w:val="000000"/>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GAAP</w:t>
      </w:r>
      <w:r>
        <w:rPr>
          <w:color w:val="000000"/>
        </w:rPr>
        <w:t xml:space="preserve">” </w:t>
      </w:r>
      <w:r>
        <w:rPr>
          <w:rFonts w:ascii="Times New Roman;sans-serif" w:hAnsi="Times New Roman;sans-serif"/>
          <w:b w:val="false"/>
          <w:color w:val="000000"/>
          <w:sz w:val="22"/>
        </w:rPr>
        <w:t>has the meaning specified in Section 1.03.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Hazardous Materials</w:t>
      </w:r>
      <w:r>
        <w:rPr>
          <w:color w:val="000000"/>
        </w:rPr>
        <w:t xml:space="preserve">” </w:t>
      </w:r>
      <w:r>
        <w:rPr>
          <w:rFonts w:ascii="Times New Roman;sans-serif" w:hAnsi="Times New Roman;sans-serif"/>
          <w:b w:val="false"/>
          <w:color w:val="000000"/>
          <w:sz w:val="22"/>
        </w:rPr>
        <w:t xml:space="preserve">means (a) petroleum and petroleum products, byproducts or breakdown products, radioactive materials, asbestos-containing materials, per- and polyfluoroalkyl substances, polychlorinated biphenyls and radon gas and (b) any other chemicals,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materials or substances designated, classified or regulated as hazardous or toxic or as a pollutant or contaminant or words of similar import under any Environmental Law.</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Hedge Agreements</w:t>
      </w:r>
      <w:r>
        <w:rPr>
          <w:color w:val="000000"/>
        </w:rPr>
        <w:t xml:space="preserve">” </w:t>
      </w:r>
      <w:r>
        <w:rPr>
          <w:rFonts w:ascii="Times New Roman;sans-serif" w:hAnsi="Times New Roman;sans-serif"/>
          <w:b w:val="false"/>
          <w:color w:val="000000"/>
          <w:sz w:val="22"/>
        </w:rPr>
        <w:t>means interest rate swap, cap or collar agreements, interest rate future or option contracts, currency swap agreements, currency future or option contracts and other similar agreements.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Immaterial Subsidiary</w:t>
      </w:r>
      <w:r>
        <w:rPr>
          <w:color w:val="000000"/>
        </w:rPr>
        <w:t xml:space="preserve">” </w:t>
      </w:r>
      <w:r>
        <w:rPr>
          <w:rFonts w:ascii="Times New Roman;sans-serif" w:hAnsi="Times New Roman;sans-serif"/>
          <w:b w:val="false"/>
          <w:color w:val="000000"/>
          <w:sz w:val="22"/>
        </w:rPr>
        <w:t>means any Subsidiary of the Borrower having assets with a book value of $200,000,000 or less.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Increase Date</w:t>
      </w:r>
      <w:r>
        <w:rPr>
          <w:color w:val="000000"/>
        </w:rPr>
        <w:t xml:space="preserve">” </w:t>
      </w:r>
      <w:r>
        <w:rPr>
          <w:rFonts w:ascii="Times New Roman;sans-serif" w:hAnsi="Times New Roman;sans-serif"/>
          <w:b w:val="false"/>
          <w:color w:val="000000"/>
          <w:sz w:val="22"/>
        </w:rPr>
        <w:t>has the meaning specified in Section 2.17(a).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Increasing Lender</w:t>
      </w:r>
      <w:r>
        <w:rPr>
          <w:color w:val="000000"/>
        </w:rPr>
        <w:t xml:space="preserve">” </w:t>
      </w:r>
      <w:r>
        <w:rPr>
          <w:rFonts w:ascii="Times New Roman;sans-serif" w:hAnsi="Times New Roman;sans-serif"/>
          <w:b w:val="false"/>
          <w:color w:val="000000"/>
          <w:sz w:val="22"/>
        </w:rPr>
        <w:t>has the meaning specified in Section 2.17(b).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Initial Lenders</w:t>
      </w:r>
      <w:r>
        <w:rPr>
          <w:color w:val="000000"/>
        </w:rPr>
        <w:t xml:space="preserve">” </w:t>
      </w:r>
      <w:r>
        <w:rPr>
          <w:rFonts w:ascii="Times New Roman;sans-serif" w:hAnsi="Times New Roman;sans-serif"/>
          <w:b w:val="false"/>
          <w:color w:val="000000"/>
          <w:sz w:val="22"/>
        </w:rPr>
        <w:t>means the lenders listed on the signature pages hereof.</w:t>
      </w:r>
    </w:p>
    <w:p>
      <w:pPr>
        <w:pStyle w:val="TextBody"/>
        <w:bidi w:val="0"/>
        <w:spacing w:lineRule="auto" w:line="288" w:before="0" w:after="0"/>
        <w:ind w:left="0" w:right="0" w:firstLine="720"/>
        <w:jc w:val="both"/>
        <w:rPr/>
      </w:pPr>
      <w:r>
        <w:rPr>
          <w:color w:val="000000"/>
        </w:rPr>
        <w:t>“</w:t>
      </w:r>
      <w:r>
        <w:rPr>
          <w:rFonts w:ascii="Times New Roman;sans-serif" w:hAnsi="Times New Roman;sans-serif"/>
          <w:b w:val="false"/>
          <w:color w:val="000000"/>
          <w:sz w:val="22"/>
          <w:u w:val="single"/>
        </w:rPr>
        <w:t>Interest Period</w:t>
      </w:r>
      <w:r>
        <w:rPr>
          <w:color w:val="000000"/>
        </w:rPr>
        <w:t xml:space="preserve">” </w:t>
      </w:r>
      <w:r>
        <w:rPr>
          <w:rFonts w:ascii="Times New Roman;sans-serif" w:hAnsi="Times New Roman;sans-serif"/>
          <w:b w:val="false"/>
          <w:color w:val="000000"/>
          <w:sz w:val="22"/>
        </w:rPr>
        <w:t xml:space="preserve">means, for each SOFR Advance comprising part of the same Borrowing, the period commencing on the date of such SOFR Advance or the date of the Conversion of any Base Rate Advance into such SOFR Advance and ending on the last day of the period selected by the Borrower pursuant to the provisions below and, thereafter, with respect to SOFR Advances, each subsequent period commencing on the last day of the immediately preceding Interest Period and ending on the last day of the period selected by the Borrower pursuant to the provisions below. The duration of each such Interest Period shall be one, three or six months or one week as the Borrower may, upon notice received by the Agent not later than 11:00 A.M. (New York City time) on the third Business Day prior to the first day of such Interest Period, select;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Borrower may not select any Interest Period that ends after the Termination Date;</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Interest Periods commencing on the same date for SOFR Advances comprising part of the same Borrowing shall be of the same duration;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 xml:space="preserve">(c)    whenever the last day of any Interest Period would otherwise occur on a day other than a Business Day, the last day of such Interest Period shall be extended to occur on the next succeeding Business Day,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such extension would cause the last day of such Interest Period to occur in the next following calendar month, the last day of such Interest Period shall occur on the next preceding Business Day;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Internal Revenue Code</w:t>
      </w:r>
      <w:r>
        <w:rPr>
          <w:color w:val="000000"/>
        </w:rPr>
        <w:t xml:space="preserve">” </w:t>
      </w:r>
      <w:r>
        <w:rPr>
          <w:rFonts w:ascii="Times New Roman;sans-serif" w:hAnsi="Times New Roman;sans-serif"/>
          <w:b w:val="false"/>
          <w:color w:val="000000"/>
          <w:sz w:val="22"/>
        </w:rPr>
        <w:t>means the Internal Revenue Code of 1986, as amended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 Insolvency Event</w:t>
      </w:r>
      <w:r>
        <w:rPr>
          <w:color w:val="000000"/>
        </w:rPr>
        <w:t xml:space="preserve">” </w:t>
      </w:r>
      <w:r>
        <w:rPr>
          <w:rFonts w:ascii="Times New Roman;sans-serif" w:hAnsi="Times New Roman;sans-serif"/>
          <w:b w:val="false"/>
          <w:color w:val="000000"/>
          <w:sz w:val="22"/>
        </w:rPr>
        <w:t xml:space="preserve">means that (i) a Lender or its Parent Company is insolvent, or is generally unable to pay its debts as they become due, or admits in writing its inability to pay its </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debts as they become due, or makes a general assignment for the benefit of its creditors, or (ii) such Lender or its Parent Company is the subject of a Bail-In Action (as defined in Section 8.16) or the subject of a bankruptcy, insolvency, reorganization, liquidation or similar proceeding, or a receiver, trustee, conservator, intervenor or sequestrator or the like has been appointed for such Lender or its Parent Company, or such Lender or its Parent Company has taken any action in furtherance of or indicating its consent to or acquiescence in any such proceeding or appointment.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Lender-Related Parties</w:t>
      </w:r>
      <w:r>
        <w:rPr>
          <w:color w:val="000000"/>
        </w:rPr>
        <w:t xml:space="preserve">” </w:t>
      </w:r>
      <w:r>
        <w:rPr>
          <w:rFonts w:ascii="Times New Roman;sans-serif" w:hAnsi="Times New Roman;sans-serif"/>
          <w:b w:val="false"/>
          <w:color w:val="000000"/>
          <w:sz w:val="22"/>
        </w:rPr>
        <w:t>means the Agent, each Lender, each of their Affiliates, and each of their respective directors, officers, employees, attorneys and agents.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Lenders</w:t>
      </w:r>
      <w:r>
        <w:rPr>
          <w:color w:val="000000"/>
        </w:rPr>
        <w:t xml:space="preserve">” </w:t>
      </w:r>
      <w:r>
        <w:rPr>
          <w:rFonts w:ascii="Times New Roman;sans-serif" w:hAnsi="Times New Roman;sans-serif"/>
          <w:b w:val="false"/>
          <w:color w:val="000000"/>
          <w:sz w:val="22"/>
        </w:rPr>
        <w:t>means the Initial Lenders, each Assuming Lender that shall become a party hereto pursuant to Section 2.17 or Section 2.20 and each Person that shall become a party hereto pursuant to Section 8.07.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Lien</w:t>
      </w:r>
      <w:r>
        <w:rPr>
          <w:color w:val="000000"/>
        </w:rPr>
        <w:t xml:space="preserve">” </w:t>
      </w:r>
      <w:r>
        <w:rPr>
          <w:rFonts w:ascii="Times New Roman;sans-serif" w:hAnsi="Times New Roman;sans-serif"/>
          <w:b w:val="false"/>
          <w:color w:val="000000"/>
          <w:sz w:val="22"/>
        </w:rPr>
        <w:t>means any lien, security interest or other charge in the nature of a security interest or encumbrance of any kind, including, without limitation, the lien or retained security title of a conditional vendor and any easement, right of way or other encumbrance on title to real property.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Documents</w:t>
      </w:r>
      <w:r>
        <w:rPr>
          <w:color w:val="000000"/>
        </w:rPr>
        <w:t xml:space="preserve">” </w:t>
      </w:r>
      <w:r>
        <w:rPr>
          <w:rFonts w:ascii="Times New Roman;sans-serif" w:hAnsi="Times New Roman;sans-serif"/>
          <w:b w:val="false"/>
          <w:color w:val="000000"/>
          <w:sz w:val="22"/>
        </w:rPr>
        <w:t>means, collectively, (a) this Agreement, (b) the Notes (if any) and (c) the Fee Letter.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Loan Market Association</w:t>
      </w:r>
      <w:r>
        <w:rPr>
          <w:color w:val="000000"/>
        </w:rPr>
        <w:t xml:space="preserve">” </w:t>
      </w:r>
      <w:r>
        <w:rPr>
          <w:rFonts w:ascii="Times New Roman;sans-serif" w:hAnsi="Times New Roman;sans-serif"/>
          <w:b w:val="false"/>
          <w:color w:val="000000"/>
          <w:sz w:val="22"/>
        </w:rPr>
        <w:t>means the London trade association, which is the self-described authoritative voice of the syndicated loan markets in Europe, the Middle East and Africa.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Acquisition</w:t>
      </w:r>
      <w:r>
        <w:rPr>
          <w:color w:val="000000"/>
        </w:rPr>
        <w:t xml:space="preserve">” </w:t>
      </w:r>
      <w:r>
        <w:rPr>
          <w:rFonts w:ascii="Times New Roman;sans-serif" w:hAnsi="Times New Roman;sans-serif"/>
          <w:b w:val="false"/>
          <w:color w:val="000000"/>
          <w:sz w:val="22"/>
        </w:rPr>
        <w:t>means any acquisition with an aggregate consideration greater than or equal to $500,000,000.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Adverse Change</w:t>
      </w:r>
      <w:r>
        <w:rPr>
          <w:color w:val="000000"/>
        </w:rPr>
        <w:t xml:space="preserve">” </w:t>
      </w:r>
      <w:r>
        <w:rPr>
          <w:rFonts w:ascii="Times New Roman;sans-serif" w:hAnsi="Times New Roman;sans-serif"/>
          <w:b w:val="false"/>
          <w:color w:val="000000"/>
          <w:sz w:val="22"/>
        </w:rPr>
        <w:t>means any material adverse change in the business, financial condition or operations of the Borrower and its Subsidiaries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Material Adverse Effect</w:t>
      </w:r>
      <w:r>
        <w:rPr>
          <w:color w:val="000000"/>
        </w:rPr>
        <w:t xml:space="preserve">” </w:t>
      </w:r>
      <w:r>
        <w:rPr>
          <w:rFonts w:ascii="Times New Roman;sans-serif" w:hAnsi="Times New Roman;sans-serif"/>
          <w:b w:val="false"/>
          <w:color w:val="000000"/>
          <w:sz w:val="22"/>
        </w:rPr>
        <w:t>means a material adverse effect on (a) the business, financial condition or operations of the Borrower and its Subsidiaries, taken as a whole, (b) the rights and remedies of the Agent or any Lender under this Agreement or any Note or (c) the ability of the Borrower to perform its payment obligations under this Agreement or any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Moody’s</w:t>
      </w:r>
      <w:r>
        <w:rPr>
          <w:color w:val="000000"/>
        </w:rPr>
        <w:t xml:space="preserve">” </w:t>
      </w:r>
      <w:r>
        <w:rPr>
          <w:rFonts w:ascii="Times New Roman;sans-serif" w:hAnsi="Times New Roman;sans-serif"/>
          <w:b w:val="false"/>
          <w:color w:val="000000"/>
          <w:sz w:val="22"/>
        </w:rPr>
        <w:t>means Moody’s Investors Service, Inc.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Multiemployer Plan</w:t>
      </w:r>
      <w:r>
        <w:rPr>
          <w:color w:val="000000"/>
        </w:rPr>
        <w:t xml:space="preserve">” </w:t>
      </w:r>
      <w:r>
        <w:rPr>
          <w:rFonts w:ascii="Times New Roman;sans-serif" w:hAnsi="Times New Roman;sans-serif"/>
          <w:b w:val="false"/>
          <w:color w:val="000000"/>
          <w:sz w:val="22"/>
        </w:rPr>
        <w:t>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Multiple Employer Plan</w:t>
      </w:r>
      <w:r>
        <w:rPr>
          <w:color w:val="000000"/>
        </w:rPr>
        <w:t xml:space="preserve">” </w:t>
      </w:r>
      <w:r>
        <w:rPr>
          <w:rFonts w:ascii="Times New Roman;sans-serif" w:hAnsi="Times New Roman;sans-serif"/>
          <w:b w:val="false"/>
          <w:color w:val="000000"/>
          <w:sz w:val="22"/>
        </w:rPr>
        <w:t>means a Single Employer Plan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Non-Defaulting Lender</w:t>
      </w:r>
      <w:r>
        <w:rPr>
          <w:color w:val="000000"/>
        </w:rPr>
        <w:t xml:space="preserve">” </w:t>
      </w:r>
      <w:r>
        <w:rPr>
          <w:rFonts w:ascii="Times New Roman;sans-serif" w:hAnsi="Times New Roman;sans-serif"/>
          <w:b w:val="false"/>
          <w:color w:val="000000"/>
          <w:sz w:val="22"/>
        </w:rPr>
        <w:t>means, at any time, a Lender that is not a Defaulting Lender.</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Non-Extending Lender</w:t>
      </w:r>
      <w:r>
        <w:rPr>
          <w:color w:val="000000"/>
        </w:rPr>
        <w:t xml:space="preserve">” </w:t>
      </w:r>
      <w:r>
        <w:rPr>
          <w:rFonts w:ascii="Times New Roman;sans-serif" w:hAnsi="Times New Roman;sans-serif"/>
          <w:b w:val="false"/>
          <w:color w:val="000000"/>
          <w:sz w:val="22"/>
        </w:rPr>
        <w:t>has the meaning specified in Section 2.20(b).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Note</w:t>
      </w:r>
      <w:r>
        <w:rPr>
          <w:color w:val="000000"/>
        </w:rPr>
        <w:t xml:space="preserve">” </w:t>
      </w:r>
      <w:r>
        <w:rPr>
          <w:rFonts w:ascii="Times New Roman;sans-serif" w:hAnsi="Times New Roman;sans-serif"/>
          <w:b w:val="false"/>
          <w:color w:val="000000"/>
          <w:sz w:val="22"/>
        </w:rPr>
        <w:t>means a promissory note of the Borrower payable to any Lender, delivered pursuant to a request made under Section 2.15 in substantially the form of Exhibit A hereto, evidencing the aggregate indebtedness of the Borrower to such Lender that may arise from the Advances made by such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Notice of Borrowing</w:t>
      </w:r>
      <w:r>
        <w:rPr>
          <w:color w:val="000000"/>
        </w:rPr>
        <w:t xml:space="preserve">” </w:t>
      </w:r>
      <w:r>
        <w:rPr>
          <w:rFonts w:ascii="Times New Roman;sans-serif" w:hAnsi="Times New Roman;sans-serif"/>
          <w:b w:val="false"/>
          <w:color w:val="000000"/>
          <w:sz w:val="22"/>
        </w:rPr>
        <w:t>has the meaning specified in Section 2.02(a).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Parent Company</w:t>
      </w:r>
      <w:r>
        <w:rPr>
          <w:color w:val="000000"/>
        </w:rPr>
        <w:t xml:space="preserve">” </w:t>
      </w:r>
      <w:r>
        <w:rPr>
          <w:rFonts w:ascii="Times New Roman;sans-serif" w:hAnsi="Times New Roman;sans-serif"/>
          <w:b w:val="false"/>
          <w:color w:val="000000"/>
          <w:sz w:val="22"/>
        </w:rPr>
        <w:t>means, with respect to a Lender, the bank holding company (as defined in Federal Reserve Board Regulation Y), if any, of such Lender, or if such Lender does not have a bank holding company, then any corporation, association, partnership or other business entity owning, beneficially or of record, directly or indirectly, a majority of the shares of such Lender.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w:t>
      </w:r>
      <w:r>
        <w:rPr>
          <w:color w:val="000000"/>
        </w:rPr>
        <w:t xml:space="preserve">” </w:t>
      </w:r>
      <w:r>
        <w:rPr>
          <w:rFonts w:ascii="Times New Roman;sans-serif" w:hAnsi="Times New Roman;sans-serif"/>
          <w:b w:val="false"/>
          <w:color w:val="000000"/>
          <w:sz w:val="22"/>
        </w:rPr>
        <w:t>has the meaning assigned to such term in Section 8.07(d).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Participant Register</w:t>
      </w:r>
      <w:r>
        <w:rPr>
          <w:color w:val="000000"/>
        </w:rPr>
        <w:t xml:space="preserve">” </w:t>
      </w:r>
      <w:r>
        <w:rPr>
          <w:rFonts w:ascii="Times New Roman;sans-serif" w:hAnsi="Times New Roman;sans-serif"/>
          <w:b w:val="false"/>
          <w:color w:val="000000"/>
          <w:sz w:val="22"/>
        </w:rPr>
        <w:t>has the meaning specified in Section 8.07(d).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Patriot Act</w:t>
      </w:r>
      <w:r>
        <w:rPr>
          <w:color w:val="000000"/>
        </w:rPr>
        <w:t xml:space="preserve">” </w:t>
      </w:r>
      <w:r>
        <w:rPr>
          <w:rFonts w:ascii="Times New Roman;sans-serif" w:hAnsi="Times New Roman;sans-serif"/>
          <w:b w:val="false"/>
          <w:color w:val="000000"/>
          <w:sz w:val="22"/>
        </w:rPr>
        <w:t>means the Uniting and Strengthening America by Providing Appropriate Tools Required to Intercept and Obstruct Terrorism Act of 2001, Pub. L. 107-56, signed into law October 26, 2001.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PBGC</w:t>
      </w:r>
      <w:r>
        <w:rPr>
          <w:color w:val="000000"/>
        </w:rPr>
        <w:t xml:space="preserve">” </w:t>
      </w:r>
      <w:r>
        <w:rPr>
          <w:rFonts w:ascii="Times New Roman;sans-serif" w:hAnsi="Times New Roman;sans-serif"/>
          <w:b w:val="false"/>
          <w:color w:val="000000"/>
          <w:sz w:val="22"/>
        </w:rPr>
        <w:t>means the Pension Benefit Guaranty Corporation (or any successor).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Permitted Liens</w:t>
      </w:r>
      <w:r>
        <w:rPr>
          <w:color w:val="000000"/>
        </w:rPr>
        <w:t xml:space="preserve">” </w:t>
      </w:r>
      <w:r>
        <w:rPr>
          <w:rFonts w:ascii="Times New Roman;sans-serif" w:hAnsi="Times New Roman;sans-serif"/>
          <w:b w:val="false"/>
          <w:color w:val="000000"/>
          <w:sz w:val="22"/>
        </w:rPr>
        <w:t>means such of the following as to which no enforcement, collection, execution, levy or foreclosure proceeding shall have been commenced: (a) Liens for taxes, assessments and governmental charges or levies to the extent not required to be paid under Section 5.01(b) hereof; (b) Liens imposed by law, such as materialmen’s, mechanics’, carriers’, workmen’s and repairmen’s Liens and other similar Liens, arising in the ordinary course of business securing obligations that are not overdue for a period of more than 60 days or for amounts that are overdue and that are being contested in good faith by appropriate proceedings so long as such reserves or other appropriate provisions, if any, as shall be required by generally accepted accounting principles shall have been made for any such contested amounts; (c) pledges, deposits and other security to secure obligations under workers’ compensation laws or similar legislation or unemployment insurance or to secure public or statutory obligations; (d) easements, rights of way and other encumbrances on title to real property that do not materially adversely affect the use of such property for its present purposes; and (e) any Liens pursuant to any Loan Document.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Person</w:t>
      </w:r>
      <w:r>
        <w:rPr>
          <w:color w:val="000000"/>
        </w:rPr>
        <w:t xml:space="preserve">” </w:t>
      </w:r>
      <w:r>
        <w:rPr>
          <w:rFonts w:ascii="Times New Roman;sans-serif" w:hAnsi="Times New Roman;sans-serif"/>
          <w:b w:val="false"/>
          <w:color w:val="000000"/>
          <w:sz w:val="22"/>
        </w:rPr>
        <w:t>means an individual, partnership, corporation (including a business trust), joint stock company, trust, unincorporated association, joint venture, limited liability company or other entity, or a government or any political subdivision or agency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Plan</w:t>
      </w:r>
      <w:r>
        <w:rPr>
          <w:color w:val="000000"/>
        </w:rPr>
        <w:t xml:space="preserve">” </w:t>
      </w:r>
      <w:r>
        <w:rPr>
          <w:rFonts w:ascii="Times New Roman;sans-serif" w:hAnsi="Times New Roman;sans-serif"/>
          <w:b w:val="false"/>
          <w:color w:val="000000"/>
          <w:sz w:val="22"/>
        </w:rPr>
        <w:t>means a Single Employer Plan or a Multiple Employer Plan.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Pro Forma Basis</w:t>
      </w:r>
      <w:r>
        <w:rPr>
          <w:color w:val="000000"/>
        </w:rPr>
        <w:t xml:space="preserve">” </w:t>
      </w:r>
      <w:r>
        <w:rPr>
          <w:rFonts w:ascii="Times New Roman;sans-serif" w:hAnsi="Times New Roman;sans-serif"/>
          <w:b w:val="false"/>
          <w:color w:val="000000"/>
          <w:sz w:val="22"/>
        </w:rPr>
        <w:t>and “</w:t>
      </w:r>
      <w:r>
        <w:rPr>
          <w:rFonts w:ascii="Times New Roman;sans-serif" w:hAnsi="Times New Roman;sans-serif"/>
          <w:b w:val="false"/>
          <w:color w:val="000000"/>
          <w:sz w:val="22"/>
          <w:u w:val="single"/>
        </w:rPr>
        <w:t>Pro Forma Effect</w:t>
      </w:r>
      <w:r>
        <w:rPr>
          <w:color w:val="000000"/>
        </w:rPr>
        <w:t xml:space="preserve">” </w:t>
      </w:r>
      <w:r>
        <w:rPr>
          <w:rFonts w:ascii="Times New Roman;sans-serif" w:hAnsi="Times New Roman;sans-serif"/>
          <w:b w:val="false"/>
          <w:color w:val="000000"/>
          <w:sz w:val="22"/>
        </w:rPr>
        <w:t xml:space="preserve">mean, with respect to compliance with any test hereunder or calculation of any covenant (including calculations of Consolidated EBITDA and the Leverage Ratio) for an applicable period of measurement, that all Specified Transactions and the following transactions in connection therewith shall be deemed to have occurred as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first day of the applicable period of measurement (as of the last date in the case of a balance sheet item) in such test: (a) income statement items (whether positive or negative) attributable to the property or Person subject to such Specified Transaction, (i) in the case of a disposition or other transfer of all or substantially all Equity Interests in any Subsidiary of the Borrower or any division, product line, or facility used for operations of the Borrower or any of its Subsidiaries, shall be excluded, and (ii) in the case of any investment described in the definition of “Specified Transaction,” shall be included, (b) any repayment, prepayment, discharge, conversion or cancellation of Debt, and (c) any Debt incurred or assumed by the Borrower or any of its Subsidiaries in connection therewith and if such Debt has a floating or formula rate, shall have an implied rate of interest for the applicable period for purposes of this definition determined by utilizing the rate which is or would be in effect with respect to such Debt as at the relevant date of determination.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Public Debt Rating</w:t>
      </w:r>
      <w:r>
        <w:rPr>
          <w:color w:val="000000"/>
        </w:rPr>
        <w:t xml:space="preserve">” </w:t>
      </w:r>
      <w:r>
        <w:rPr>
          <w:rFonts w:ascii="Times New Roman;sans-serif" w:hAnsi="Times New Roman;sans-serif"/>
          <w:b w:val="false"/>
          <w:color w:val="000000"/>
          <w:sz w:val="22"/>
        </w:rPr>
        <w:t>means, as of any date, the rating that has been most recently announced by S&amp;P, Moody’s or Fitch, as the case may be, for any class of non-credit enhanced long-term senior unsecured debt issued by the Borrower or, if any such rating agency shall have issued more than one such rating, the lowest such rating issued by such rating agency. For purposes of the foregoing, (a) if only one of S&amp;P, Moody’s and Fitch shall have in effect a Public Debt Rating, the Applicable Margin and the Applicable Percentage shall be determined by reference to the available rating; (b) if none of S&amp;P, Moody’s or Fitch shall have in effect a Public Debt Rating, the Applicable Margin and the Applicable Percentage will be set in accordance with Level 5 under the definition of “</w:t>
      </w:r>
      <w:r>
        <w:rPr>
          <w:rFonts w:ascii="Times New Roman;sans-serif" w:hAnsi="Times New Roman;sans-serif"/>
          <w:b w:val="false"/>
          <w:color w:val="000000"/>
          <w:sz w:val="22"/>
          <w:u w:val="single"/>
        </w:rPr>
        <w:t>Applicable Margin</w:t>
      </w:r>
      <w:r>
        <w:rPr>
          <w:color w:val="000000"/>
        </w:rPr>
        <w:t xml:space="preserve">” </w:t>
      </w:r>
      <w:r>
        <w:rPr>
          <w:rFonts w:ascii="Times New Roman;sans-serif" w:hAnsi="Times New Roman;sans-serif"/>
          <w:b w:val="false"/>
          <w:color w:val="000000"/>
          <w:sz w:val="22"/>
        </w:rPr>
        <w:t>or “</w:t>
      </w:r>
      <w:r>
        <w:rPr>
          <w:rFonts w:ascii="Times New Roman;sans-serif" w:hAnsi="Times New Roman;sans-serif"/>
          <w:b w:val="false"/>
          <w:color w:val="000000"/>
          <w:sz w:val="22"/>
          <w:u w:val="single"/>
        </w:rPr>
        <w:t>Applicable Percentage</w:t>
      </w:r>
      <w:r>
        <w:rPr>
          <w:color w:val="000000"/>
        </w:rPr>
        <w:t>”</w:t>
      </w:r>
      <w:r>
        <w:rPr>
          <w:rFonts w:ascii="Times New Roman;sans-serif" w:hAnsi="Times New Roman;sans-serif"/>
          <w:b w:val="false"/>
          <w:color w:val="000000"/>
          <w:sz w:val="22"/>
        </w:rPr>
        <w:t>, as the case may be; (c) (i) if only two of S&amp;P, Moody’s and Fitch shall have in effect a Public Debt Rating, and such ratings shall fall within different levels, the Applicable Margin and the Applicable Percentage shall be based upon the higher rating unless such ratings differ by two or more levels, in which case the applicable level will be deemed to be one level below the higher of such levels and (ii) if the Public Debt Ratings established by S&amp;P, Moody’s and Fitch shall fall within different levels, the Applicable Margin and the Applicable Percentage shall be based upon the ratings of two of the agencies falling within the same level, unless each agency’s ratings is at a separate level, in which case the applicable level will be deemed to be the middle level; (d) if any rating established by S&amp;P, Moody’s or Fitch shall be changed, such change shall be effective as of the date on which such change is first announced publicly by the rating agency making such change; and (e) if S&amp;P, Moody’s or Fitch shall change the basis on which ratings are established, each reference to the Public Debt Rating announced by S&amp;P, Moody’s or Fitch, as the case may be, shall refer to the then equivalent rating by S&amp;P, Moody’s or Fitch, as the case may be.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Register</w:t>
      </w:r>
      <w:r>
        <w:rPr>
          <w:color w:val="000000"/>
        </w:rPr>
        <w:t xml:space="preserve">” </w:t>
      </w:r>
      <w:r>
        <w:rPr>
          <w:rFonts w:ascii="Times New Roman;sans-serif" w:hAnsi="Times New Roman;sans-serif"/>
          <w:b w:val="false"/>
          <w:color w:val="000000"/>
          <w:sz w:val="22"/>
        </w:rPr>
        <w:t>has the meaning specified in Section 8.07(c).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Related Parties</w:t>
      </w:r>
      <w:r>
        <w:rPr>
          <w:color w:val="000000"/>
        </w:rPr>
        <w:t xml:space="preserve">” </w:t>
      </w:r>
      <w:r>
        <w:rPr>
          <w:rFonts w:ascii="Times New Roman;sans-serif" w:hAnsi="Times New Roman;sans-serif"/>
          <w:b w:val="false"/>
          <w:color w:val="000000"/>
          <w:sz w:val="22"/>
        </w:rPr>
        <w:t>means, with respect to any Person, such Person’s Affiliates and the partners, directors, officers, employees, agents, trustees, administrators, managers, advisors and representatives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Relevant Governmental Body</w:t>
      </w:r>
      <w:r>
        <w:rPr>
          <w:color w:val="000000"/>
        </w:rPr>
        <w:t xml:space="preserve">” </w:t>
      </w:r>
      <w:r>
        <w:rPr>
          <w:rFonts w:ascii="Times New Roman;sans-serif" w:hAnsi="Times New Roman;sans-serif"/>
          <w:b w:val="false"/>
          <w:color w:val="000000"/>
          <w:sz w:val="22"/>
        </w:rPr>
        <w:t>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Required Lenders</w:t>
      </w:r>
      <w:r>
        <w:rPr>
          <w:color w:val="000000"/>
        </w:rPr>
        <w:t xml:space="preserve">” </w:t>
      </w:r>
      <w:r>
        <w:rPr>
          <w:rFonts w:ascii="Times New Roman;sans-serif" w:hAnsi="Times New Roman;sans-serif"/>
          <w:b w:val="false"/>
          <w:color w:val="000000"/>
          <w:sz w:val="22"/>
        </w:rPr>
        <w:t xml:space="preserve">means at any time Lenders owed at least a majority in interest of the then aggregate unpaid principal amount of the Advances owing to Lenders, or, if no such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principal amount is then outstanding, Lenders having at least a majority in interest of the Commitments;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any Lender shall be a Defaulting Lender at such time, there shall be excluded from the determination of Required Lenders at such time the Commitments of such Lender at such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Resolution Authority</w:t>
      </w:r>
      <w:r>
        <w:rPr>
          <w:color w:val="000000"/>
        </w:rPr>
        <w:t xml:space="preserve">” </w:t>
      </w:r>
      <w:r>
        <w:rPr>
          <w:rFonts w:ascii="Times New Roman;sans-serif" w:hAnsi="Times New Roman;sans-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S&amp;P</w:t>
      </w:r>
      <w:r>
        <w:rPr>
          <w:color w:val="000000"/>
        </w:rPr>
        <w:t xml:space="preserve">” </w:t>
      </w:r>
      <w:r>
        <w:rPr>
          <w:rFonts w:ascii="Times New Roman;sans-serif" w:hAnsi="Times New Roman;sans-serif"/>
          <w:b w:val="false"/>
          <w:color w:val="000000"/>
          <w:sz w:val="22"/>
        </w:rPr>
        <w:t xml:space="preserve">means S&amp;P Global Ratings, a division of S&amp;P Global, Inc., or any successor thereto.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Sanctioned Country</w:t>
      </w:r>
      <w:r>
        <w:rPr>
          <w:color w:val="000000"/>
        </w:rPr>
        <w:t xml:space="preserve">” </w:t>
      </w:r>
      <w:r>
        <w:rPr>
          <w:rFonts w:ascii="Times New Roman;sans-serif" w:hAnsi="Times New Roman;sans-serif"/>
          <w:b w:val="false"/>
          <w:color w:val="000000"/>
          <w:sz w:val="22"/>
        </w:rPr>
        <w:t>means, at any time, a region, country or territory which is, or whose government is, the subject or target of any comprehensive Sanctions.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Sanctioned Person</w:t>
      </w:r>
      <w:r>
        <w:rPr>
          <w:color w:val="000000"/>
        </w:rPr>
        <w:t xml:space="preserve">” </w:t>
      </w:r>
      <w:r>
        <w:rPr>
          <w:rFonts w:ascii="Times New Roman;sans-serif" w:hAnsi="Times New Roman;sans-serif"/>
          <w:b w:val="false"/>
          <w:color w:val="000000"/>
          <w:sz w:val="22"/>
        </w:rPr>
        <w:t>means, at any time, (a) any Person listed in any Sanctions-related list of designated Persons maintained by the Office of Foreign Assets Control of the U.S. Department of the Treasury, the U.S. Department of State, or by the United Nations Security Council, His Majesty’s Treasury of the United Kingdom, the European Union or any European Union member state, (b) any Person located, organized or resident in a Sanctioned Country, (c) any Person owned or controlled by any such Person or Persons described in the foregoing clauses (a) or (b), or (d) any Person otherwise the subject of any Sanctions.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Sanctions</w:t>
      </w:r>
      <w:r>
        <w:rPr>
          <w:color w:val="000000"/>
        </w:rPr>
        <w:t xml:space="preserve">” </w:t>
      </w:r>
      <w:r>
        <w:rPr>
          <w:rFonts w:ascii="Times New Roman;sans-serif" w:hAnsi="Times New Roman;sans-serif"/>
          <w:b w:val="false"/>
          <w:color w:val="000000"/>
          <w:sz w:val="22"/>
        </w:rPr>
        <w:t>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His Majesty’s Treasury of the United Kingdom.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Single Employer Plan</w:t>
      </w:r>
      <w:r>
        <w:rPr>
          <w:color w:val="000000"/>
        </w:rPr>
        <w:t xml:space="preserve">” </w:t>
      </w:r>
      <w:r>
        <w:rPr>
          <w:rFonts w:ascii="Times New Roman;sans-serif" w:hAnsi="Times New Roman;sans-serif"/>
          <w:b w:val="false"/>
          <w:color w:val="000000"/>
          <w:sz w:val="22"/>
        </w:rPr>
        <w:t>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w:t>
      </w:r>
      <w:r>
        <w:rPr>
          <w:color w:val="000000"/>
        </w:rPr>
        <w:t xml:space="preserve">” </w:t>
      </w:r>
      <w:r>
        <w:rPr>
          <w:rFonts w:ascii="Times New Roman;sans-serif" w:hAnsi="Times New Roman;sans-serif"/>
          <w:b w:val="false"/>
          <w:color w:val="000000"/>
          <w:sz w:val="22"/>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Administrator</w:t>
      </w:r>
      <w:r>
        <w:rPr>
          <w:color w:val="000000"/>
        </w:rPr>
        <w:t xml:space="preserve">” </w:t>
      </w:r>
      <w:r>
        <w:rPr>
          <w:rFonts w:ascii="Times New Roman;sans-serif" w:hAnsi="Times New Roman;sans-serif"/>
          <w:b w:val="false"/>
          <w:color w:val="000000"/>
          <w:sz w:val="22"/>
        </w:rPr>
        <w:t>means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Administrator’s Website</w:t>
      </w:r>
      <w:r>
        <w:rPr>
          <w:color w:val="000000"/>
        </w:rPr>
        <w:t xml:space="preserve">” </w:t>
      </w:r>
      <w:r>
        <w:rPr>
          <w:rFonts w:ascii="Times New Roman;sans-serif" w:hAnsi="Times New Roman;sans-serif"/>
          <w:b w:val="false"/>
          <w:color w:val="000000"/>
          <w:sz w:val="22"/>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SOFR Advance</w:t>
      </w:r>
      <w:r>
        <w:rPr>
          <w:color w:val="000000"/>
        </w:rPr>
        <w:t xml:space="preserve">” </w:t>
      </w:r>
      <w:r>
        <w:rPr>
          <w:rFonts w:ascii="Times New Roman;sans-serif" w:hAnsi="Times New Roman;sans-serif"/>
          <w:b w:val="false"/>
          <w:color w:val="000000"/>
          <w:sz w:val="22"/>
        </w:rPr>
        <w:t>means an Advance that bears interest as provided in Section 2.06(a)(ii).</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Specified Transaction</w:t>
      </w:r>
      <w:r>
        <w:rPr>
          <w:color w:val="000000"/>
        </w:rPr>
        <w:t xml:space="preserve">” </w:t>
      </w:r>
      <w:r>
        <w:rPr>
          <w:rFonts w:ascii="Times New Roman;sans-serif" w:hAnsi="Times New Roman;sans-serif"/>
          <w:b w:val="false"/>
          <w:color w:val="000000"/>
          <w:sz w:val="22"/>
        </w:rPr>
        <w:t xml:space="preserve">means any investment, acquisition, disposition, transfer, incurrence or repayment of Debt, dividend, distribution, repurchase, redemption, exchange or other transaction that by the terms of this Agreement is required to be calculated on a “Pro Forma </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Basis” or after giving “Pro Forma Effect”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at Borrower’s sole election, any such Specified Transaction having an aggregate value of less than $100,000,000 shall not be calculated on a “Pro Forma Basis” or after giving “Pro Forma Effect.”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Subsidiary</w:t>
      </w:r>
      <w:r>
        <w:rPr>
          <w:color w:val="000000"/>
        </w:rPr>
        <w:t xml:space="preserve">” </w:t>
      </w:r>
      <w:r>
        <w:rPr>
          <w:rFonts w:ascii="Times New Roman;sans-serif" w:hAnsi="Times New Roman;sans-serif"/>
          <w:b w:val="false"/>
          <w:color w:val="000000"/>
          <w:sz w:val="22"/>
        </w:rPr>
        <w:t>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pStyle w:val="TextBody"/>
        <w:bidi w:val="0"/>
        <w:spacing w:lineRule="auto" w:line="288" w:before="0" w:after="240"/>
        <w:ind w:left="0" w:right="0" w:firstLine="1440"/>
        <w:jc w:val="left"/>
        <w:rPr/>
      </w:pPr>
      <w:r>
        <w:rPr>
          <w:color w:val="000000"/>
        </w:rPr>
        <w:t>“</w:t>
      </w:r>
      <w:r>
        <w:rPr>
          <w:rFonts w:ascii="Times New Roman;sans-serif" w:hAnsi="Times New Roman;sans-serif"/>
          <w:b w:val="false"/>
          <w:color w:val="000000"/>
          <w:sz w:val="22"/>
          <w:u w:val="single"/>
        </w:rPr>
        <w:t>Term SOFR</w:t>
      </w:r>
      <w:r>
        <w:rPr>
          <w:color w:val="000000"/>
        </w:rPr>
        <w:t xml:space="preserve">” </w:t>
      </w:r>
      <w:r>
        <w:rPr>
          <w:rFonts w:ascii="Times New Roman;sans-serif" w:hAnsi="Times New Roman;sans-serif"/>
          <w:b w:val="false"/>
          <w:color w:val="000000"/>
          <w:sz w:val="22"/>
        </w:rPr>
        <w:t>means,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(a)for any calculation with respect to a SOFR Advance,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(b)for any calculation with respect to a Base Rate Advance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 SOFR Administrator</w:t>
      </w:r>
      <w:r>
        <w:rPr>
          <w:color w:val="000000"/>
        </w:rPr>
        <w:t xml:space="preserve">” </w:t>
      </w:r>
      <w:r>
        <w:rPr>
          <w:rFonts w:ascii="Times New Roman;sans-serif" w:hAnsi="Times New Roman;sans-serif"/>
          <w:b w:val="false"/>
          <w:color w:val="000000"/>
          <w:sz w:val="22"/>
        </w:rPr>
        <w:t>means CME Group Benchmark Administration Limited (CBA) (or a successor administrator of the Term SOFR Reference Rate selected by the Agent in its reasonable discretion).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 SOFR Reference Rate</w:t>
      </w:r>
      <w:r>
        <w:rPr>
          <w:color w:val="000000"/>
        </w:rPr>
        <w:t xml:space="preserve">” </w:t>
      </w:r>
      <w:r>
        <w:rPr>
          <w:rFonts w:ascii="Times New Roman;sans-serif" w:hAnsi="Times New Roman;sans-serif"/>
          <w:b w:val="false"/>
          <w:color w:val="000000"/>
          <w:sz w:val="22"/>
        </w:rPr>
        <w:t>means the forward-looking term rate based on SOFR.</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Termination Date</w:t>
      </w:r>
      <w:r>
        <w:rPr>
          <w:color w:val="000000"/>
        </w:rPr>
        <w:t xml:space="preserve">” </w:t>
      </w:r>
      <w:r>
        <w:rPr>
          <w:rFonts w:ascii="Times New Roman;sans-serif" w:hAnsi="Times New Roman;sans-serif"/>
          <w:b w:val="false"/>
          <w:color w:val="000000"/>
          <w:sz w:val="22"/>
        </w:rPr>
        <w:t xml:space="preserve">means the earlier of (a) May 8, 2030, subject to the extension thereof pursuant to Section 2.20 and (b) the date of termination in whole of the aggregate Commitments pursuant to Section 2.04 or 6.01;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Termination Date of any Lender that is a Non-Extending Lender to any requested extension pursuant to Section 2.20 shall be the Termination Date in effect immediately prior to the applicable extension date for all purposes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Financial Institution</w:t>
      </w:r>
      <w:r>
        <w:rPr>
          <w:color w:val="000000"/>
        </w:rPr>
        <w:t xml:space="preserve">” </w:t>
      </w:r>
      <w:r>
        <w:rPr>
          <w:rFonts w:ascii="Times New Roman;sans-serif" w:hAnsi="Times New Roman;sans-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UK Resolution Authority</w:t>
      </w:r>
      <w:r>
        <w:rPr>
          <w:color w:val="000000"/>
        </w:rPr>
        <w:t xml:space="preserve">” </w:t>
      </w:r>
      <w:r>
        <w:rPr>
          <w:rFonts w:ascii="Times New Roman;sans-serif" w:hAnsi="Times New Roman;sans-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Unadjusted Benchmark Replacement</w:t>
      </w:r>
      <w:r>
        <w:rPr>
          <w:color w:val="000000"/>
        </w:rPr>
        <w:t xml:space="preserve">” </w:t>
      </w:r>
      <w:r>
        <w:rPr>
          <w:rFonts w:ascii="Times New Roman;sans-serif" w:hAnsi="Times New Roman;sans-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U.S. Government Securities Business Day</w:t>
      </w:r>
      <w:r>
        <w:rPr>
          <w:color w:val="000000"/>
        </w:rPr>
        <w:t xml:space="preserve">” </w:t>
      </w:r>
      <w:r>
        <w:rPr>
          <w:rFonts w:ascii="Times New Roman;sans-serif" w:hAnsi="Times New Roman;sans-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Voting Stock</w:t>
      </w:r>
      <w:r>
        <w:rPr>
          <w:color w:val="000000"/>
        </w:rPr>
        <w:t xml:space="preserve">” </w:t>
      </w:r>
      <w:r>
        <w:rPr>
          <w:rFonts w:ascii="Times New Roman;sans-serif" w:hAnsi="Times New Roman;sans-serif"/>
          <w:b w:val="false"/>
          <w:color w:val="000000"/>
          <w:sz w:val="22"/>
        </w:rPr>
        <w:t>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2"/>
          <w:u w:val="single"/>
        </w:rPr>
        <w:t>Write-Down and Conversion Powers</w:t>
      </w:r>
      <w:r>
        <w:rPr>
          <w:color w:val="000000"/>
        </w:rPr>
        <w:t xml:space="preserve">” </w:t>
      </w:r>
      <w:r>
        <w:rPr>
          <w:rFonts w:ascii="Times New Roman;sans-serif" w:hAnsi="Times New Roman;sans-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1.02</w:t>
      </w:r>
      <w:r>
        <w:rPr>
          <w:rFonts w:ascii="Times New Roman;sans-serif" w:hAnsi="Times New Roman;sans-serif"/>
          <w:b w:val="false"/>
          <w:color w:val="000000"/>
          <w:sz w:val="22"/>
          <w:u w:val="single"/>
        </w:rPr>
        <w:t>Computation of Time Periods</w:t>
      </w:r>
      <w:r>
        <w:rPr>
          <w:rFonts w:ascii="Times New Roman;sans-serif" w:hAnsi="Times New Roman;sans-serif"/>
          <w:b w:val="false"/>
          <w:color w:val="000000"/>
          <w:sz w:val="22"/>
        </w:rPr>
        <w:t>. In this Agreement in the computation of periods of time from a specified date to a later specified date, the word “from” means “from and including” and the words “to” and “until” each mean “to but excluding”.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1.03</w:t>
      </w:r>
      <w:r>
        <w:rPr>
          <w:rFonts w:ascii="Times New Roman;sans-serif" w:hAnsi="Times New Roman;sans-serif"/>
          <w:b w:val="false"/>
          <w:color w:val="000000"/>
          <w:sz w:val="22"/>
          <w:u w:val="single"/>
        </w:rPr>
        <w:t>Accounting Terms</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 Forma Calculations</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Except as otherwise provided herein, all accounting terms not specifically defined herein shall be construed in accordance with United States of America generally accepted accounting principles as in effect in the United States of America from time to time (“</w:t>
      </w:r>
      <w:r>
        <w:rPr>
          <w:rFonts w:ascii="Times New Roman;sans-serif" w:hAnsi="Times New Roman;sans-serif"/>
          <w:b w:val="false"/>
          <w:color w:val="000000"/>
          <w:sz w:val="22"/>
          <w:u w:val="single"/>
        </w:rPr>
        <w:t>GAAP</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 xml:space="preserve">provided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u w:val="single"/>
        </w:rPr>
        <w:t>that</w:t>
      </w:r>
      <w:r>
        <w:rPr>
          <w:color w:val="000000"/>
        </w:rPr>
        <w:t xml:space="preserve"> </w:t>
      </w:r>
      <w:r>
        <w:rPr>
          <w:rFonts w:ascii="Times New Roman;sans-serif" w:hAnsi="Times New Roman;sans-serif"/>
          <w:b w:val="false"/>
          <w:color w:val="000000"/>
          <w:sz w:val="22"/>
        </w:rPr>
        <w:t>(i) if the Borrower notifies the Agent that the Borrower requests an amendment to any provision hereof to eliminate the effect of any change occurring after the Effective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this Agreement to the contrary, the accounting for any lease (and whether the obligations thereunder constitute “Debt”) for the purposes of all financial definitions, calculations and covenants under this Agreement (other than for purposes of the delivery of financial statements prepared in accordance with GAAP) shall be based on GAAP as in effect prior to the adoption of Accounting Standards Codification 842 (or any similar accounting principle) such that “Debt” and “finance leases” shall specifically exclude liabilities that were considered operating lease liabilities under GAAP prior to such adoption (regardless of whether such leases or other agreements were then in effect) and without giving effect to any subsequent changes in GAAP (or the required implementation of any previously promulgated changes in GAAP) relating to the treatment of a lease as an operating lease or capitalized lease.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Notwithstanding anything to the contrary herein, for purposes of calculating compliance with any test contained in this agreement or determining Consolidated EBITDA or the Leverage Ratio, any Specified Transactions that have occurred during the applicable measurement period, or (except in connection with determining actual compliance (as opposed to compliance on a Pro Forma Basis) with the Leverage Ratio set forth in Section 5.03) subsequent to such measurement period and on or prior to or simultaneously with the date of determination, shall be calculated on a Pro Forma Basis assuming that all such Specified Transactions (and the change in Consolidated EBITDA resulting therefrom) had occurred on the first day of such period. If since the beginning of such period any Person (that subsequently became a Subsidiary or was merged with or into the Borrower or any Subsidiary since the beginning of such period) shall have made any Specified Transaction that would have required adjustment pursuant to this definition, then Consolidated EBITDA and the Leverage Ratio shall each be calculated giving Pro Forma Effect thereto for such period as if such Specified Transaction had occurred at the beginning of such period.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1.04</w:t>
      </w:r>
      <w:r>
        <w:rPr>
          <w:rFonts w:ascii="Times New Roman;sans-serif" w:hAnsi="Times New Roman;sans-serif"/>
          <w:b w:val="false"/>
          <w:color w:val="000000"/>
          <w:sz w:val="22"/>
          <w:u w:val="single"/>
        </w:rPr>
        <w:t>Terms Generally</w:t>
      </w:r>
      <w:r>
        <w:rPr>
          <w:rFonts w:ascii="Times New Roman;sans-serif" w:hAnsi="Times New Roman;sans-serif"/>
          <w:b w:val="false"/>
          <w:color w:val="000000"/>
          <w:sz w:val="22"/>
        </w:rPr>
        <w:t>. (a)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or regulation herein shall, unless otherwise specified, refer to such law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For all purposes under the Loan Documents, in connection with any division or plan of division under Delaware law (or any comparable event under a different jurisdiction’s laws): (i) if any asset, right, obligation or liability of any Person becomes the asset, right, obligation or liability of a different Person, then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60655"/>
                <wp:effectExtent l="0" t="0" r="0" b="0"/>
                <wp:wrapNone/>
                <wp:docPr id="137" name="Frame1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1.05</w:t>
      </w:r>
      <w:r>
        <w:rPr>
          <w:rFonts w:ascii="Times New Roman;sans-serif" w:hAnsi="Times New Roman;sans-serif"/>
          <w:b w:val="false"/>
          <w:color w:val="000000"/>
          <w:sz w:val="22"/>
          <w:u w:val="single"/>
        </w:rPr>
        <w:t>Rates</w:t>
      </w:r>
      <w:r>
        <w:rPr>
          <w:rFonts w:ascii="Times New Roman;sans-serif" w:hAnsi="Times New Roman;sans-serif"/>
          <w:b w:val="false"/>
          <w:color w:val="000000"/>
          <w:sz w:val="22"/>
        </w:rPr>
        <w:t>. The 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Base Rate, the Term SOFR Reference Rate, Adjusted Term SOFR, Term SOFR or any other Benchmark prior to its discontinuance or unavailability, or (b) the effect, implementation or composition of any Conforming Changes. The Agent and its affiliates or other related entities may engage in transactions that affect the calculation of the Base Rate, the Term SOFR Reference Rate, Adjusted Term SOFR, Term SOFR, any alternative, successor or replacement rate (including any Benchmark Replacement) or any relevant adjustments thereto, in each case, in a manner adverse to the Borrower. The Agent may select information sources or services in its reasonable discretion to ascertain the Base Rate, the Term SOFR Reference Rate, Adjusted Term SOFR,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319" w:before="0" w:after="240"/>
        <w:jc w:val="center"/>
        <w:rPr/>
      </w:pPr>
      <w:r>
        <w:rPr>
          <w:rFonts w:ascii="Times New Roman;sans-serif" w:hAnsi="Times New Roman;sans-serif"/>
          <w:b w:val="false"/>
          <w:color w:val="000000"/>
          <w:sz w:val="22"/>
        </w:rPr>
        <w:t>Article II</w:t>
      </w:r>
      <w:r>
        <w:rPr>
          <w:rFonts w:ascii="Times New Roman;sans-serif" w:hAnsi="Times New Roman;sans-serif"/>
          <w:b w:val="false"/>
          <w:color w:val="000000"/>
          <w:sz w:val="22"/>
        </w:rPr>
        <w:br/>
        <w:br/>
        <w:t>AMOUNTS AND TERMS OF THE ADVANCES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2.01</w:t>
      </w:r>
      <w:r>
        <w:rPr>
          <w:rFonts w:ascii="Times New Roman;sans-serif" w:hAnsi="Times New Roman;sans-serif"/>
          <w:b w:val="false"/>
          <w:color w:val="000000"/>
          <w:sz w:val="22"/>
          <w:u w:val="single"/>
        </w:rPr>
        <w:t>The Advances</w:t>
      </w:r>
      <w:r>
        <w:rPr>
          <w:rFonts w:ascii="Times New Roman;sans-serif" w:hAnsi="Times New Roman;sans-serif"/>
          <w:b w:val="false"/>
          <w:color w:val="000000"/>
          <w:sz w:val="22"/>
        </w:rPr>
        <w:t>. Each Lender severally agrees, on the terms and conditions hereinafter set forth, to make Advances to the Borrower in U.S. dollars from time to time on any Business Day during the period from the Effective Date until the Termination Date applicable to such Lender in an aggregate principal amount not to exceed at any time outstanding such Lender’s Commitment. Each Borrowing shall be in an aggregate amount of $10,000,000 or an integral multiple of $1,000,000 in excess thereof and shall consist of Advances of the same Type made on the same day by the Lenders ratably according to their respective Commitments. Within the limits of each Lender’s Commitment, the Borrower may borrow under this Section 2.01, prepay pursuant to Section 2.09 and reborrow under this Section 2.01.</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2.02</w:t>
      </w:r>
      <w:r>
        <w:rPr>
          <w:rFonts w:ascii="Times New Roman;sans-serif" w:hAnsi="Times New Roman;sans-serif"/>
          <w:b w:val="false"/>
          <w:color w:val="000000"/>
          <w:sz w:val="22"/>
          <w:u w:val="single"/>
        </w:rPr>
        <w:t>Making the Advances</w:t>
      </w:r>
      <w:r>
        <w:rPr>
          <w:rFonts w:ascii="Times New Roman;sans-serif" w:hAnsi="Times New Roman;sans-serif"/>
          <w:b w:val="false"/>
          <w:color w:val="000000"/>
          <w:sz w:val="22"/>
        </w:rPr>
        <w:t>. (a) Each Borrowing shall be made on notice, given not later than (x) 1:00 p.m. (New York City time) on the third U.S. Government Securities Business Day prior to the date of the proposed Borrowing in the case of a Borrowing consisting of SOFR Advances or (y) 1:00 p.m. (New York City time) on the day of the proposed Borrowing in the case of a Borrowing consisting of Base Rate Advances, by the Borrower to the Agent, which shall give to each Lender prompt notice thereof by telecopier or e-mail. Each such notice of a Borrowing (a “</w:t>
      </w:r>
      <w:r>
        <w:rPr>
          <w:rFonts w:ascii="Times New Roman;sans-serif" w:hAnsi="Times New Roman;sans-serif"/>
          <w:b w:val="false"/>
          <w:color w:val="000000"/>
          <w:sz w:val="22"/>
          <w:u w:val="single"/>
        </w:rPr>
        <w:t>Notice of Borrowing</w:t>
      </w:r>
      <w:r>
        <w:rPr>
          <w:color w:val="000000"/>
        </w:rPr>
        <w:t>”</w:t>
      </w:r>
      <w:r>
        <w:rPr>
          <w:rFonts w:ascii="Times New Roman;sans-serif" w:hAnsi="Times New Roman;sans-serif"/>
          <w:b w:val="false"/>
          <w:color w:val="000000"/>
          <w:sz w:val="22"/>
        </w:rPr>
        <w:t>) shall be in writing, sent via telecopier or e-mail in substantially the form of Exhibit B hereto, specifying therein the requested (i) date of such Borrowing, (ii) Type of Advances comprising such Borrowing, (iii) aggregate amount of such Borrowing, and (iv) in the case of a Borrowing consisting of SOFR Advances, initial Interest Period for each such Advance. Each Lender shall, before 3:00 P.M. (New York City time) on the date of such Borrowing make available for the account of its Applicable Lending Office to the Agent at the Agent’s Account, in same day funds, such Lender’s ratable portion of such Borrowing. After the Agent’s receipt of such funds and upon fulfillment of the applicable conditions set forth in Article III, the Agent will make such funds available to the Borrower either by (i) crediting the account of the Borrower at the Agent’s address referred to in Section 8.02 or (ii) wire transfer of such funds, in each case as designated by the Borrower.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Anything in subsection (a) above to the contrary notwithstanding, (i) the Borrower may not select SOFR Advances for any Borrowing if the aggregate amount of such Borrowing is less than $10,000,000 or if the obligation of the Lenders to make SOFR Advances shall then be suspended pursuant to Section 2.07 or 2.11 and (ii) the SOFR Advances may not be outstanding as part of more than ten separate Borrowings.</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60655"/>
                <wp:effectExtent l="0" t="0" r="0" b="0"/>
                <wp:wrapNone/>
                <wp:docPr id="138" name="Frame1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Each Notice of Borrowing shall be irrevocable and binding on the Borrower. In the case of any Borrowing that the related Notice of Borrowing specifies is to be comprised of SOFR Advances, the Borrower shall indemnify each Lender against any loss, cost or expense incurred by such Lender as a result of any failure to fulfill on or before the date specified in such Notice of Borrowing for such Borrowing the applicable conditions set forth in Article III, including, without limitation, any loss,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Unless the Agent shall have received notice from a Lender prior to the time of any Borrowing that such Lender will not make available to the Agent such Lender’s ratable portion of such Borrowing, the Agent may assume that such Lender has made such portion available to the Agent on the date of such Borrowing in accordance with subsection (a) of this Section 2.02 and the Agent may, in reliance upon such assumption, make available to the Borrower on such date a corresponding amount. If 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Advances comprising such Borrowing and (ii) in the case of such Lender, the Federal Funds Rate. If such Lender shall repay to the Agent such corresponding amount, such amount so repaid shall constitute such Lender’s Advance as part of such Borrowing for purposes of this Agreement and the Borrower shall not also be required to repay such amount to the Agent.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2.03</w:t>
      </w:r>
      <w:r>
        <w:rPr>
          <w:rFonts w:ascii="Times New Roman;sans-serif" w:hAnsi="Times New Roman;sans-serif"/>
          <w:b w:val="false"/>
          <w:color w:val="000000"/>
          <w:sz w:val="22"/>
          <w:u w:val="single"/>
        </w:rPr>
        <w:t>Fees</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Facility Fee</w:t>
      </w:r>
      <w:r>
        <w:rPr>
          <w:rFonts w:ascii="Times New Roman;sans-serif" w:hAnsi="Times New Roman;sans-serif"/>
          <w:b w:val="false"/>
          <w:color w:val="000000"/>
          <w:sz w:val="22"/>
        </w:rPr>
        <w:t>. The Borrower agrees to pay to the Agent for the account of each Lender a facility fee (the “</w:t>
      </w:r>
      <w:r>
        <w:rPr>
          <w:rFonts w:ascii="Times New Roman;sans-serif" w:hAnsi="Times New Roman;sans-serif"/>
          <w:b w:val="false"/>
          <w:color w:val="000000"/>
          <w:sz w:val="22"/>
          <w:u w:val="single"/>
        </w:rPr>
        <w:t>Facility Fee</w:t>
      </w:r>
      <w:r>
        <w:rPr>
          <w:color w:val="000000"/>
        </w:rPr>
        <w:t>”</w:t>
      </w:r>
      <w:r>
        <w:rPr>
          <w:rFonts w:ascii="Times New Roman;sans-serif" w:hAnsi="Times New Roman;sans-serif"/>
          <w:b w:val="false"/>
          <w:color w:val="000000"/>
          <w:sz w:val="22"/>
        </w:rPr>
        <w:t xml:space="preserve">) on the aggregate amount of such Lender’s Commitment (whether used or unused) from the Effective Date in the case of each Initial Lender and from the effective date specified in the Assumption Agreement or in the Assignment and Assumption pursuant to which it became a Lender in the case of each other Lender until the Termination Date applicable to such Lender at a rate per annum equal to the Applicable Percentage in effect from time to time, payable in arrears quarterly on the last day of each March, June, September and December, commencing June 30, 2025, and on the Termination Date applicable to such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Defaulting Lender shall be entitled to receive any Facility Fee except in respect of its outstanding Advances for any period during which that Lender is a Defaulting Lender (and the Borrower shall not be required to pay such Facility Fee that otherwise would have been required to have been paid to that Defaulting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Agent’s Fees</w:t>
      </w:r>
      <w:r>
        <w:rPr>
          <w:rFonts w:ascii="Times New Roman;sans-serif" w:hAnsi="Times New Roman;sans-serif"/>
          <w:b w:val="false"/>
          <w:color w:val="000000"/>
          <w:sz w:val="22"/>
        </w:rPr>
        <w:t>. The Borrower shall pay to the Agent for its own account such fees as may from time to time be agreed between the Borrower and the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2.04</w:t>
      </w:r>
      <w:r>
        <w:rPr>
          <w:rFonts w:ascii="Times New Roman;sans-serif" w:hAnsi="Times New Roman;sans-serif"/>
          <w:b w:val="false"/>
          <w:color w:val="000000"/>
          <w:sz w:val="22"/>
          <w:u w:val="single"/>
        </w:rPr>
        <w:t>Optional Termination or Reduction of the Commitments</w:t>
      </w:r>
      <w:r>
        <w:rPr>
          <w:rFonts w:ascii="Times New Roman;sans-serif" w:hAnsi="Times New Roman;sans-serif"/>
          <w:b w:val="false"/>
          <w:color w:val="000000"/>
          <w:sz w:val="22"/>
        </w:rPr>
        <w:t xml:space="preserve">. The Borrower shall have the right, upon at least three Business Days’ notice to the Agent, to terminate in whole or permanently reduce ratably in part the unused portion of the respective Commitments of the Lenders without premium or penalty,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partial reduction shall be in the aggregate amount of $10,000,000 or an integral multiple of $1,000,000 in excess thereof. Any such notice may state that such notice is conditioned upon the occurrence of one or more events specified therein, in which case such notice may be revoked by the Borrower (by notice to the Agent on or prior to the specified date of termination or reduction) if such condition is not satisfied.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2.05</w:t>
      </w:r>
      <w:r>
        <w:rPr>
          <w:rFonts w:ascii="Times New Roman;sans-serif" w:hAnsi="Times New Roman;sans-serif"/>
          <w:b w:val="false"/>
          <w:color w:val="000000"/>
          <w:sz w:val="22"/>
          <w:u w:val="single"/>
        </w:rPr>
        <w:t>Repayment of Advances</w:t>
      </w:r>
      <w:r>
        <w:rPr>
          <w:rFonts w:ascii="Times New Roman;sans-serif" w:hAnsi="Times New Roman;sans-serif"/>
          <w:b w:val="false"/>
          <w:color w:val="000000"/>
          <w:sz w:val="22"/>
        </w:rPr>
        <w:t>. The Borrower shall repay to the Agent for the ratable account of each Lender on the Termination Date applicable to such Lender the aggregate principal amount of the Advances then outstanding.</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60655"/>
                <wp:effectExtent l="0" t="0" r="0" b="0"/>
                <wp:wrapNone/>
                <wp:docPr id="139" name="Frame1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2.06</w:t>
      </w:r>
      <w:r>
        <w:rPr>
          <w:rFonts w:ascii="Times New Roman;sans-serif" w:hAnsi="Times New Roman;sans-serif"/>
          <w:b w:val="false"/>
          <w:color w:val="000000"/>
          <w:sz w:val="22"/>
          <w:u w:val="single"/>
        </w:rPr>
        <w:t>Interest on Advances</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Scheduled Interest</w:t>
      </w:r>
      <w:r>
        <w:rPr>
          <w:rFonts w:ascii="Times New Roman;sans-serif" w:hAnsi="Times New Roman;sans-serif"/>
          <w:b w:val="false"/>
          <w:color w:val="000000"/>
          <w:sz w:val="22"/>
        </w:rPr>
        <w:t>. The Borrower shall pay interest on the unpaid principal amount of each Advance owing to each Lender from the date of such Advance until such principal amount shall be paid in full, at the following rates per annum:</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Base Rate Advances</w:t>
      </w:r>
      <w:r>
        <w:rPr>
          <w:rFonts w:ascii="Times New Roman;sans-serif" w:hAnsi="Times New Roman;sans-serif"/>
          <w:b w:val="false"/>
          <w:color w:val="000000"/>
          <w:sz w:val="22"/>
        </w:rPr>
        <w:t xml:space="preserve">. During such periods as such Advance is a Base Rate Advance, a rate per annum equal at all times to the sum of (x) the Base Rate in effect from time to time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(y) the Applicable Margin in effect from time to time, payable in arrears quarterly on the last day of each March, June, September and December during such periods and on the date such Base Rate Advance shall be Converted or paid in full.</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SOFR Advances</w:t>
      </w:r>
      <w:r>
        <w:rPr>
          <w:rFonts w:ascii="Times New Roman;sans-serif" w:hAnsi="Times New Roman;sans-serif"/>
          <w:b w:val="false"/>
          <w:color w:val="000000"/>
          <w:sz w:val="22"/>
        </w:rPr>
        <w:t xml:space="preserve">. During such periods as such Advance is a SOFR Advance, a rate per annum equal at all times during each Interest Period for such Advance to the sum of (x) Adjusted Term SOFR for such Interest Period for such Advance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SOFR Advance shall be Converted or paid in full.</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Default Interest</w:t>
      </w:r>
      <w:r>
        <w:rPr>
          <w:rFonts w:ascii="Times New Roman;sans-serif" w:hAnsi="Times New Roman;sans-serif"/>
          <w:b w:val="false"/>
          <w:color w:val="000000"/>
          <w:sz w:val="22"/>
        </w:rPr>
        <w:t>. Upon the occurrence and during the continuance of an Event of Default under Section 6.01(a) or Section 6.01(e), the Agent may, and upon the request of the Required Lenders shall, require the Borrower to pay interest (“</w:t>
      </w:r>
      <w:r>
        <w:rPr>
          <w:rFonts w:ascii="Times New Roman;sans-serif" w:hAnsi="Times New Roman;sans-serif"/>
          <w:b w:val="false"/>
          <w:color w:val="000000"/>
          <w:sz w:val="22"/>
          <w:u w:val="single"/>
        </w:rPr>
        <w:t>Default Interest</w:t>
      </w:r>
      <w:r>
        <w:rPr>
          <w:color w:val="000000"/>
        </w:rPr>
        <w:t>”</w:t>
      </w:r>
      <w:r>
        <w:rPr>
          <w:rFonts w:ascii="Times New Roman;sans-serif" w:hAnsi="Times New Roman;sans-serif"/>
          <w:b w:val="false"/>
          <w:color w:val="000000"/>
          <w:sz w:val="22"/>
        </w:rPr>
        <w:t xml:space="preserve">) on (i) the unpaid principal amount of each Advance owing to each Lender, payable in arrears on the dates referred to in clause (a)(i) or (a)(ii) above or, after acceleration, upon demand, at a rate per annum equal at all times to 2% per annum above the rate per annum required to be paid on such Advance pursuant to clause (a)(i) or (a)(ii)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Base Rate Advances pursuant to clause (a)(i) above,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following acceleration of the Advances pursuant to Section 6.01, Default Interest shall accrue and be payable hereunder whether or not previously required by the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2.07</w:t>
      </w:r>
      <w:r>
        <w:rPr>
          <w:rFonts w:ascii="Times New Roman;sans-serif" w:hAnsi="Times New Roman;sans-serif"/>
          <w:b w:val="false"/>
          <w:color w:val="000000"/>
          <w:sz w:val="22"/>
          <w:u w:val="single"/>
        </w:rPr>
        <w:t>Interest Rate Determination</w:t>
      </w:r>
      <w:r>
        <w:rPr>
          <w:rFonts w:ascii="Times New Roman;sans-serif" w:hAnsi="Times New Roman;sans-serif"/>
          <w:b w:val="false"/>
          <w:color w:val="000000"/>
          <w:sz w:val="22"/>
        </w:rPr>
        <w:t>. (a) The Agent shall give prompt notice to the Borrower and the Lenders of the applicable interest rate determined by the Agent for purposes of Section 2.06(a)(i) or (ii).</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[reserved].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the Borrower shall fail to provide notice of a Conversion or continuation pursuant to Section 2.08 for any SOFR Advance, then the Agent will forthwith so notify the Borrower and the Lenders and the Borrower will be deemed to have selected an Interest Period of one month for such SOFR Advance.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On the date on which the aggregate unpaid principal amount of SOFR Advances comprising any Borrowing shall be reduced, by payment or prepayment or otherwise, to less than $1,000,000, such Advances shall automatically Convert into Base Rate Advances.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Upon the occurrence and during the continuance of any Event of Default under Section 6.01(a), (i) each SOFR Advance will automatically, on the last day of the then existing Interest Period therefor, Convert into a Base Rate Advance and (ii) the obligation of the Lenders to make, or to Convert Advances into, SOFR Advances shall be suspended.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Subject to Section 2.22, if, on or prior to the first day of any Interest Period for any SOFR Advance;</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60655"/>
                <wp:effectExtent l="0" t="0" r="0" b="0"/>
                <wp:wrapNone/>
                <wp:docPr id="140"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(i)the Agent determines (which determination shall be conclusive and binding absent manifest error) that “Adjusted Term SOFR” cannot be determined pursuant to the definition thereof, or </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(ii)the Required Lenders notify the Agent that Adjusted Term SOFR for such Interest Period for such Advances will not adequately and fairly reflect the cost to such Lenders of making, funding or maintaining their respective SOFR Advances for such Interest Period,</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then, in each case, the Agent shall promptly so notify the Borrower and each Lender.</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(iii)Upon notice of the foregoing by the Agent to the Borrower, any obligation of the Lenders to make SOFR Advances, and any right of the Borrower to continue SOFR Advances or to convert Base Rate Advances to SOFR Advances, shall be suspended (to the extent of the affected SOFR Advances or affected Interest Periods) until the Agent (with respect to clause (b), at the instruction of the Required Lenders) revokes such notice. Upon receipt of such notice, (i) the Borrower may revoke any pending request for a borrowing of, conversion to or continuation of SOFR Advances (to the extent of the affected SOFR Advances or affected Interest Periods) or, failing that, the Borrower will be deemed to have converted any such request into a request for a Borrowing of or conversion to Base Rate Advances in the amount specified therein and (ii) any outstanding affected SOFR Advances will be deemed to have been converted into Base Rate Advances at the end of the applicable Interest Period. Upon any such conversion, the Borrower shall also pay accrued interest on the amount so converted. Subject to Section 2.22, if the Agent determines (which determination shall be conclusive and binding absent manifest error) that “Adjusted Term SOFR” cannot be determined pursuant to the definition thereof on any given day, the interest rate on Base Rate Advances shall be determined by the Agent without reference to clause (c) of the definition of “Base Rate” until the Agent revokes such determination.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2.08</w:t>
      </w:r>
      <w:r>
        <w:rPr>
          <w:rFonts w:ascii="Times New Roman;sans-serif" w:hAnsi="Times New Roman;sans-serif"/>
          <w:b w:val="false"/>
          <w:color w:val="000000"/>
          <w:sz w:val="22"/>
          <w:u w:val="single"/>
        </w:rPr>
        <w:t>Optional Conversion and Continuation of Advances</w:t>
      </w:r>
      <w:r>
        <w:rPr>
          <w:rFonts w:ascii="Times New Roman;sans-serif" w:hAnsi="Times New Roman;sans-serif"/>
          <w:b w:val="false"/>
          <w:color w:val="000000"/>
          <w:sz w:val="22"/>
        </w:rPr>
        <w:t xml:space="preserve">. The Borrower may on any Business Day, upon notice given to the Agent not later than 12:00 noon (New York City time) on the third U.S. Government Securities Business Day prior to the date of the proposed Conversion or continuation and subject to the provisions of Sections 2.07 and 2.11, Convert all Advances of one Type comprising the same Borrowing into Advances of the other Type or continue all or any part of any SOFR Advance constituting the same Borrowing as a SOFR Advance;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any Conversion of SOFR Advances into Base Rate Advances shall be made only on the last day of an Interest Period for such SOFR Advances, any Conversion of Base Rate Advances into SOFR Advances shall be in an amount not less than the minimum amount specified in Section 2.02(b) and no Conversion of any Advances shall result in more separate Borrowings than permitted under Section 2.02(b). Each such notice of a Conversion or continuation shall, within the restrictions specified above, specify (i) the date of such Conversion or continuation, (ii) the Advances to be Converted or continued, and (iii) if such Conversion or continuation is into SOFR Advances, the duration of the initial Interest Period for each such Advance. Each notice of Conversion shall be irrevocable and binding on the Borrower.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2.09</w:t>
      </w:r>
      <w:r>
        <w:rPr>
          <w:rFonts w:ascii="Times New Roman;sans-serif" w:hAnsi="Times New Roman;sans-serif"/>
          <w:b w:val="false"/>
          <w:color w:val="000000"/>
          <w:sz w:val="22"/>
          <w:u w:val="single"/>
        </w:rPr>
        <w:t>Prepayments of Advances</w:t>
      </w:r>
      <w:r>
        <w:rPr>
          <w:rFonts w:ascii="Times New Roman;sans-serif" w:hAnsi="Times New Roman;sans-serif"/>
          <w:b w:val="false"/>
          <w:color w:val="000000"/>
          <w:sz w:val="22"/>
        </w:rPr>
        <w:t xml:space="preserve">. The Borrower may, at any time and from time to time without premium or penalty (but subject to Section 8.04(c)), upon notice at least two U.S. Government Securities Business Days’ prior to the date of such prepayment, in the case of SOFR Advances, and not later than 1:00 p.m. (New York City time) on the date of such prepayment, in the case of Base Rate Advances, to the Agent stating the proposed date and aggregate principal amount of the prepayment, and if such notice is given the Borrower shall, prepay the outstanding principal amount of the Advances comprising part of the same Borrowing in whole or ratably in part, together with accrued interest to the date of such prepayment on the principal amount prepaid;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(x) each partial prepayment shall be in an aggregate principal amount of $10,000,000 or an integral multiple of $1,000,000 in excess thereof and (y) in the event of any such prepayment of a SOFR Advance, the Borrower shall be obligated to reimburse the Lenders in respect thereof pursuant to Section 8.04(c). Notwithstanding the foregoing, any such notice may state that such notice is conditioned upon the occurrence of one or more events specified therein, in which case such notice may be revoked by the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60655"/>
                <wp:effectExtent l="0" t="0" r="0" b="0"/>
                <wp:wrapNone/>
                <wp:docPr id="141" name="Frame1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Borrower (by notice to the Agent on or prior to the specified date of termination or reduction) if such condition is not satisfied, provided that any revocation of a notice of prepayment shall not relieve the Borrower of its obligations in respect thereof, if any, under Section 8.04(c).</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2.10</w:t>
      </w:r>
      <w:r>
        <w:rPr>
          <w:rFonts w:ascii="Times New Roman;sans-serif" w:hAnsi="Times New Roman;sans-serif"/>
          <w:b w:val="false"/>
          <w:color w:val="000000"/>
          <w:sz w:val="22"/>
          <w:u w:val="single"/>
        </w:rPr>
        <w:t>Increased Costs</w:t>
      </w:r>
      <w:r>
        <w:rPr>
          <w:rFonts w:ascii="Times New Roman;sans-serif" w:hAnsi="Times New Roman;sans-serif"/>
          <w:b w:val="false"/>
          <w:color w:val="000000"/>
          <w:sz w:val="22"/>
        </w:rPr>
        <w:t>. (a) If, due to either (i) the introduction of or any change in or in the interpretation of any law or regulation or (ii) the compliance with any guideline or request from any central bank or other governmental authority (whether or not having the force of law), in each case announced after the date hereof or the date a Lender becomes a party hereto pursuant to an Assumption Agreement or an Assignment and Assumption,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any such Lender assignee shall be entitled to compensation under this Section to the same extent that the Lender assigning such interest was entitled to claim as of the date of such assignment), there shall be any increase in the cost to any Lender of agreeing to make or making, funding or maintaining SOFR Advances (excluding for purposes of this Section 2.10 any such increased costs resulting from taxes, including Taxes or Other Taxes (as to which Section 2.13 shall govern)), then the Borrower shall from time to time, upon demand by such Lender (with a copy of such demand to the Agent), pay to the Agent for the account of such Lender additional amounts sufficient to compensate such Lender for such increased cost. A certificate setting forth in reasonable detail the reasons for and amount (including the calculation) of such increased cost, submitted to the Borrower and the Agent by such Lender, shall be conclusive and binding for all purposes, absent manifest error;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before making any such demand, each Lender agrees to use reasonable efforts (consistent with its internal policy and legal and regulatory restrictions) to designate a different lending office if the making of such a designation would avoid the need for, or reduce the amount of, such increased cost and would not, in the reasonable judgment of such Lender, be otherwise disadvantageous to such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any Lender determines that compliance with any law or regulation or any guideline or request from any central bank or other governmental authority (whether or not having the force of law) announced after the date hereof or the date a Lender becomes a party hereto pursuant to an Assumption Agreement or an Assignment and Assumption,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Lender assignee shall be entitled to compensation under this Section to the same extent that the Lender assigning such interest was entitled to claim as of the date of such assignment), affects the amount of capital or liquidity required or expected to be maintained by such Lender or any corporation controlling such Lender and that the amount of such capital or liquidity is increased by or based upon the existence of such Lender’s commitment to lend hereunder, then, upon demand by such Lender (with a copy of such demand to the Agent), the Borrower shall pay to the Agent for the account of such Lender, from time to time as specified by such Lender, additional amounts sufficient to compensate such Lender or such corporation in the light of such circumstances, to the extent that such Lender reasonably determines such increase in capital or liquidity to be allocable to the existence of such Lender’s commitment to lend hereunder.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For the avoidance of doubt, this Section 2.10 shall apply to all requests, rules, guidelines or directives (x) issued in connection with the Dodd-Frank Wall Street Reform and Consumer Protection Act or (y) promulgated by the Bank for International Settlements, the Basel Committee on Banking Supervision (or any successor or similar authority) or the United States or foreign regulatory authorities, in each case pursuant to Basel III, regardless of the date enacted, adopted or issued. A certificate setting forth in reasonable detail the reasons for and such amounts (including a calculation thereof) submitted to the Borrower and the Agent by such Lender shall be conclusive and binding for all purposes, absent manifest error.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Failure or delay on the part of any Lender to demand compensation pursuant to this Section shall not constitute a waiver of such Lender’s right to demand such compensation;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Borrower shall not be required to compensate a Lender pursuant to this Section for any increased costs incurred more than 180 days prior to the date that such Lender notifies the Borrower of the circumstances giving rise to such increased costs and of such Lender’s intention to claim compensation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if the circumstance giving rise to such increased costs is retroactive, then the 180-day period referred to above shall be extended to include the period of retroactive effect thereof.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2.11</w:t>
      </w:r>
      <w:r>
        <w:rPr>
          <w:rFonts w:ascii="Times New Roman;sans-serif" w:hAnsi="Times New Roman;sans-serif"/>
          <w:b w:val="false"/>
          <w:color w:val="000000"/>
          <w:sz w:val="22"/>
          <w:u w:val="single"/>
        </w:rPr>
        <w:t>Illegality</w:t>
      </w:r>
      <w:r>
        <w:rPr>
          <w:rFonts w:ascii="Times New Roman;sans-serif" w:hAnsi="Times New Roman;sans-serif"/>
          <w:b w:val="false"/>
          <w:color w:val="000000"/>
          <w:sz w:val="22"/>
        </w:rPr>
        <w:t xml:space="preserve">. Notwithstanding any other provision of this Agreement, if any Lender shall notify the Agent that the introduction of or any change in or in the interpretation of any law or regulation makes it unlawful, or any central bank or other governmental authority asserts that it is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60655"/>
                <wp:effectExtent l="0" t="0" r="0" b="0"/>
                <wp:wrapNone/>
                <wp:docPr id="142" name="Frame1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unlawful, for any Lender or its Applicable Lending Office to perform its obligations hereunder to make SOFR Advances or to fund or maintain SOFR Advances hereunder, (a) each SOFR Advance of such Lender will automatically, upon such demand, Convert into a Base Rate Advance and (b) the obligation of such Lender to make SOFR Advances or to Convert Advances into SOFR Advances shall be suspended until the Agent shall notify the Borrower and the Lenders that the circumstances causing such suspension no longer exist;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before making any such demand, each Lender agrees to use reasonable efforts (consistent with its internal policy and legal and regulatory restrictions) to designate a different lending office if the making of such a designation would allow such Lender or its Applicable Lending Office to continue to perform its obligations to make SOFR Advances or to continue to fund or maintain SOFR Advances and would not, in the judgment of such Lender, be otherwise disadvantageous to such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2.12</w:t>
      </w:r>
      <w:r>
        <w:rPr>
          <w:rFonts w:ascii="Times New Roman;sans-serif" w:hAnsi="Times New Roman;sans-serif"/>
          <w:b w:val="false"/>
          <w:color w:val="000000"/>
          <w:sz w:val="22"/>
          <w:u w:val="single"/>
        </w:rPr>
        <w:t>Payments and Computations</w:t>
      </w:r>
      <w:r>
        <w:rPr>
          <w:rFonts w:ascii="Times New Roman;sans-serif" w:hAnsi="Times New Roman;sans-serif"/>
          <w:b w:val="false"/>
          <w:color w:val="000000"/>
          <w:sz w:val="22"/>
        </w:rPr>
        <w:t>. (a) The Borrower shall make each payment hereunder, irrespective of any right of counterclaim or set-off, not later than 1:00 p.m.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2.10, 2.13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any Assuming Lender becoming a Lender hereunder as a result of a Commitment Increase pursuant to Section 2.17, and upon the Agent’s receipt of such Lender’s Assumption Agreement and recording of the information contained therein in the Register, from and after the applicable Increase Date the Agent shall make all payments hereunder and under any Notes issued in connection therewith in respect of the interest assumed thereby to the Assuming Lender. Upon its acceptance of an Assignment and Assumption and recording of the information contained therein in the Register pursuant to Section 8.07(c), from and after the effective date specified in such Assignment and Assumption, the Agent shall make all payments hereunder and under the Notes in respect of the interest assigned thereby to the Lender assignee thereunder, and the parties to such Assignment and Assumption shall make all appropriate adjustments in such payments for periods prior to such effective date directly between themselves.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All computations of interest based on the Base Rate shall be made by the Agent on the basis of a year of 365 or 366 days, as the case may be, and all computations of interest based on Term SOFR,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such extension would cause payment of interest on or principal of SOFR Advances to be made in the next following calendar month, such payment shall be made on the next preceding Business Day.</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Unless the Agent shall have received notice from the Borrower prior to the date on which any payment is due to the Lenders hereunder that the Borrower will not make such 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 (without prejudice to any claim such Lender may have against the Borrower for failure to make any payment in full when due).</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60655"/>
                <wp:effectExtent l="0" t="0" r="0" b="0"/>
                <wp:wrapNone/>
                <wp:docPr id="143" name="Frame1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2.13</w:t>
      </w:r>
      <w:r>
        <w:rPr>
          <w:rFonts w:ascii="Times New Roman;sans-serif" w:hAnsi="Times New Roman;sans-serif"/>
          <w:b w:val="false"/>
          <w:color w:val="000000"/>
          <w:sz w:val="22"/>
          <w:u w:val="single"/>
        </w:rPr>
        <w:t>Taxes</w:t>
      </w:r>
      <w:r>
        <w:rPr>
          <w:rFonts w:ascii="Times New Roman;sans-serif" w:hAnsi="Times New Roman;sans-serif"/>
          <w:b w:val="false"/>
          <w:color w:val="000000"/>
          <w:sz w:val="22"/>
        </w:rPr>
        <w:t xml:space="preserve">. (a) Any and all payments by the Borrower to or for the account of any Lender or the Agent hereunder or under the Notes or any other documents to be delivered hereunder shall be made, in accordance with Section 2.12 or the applicable provisions of such other documents, free and clear of and without deduction for any and all present or future taxes, levies, imposts, deductions, charges or withholdings, and all liabilities with respect thereto, </w:t>
      </w:r>
      <w:r>
        <w:rPr>
          <w:rFonts w:ascii="Times New Roman;sans-serif" w:hAnsi="Times New Roman;sans-serif"/>
          <w:b w:val="false"/>
          <w:color w:val="000000"/>
          <w:sz w:val="22"/>
          <w:u w:val="single"/>
        </w:rPr>
        <w:t>excluding</w:t>
      </w:r>
      <w:r>
        <w:rPr>
          <w:rFonts w:ascii="Times New Roman;sans-serif" w:hAnsi="Times New Roman;sans-serif"/>
          <w:b w:val="false"/>
          <w:color w:val="000000"/>
          <w:sz w:val="22"/>
        </w:rPr>
        <w:t>, in the case of each Lender and the Agent, (i) taxes imposed on its overall net income, franchise taxes imposed on it in lieu of net income taxes, branch profits taxes, in each case imposed on it by the jurisdiction under the laws of which such Lender or the Agent (as the case may be) is organized or in which its principal office is located (or, in the case of each Lender, in which its Applicable Lending Office is located) or any political subdivision thereof or by any jurisdiction or political subdivision thereof with which such Lender or Agent has a present or former connection (other than any connection arising solely from having executed, delivered, performed its obligations or received payment under, or enforced this Agreement), (ii) U.S. federal withholding taxes imposed on amounts payable to or for the account of such Lender with respect to an applicable interest in a Note or Commitment pursuant to a law in effect on the date on which (A) such Lender acquires such interest in the Note or Commitment or (B) such Lender changes its lending office, except in each case to the extent that, pursuant to Section 2.13, amounts with respect to such taxes were payable either to such Lender’s assignor immediately before such Lender became a party hereto or to such Lender immediately before it changed its lending office, (iii) taxes attributable to such Lender’s or Agent’s failure to comply with Section 2.13(e), and (iv) any taxes imposed pursuant to FATCA (all such non-excluded taxes, levies, imposts, deductions, charges, withholdings and liabilities in respect of payments hereunder or under the Notes being hereinafter referred to as “</w:t>
      </w:r>
      <w:r>
        <w:rPr>
          <w:rFonts w:ascii="Times New Roman;sans-serif" w:hAnsi="Times New Roman;sans-serif"/>
          <w:b w:val="false"/>
          <w:color w:val="000000"/>
          <w:sz w:val="22"/>
          <w:u w:val="single"/>
        </w:rPr>
        <w:t>Taxes</w:t>
      </w:r>
      <w:r>
        <w:rPr>
          <w:color w:val="000000"/>
        </w:rPr>
        <w:t>”</w:t>
      </w:r>
      <w:r>
        <w:rPr>
          <w:rFonts w:ascii="Times New Roman;sans-serif" w:hAnsi="Times New Roman;sans-serif"/>
          <w:b w:val="false"/>
          <w:color w:val="000000"/>
          <w:sz w:val="22"/>
        </w:rPr>
        <w:t>). If the Borrower shall be required by law to deduct any amount from or in respect of any sum payable hereunder or under any Note or any other documents to be delivered hereunder to any Lender or the Agent, (1) if such deduction or withholding is in respect of Taxes, then the sum payable shall be increased as may be necessary so that after making all required deductions for Taxes (including deductions for Taxes applicable to additional sums payable under this Section 2.13) such Lender or the Agent (as the case may be) receives an amount equal to the sum it would have received had no such deductions for Taxes been made, (2) the Borrower shall make all required deductions and (3) the Borrower shall pay the full amount deducted to the relevant taxation authority or other authority in accordance with applicable law.</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addition, the Borrower shall pay any present or future stamp or documentary taxes or any other excise or property taxes, charges or similar levies that arise from any payment made hereunder or under the Notes or any other documents to be delivered hereunder or from the execution, delivery or registration of, performing under, or otherwise with respect to, this Agreement or the Notes or any other documents to be delivered hereunder, except any such taxes imposed with respect to an assignment (hereinafter referred to as “</w:t>
      </w:r>
      <w:r>
        <w:rPr>
          <w:rFonts w:ascii="Times New Roman;sans-serif" w:hAnsi="Times New Roman;sans-serif"/>
          <w:b w:val="false"/>
          <w:color w:val="000000"/>
          <w:sz w:val="22"/>
          <w:u w:val="single"/>
        </w:rPr>
        <w:t>Other Taxes</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Borrower shall indemnify each Lender and the Agent for and hold it harmless against the full amount of Taxes or Other Taxes (including, without limitation, Taxes or Other Taxes of any kind imposed or asserted by any jurisdiction on amounts payable under this Section 2.13)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Within 30 days after the date of any payment of Taxes, the Borrower shall furnish to the Agent, at its address referred to in Section 8.02, the original or a certified copy of a receipt evidencing such payment to the extent such a receipt is issued therefor, or other written proof of payment thereof that is reasonably satisfactory to the Agent.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 xml:space="preserve">(i) 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60655"/>
                <wp:effectExtent l="0" t="0" r="0" b="0"/>
                <wp:wrapNone/>
                <wp:docPr id="144" name="Frame1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requirements. Notwithstanding anything to the contrary in the preceding two sentences, the completion, execution and submission of such documentation (other than such documentation set forth in Section 2.13(e)(ii)(A),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(i)Without limiting the generality of the foregoing,</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(A)any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(B)any Lender that is not a U.S. Person shall, to the extent it is legally entitled to do so, deliver to the Borrower and the Agent (in such number of copies as shall be requested by the recipient) on or prior to the date on which such Lender becomes a Lender under this Agreement (and from time to time thereafter upon the reasonable request of the Borrower or the Agent), whichever of the following is applicable: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(1)in the case of a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(2)executed copies of IRS Form W-8ECI;</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(3)in the case of a Lender claiming the benefits of the exemption for portfolio interest under Section 881(c) of the Internal Revenue Code, (x) a certificate substantially in the form of Exhibit D-1 to the effect that such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Times New Roman;sans-serif" w:hAnsi="Times New Roman;sans-serif"/>
          <w:b w:val="false"/>
          <w:color w:val="000000"/>
          <w:sz w:val="22"/>
          <w:u w:val="single"/>
        </w:rPr>
        <w:t>U.S. Tax Compliance Certificate</w:t>
      </w:r>
      <w:r>
        <w:rPr>
          <w:color w:val="000000"/>
        </w:rPr>
        <w:t>”</w:t>
      </w:r>
      <w:r>
        <w:rPr>
          <w:rFonts w:ascii="Times New Roman;sans-serif" w:hAnsi="Times New Roman;sans-serif"/>
          <w:b w:val="false"/>
          <w:color w:val="000000"/>
          <w:sz w:val="22"/>
        </w:rPr>
        <w:t>) and (y) executed copies of IRS Form W-8BEN or W-8BEN-E; or</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(4)to the extent a Lender is not the beneficial owner, executed copies of IRS Form W-8IMY, accompanied by IRS Form W-8ECI, IRS Form W-8BEN or W-8BEN-E, a U.S. Tax Compliance Certificate substantially in the form of Exhibit D-2 or Exhibit D-3, IRS Form W-9, and/or other certification documents from each beneficial owner, as applicable;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if the Lender is a partnership and one or more direct or indirect partners of such Lender are claiming the portfolio interest exemption, such Lender may provide a U.S. Tax Compliance Certificate substantially in the form of Exhibit D-4 on behalf of each such direct and indirect partner;</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(C)any Lender that is not a U.S. Person shall, to the extent it is legally entitled to do so, deliver to the Borrower and the Agent (in such number of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60655"/>
                <wp:effectExtent l="0" t="0" r="0" b="0"/>
                <wp:wrapNone/>
                <wp:docPr id="145" name="Frame1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copies as shall be requested by the recipient) on or prior to the date on which such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(D)If a payment made to a Lender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the Borrower, at the time or times prescribed by law and at such time or times reasonably requested in writing by the Borrower or the Agent, such documentation prescribed by applicable law (including as prescribed by Section 1471(b)(3)(C)(i) of the Internal Revenue Code) and such additional documentation reasonably requested in writing by the Borrower or the Agent as may be necessary for the Borrower or the Agent to comply with their obligations under FATCA, to determine that such Lender has complied with such Lender’s obligations under FATCA or to determine the amount to deduct and withhold from such payment. Solely for purposes of this clause (ii), “FATCA” shall include any amendments made to FATCA after the date of this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purposes of this Section 2.13(e), “U.S. Person” means any Person that is a “United States person” as defined in Section 7701(a)(30) of the Internal Revenue Code.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Any Lender claiming any additional amounts payable pursuant to this Section 2.13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reasonable judgment of such Lender, be otherwise disadvantageous to such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If any Lender determines that it has received a refund of any Taxes as to which it has been indemnified by the Borrower or with respect to which the Borrower has paid additional amounts pursuant to this Section 2.13, it shall pay to the Borrower an amount equal to such refund (but only to the extent of indemnity payments made, or additional amounts paid, by the Borrower under this Section 2.13 with respect to the Taxes giving rise to such refund), net of all out-of-pocket expenses (including Taxes) incurred by such Lender, and without interest (other than any interest paid by the relevant governmental authority with respect to such refund),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upon the request of such Lender, agrees to repay the amount paid over to the Borrower (plus any penalties, interest or other charges imposed by the relevant governmental authority) to the Lender in the event the Lender is required to repay such refund to such governmental authority. Notwithstanding anything to the contrary in this subsection, in no event will the applicable Lender be required to pay any amount to the Borrower pursuant to this subsection the payment of which would place the Lender in a less favorable net after-tax position than such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Lender to make available its tax returns (or any other information relating to its taxes that it deems confidential) to the Borrower or any other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2.14</w:t>
      </w:r>
      <w:r>
        <w:rPr>
          <w:rFonts w:ascii="Times New Roman;sans-serif" w:hAnsi="Times New Roman;sans-serif"/>
          <w:b w:val="false"/>
          <w:color w:val="000000"/>
          <w:sz w:val="22"/>
          <w:u w:val="single"/>
        </w:rPr>
        <w:t>Sharing of Payments, Etc</w:t>
      </w:r>
      <w:r>
        <w:rPr>
          <w:rFonts w:ascii="Times New Roman;sans-serif" w:hAnsi="Times New Roman;sans-serif"/>
          <w:b w:val="false"/>
          <w:color w:val="000000"/>
          <w:sz w:val="22"/>
        </w:rPr>
        <w:t xml:space="preserve">. If any Lender shall obtain any payment (whether voluntary, involuntary, through the exercise of any right of set off, or otherwise) on account of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6" name="Frame1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Advances owing to it (other than (x) in respect of Defaulting Lenders or (y) pursuant to Section 2.10, 2.13 or 8.04(c) or as otherwise expressly provided herein) in excess of its ratable share of payments on account of the Advances obtained by all the Lenders, such Lender shall forthwith purchase from the other Lenders such participations in the Advances owing to them as shall be necessary to cause such purchasing Lender to share the excess payment ratably with each of them;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2.14 may, to the fullest extent permitted by law, exercise all its rights of payment (including the right of set-off) with respect to such participation as fully as if such Lender were the direct creditor of the Borrower in the amount of such participation.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2.15</w:t>
      </w:r>
      <w:r>
        <w:rPr>
          <w:rFonts w:ascii="Times New Roman;sans-serif" w:hAnsi="Times New Roman;sans-serif"/>
          <w:b w:val="false"/>
          <w:color w:val="000000"/>
          <w:sz w:val="22"/>
          <w:u w:val="single"/>
        </w:rPr>
        <w:t>Evidence of Debt</w:t>
      </w:r>
      <w:r>
        <w:rPr>
          <w:rFonts w:ascii="Times New Roman;sans-serif" w:hAnsi="Times New Roman;sans-serif"/>
          <w:b w:val="false"/>
          <w:color w:val="000000"/>
          <w:sz w:val="22"/>
        </w:rPr>
        <w:t>. (a) Each Lender shall maintain in accordance with its usual practice an account or accounts evidencing the indebtedness of the Borrower to such Lender resulting from each Advance owing to such Lender from time to time, including the amounts of principal and interest payable and paid to such Lender from time to time hereunder in respect of Advances. The Borrower agrees that upon notice by any Lender to the Borrower (with a copy of such notice to the Agent) to the effect that a Note is required or appropriate in order for such Lender to evidence (whether for purposes of pledge, enforcement or otherwise) the Advances owing to, or to be made by, such Lender, the Borrower shall promptly execute and deliver to such Lender a Note payable to such Lender in a principal amount up to the Commitment of such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Register maintained by the Agent pursuant to Section 8.07(c) shall include a control account, and a subsidiary account for each Lender, in which accounts (taken together) shall be recorded (i) the date and amount of each Borrowing made hereunder, the Type of Advances comprising such Borrowing and, if appropriate, the Interest Period applicable thereto, (ii) the terms of each Assumption Agreement and each Assignment and Assumption delivered to and accepted by it, (iii) the amount of any principal or interest due and payable or to become due and payable from the Borrower to each Lender hereunder and (iv) the amount of any sum received by the Agent from the Borrower hereunder and each Lender’s share thereof.</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Entries made in good faith by the Agent in the Register pursuant to subsection (b) above, and by each Lender in its account or accounts pursuant to subsection (a) above, shall be </w:t>
      </w:r>
      <w:r>
        <w:rPr>
          <w:rFonts w:ascii="Times New Roman;sans-serif" w:hAnsi="Times New Roman;sans-serif"/>
          <w:b w:val="false"/>
          <w:color w:val="000000"/>
          <w:sz w:val="22"/>
          <w:u w:val="single"/>
        </w:rPr>
        <w:t>prima facie</w:t>
      </w:r>
      <w:r>
        <w:rPr>
          <w:color w:val="000000"/>
        </w:rPr>
        <w:t xml:space="preserve"> </w:t>
      </w:r>
      <w:r>
        <w:rPr>
          <w:rFonts w:ascii="Times New Roman;sans-serif" w:hAnsi="Times New Roman;sans-serif"/>
          <w:b w:val="false"/>
          <w:color w:val="000000"/>
          <w:sz w:val="22"/>
        </w:rPr>
        <w:t xml:space="preserve">evidence of the amount of principal and interest due and payable or to become due and payable from the Borrower to, in the case of the Register, each Lender and, in the case of such account or accounts, such Lender, under this Agreement, absent manifest error;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failure of the Agent or such Lender to make an entry, or any finding that an entry is incorrect, in the Register or such account or accounts shall not limit or otherwise affect the obligations of the Borrower under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2.16</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The proceeds of the Advances shall be available (and the Borrower agrees that it shall use such proceeds) solely for general corporate purposes of the Borrower and its Subsidiaries.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2.17</w:t>
      </w:r>
      <w:r>
        <w:rPr>
          <w:rFonts w:ascii="Times New Roman;sans-serif" w:hAnsi="Times New Roman;sans-serif"/>
          <w:b w:val="false"/>
          <w:color w:val="000000"/>
          <w:sz w:val="22"/>
          <w:u w:val="single"/>
        </w:rPr>
        <w:t>Increase in the Aggregate Commitments</w:t>
      </w:r>
      <w:r>
        <w:rPr>
          <w:rFonts w:ascii="Times New Roman;sans-serif" w:hAnsi="Times New Roman;sans-serif"/>
          <w:b w:val="false"/>
          <w:color w:val="000000"/>
          <w:sz w:val="22"/>
        </w:rPr>
        <w:t>. (a) The Borrower may, at any time (including, for avoidance of doubt, after any reduction in the Commitments) but in any event not more than twice in any calendar year prior to the Termination Date, by notice to the Agent, request that the aggregate amount of the Commitments be increased by a minimum amount of $25,000,000 and an integral multiple of $1,000,000 in excess thereof (each a “</w:t>
      </w:r>
      <w:r>
        <w:rPr>
          <w:rFonts w:ascii="Times New Roman;sans-serif" w:hAnsi="Times New Roman;sans-serif"/>
          <w:b w:val="false"/>
          <w:color w:val="000000"/>
          <w:sz w:val="22"/>
          <w:u w:val="single"/>
        </w:rPr>
        <w:t>Commitment Increase</w:t>
      </w:r>
      <w:r>
        <w:rPr>
          <w:color w:val="000000"/>
        </w:rPr>
        <w:t>”</w:t>
      </w:r>
      <w:r>
        <w:rPr>
          <w:rFonts w:ascii="Times New Roman;sans-serif" w:hAnsi="Times New Roman;sans-serif"/>
          <w:b w:val="false"/>
          <w:color w:val="000000"/>
          <w:sz w:val="22"/>
        </w:rPr>
        <w:t>) to be effective as of a date that is at least 90 days prior to the Termination Date (the “</w:t>
      </w:r>
      <w:r>
        <w:rPr>
          <w:rFonts w:ascii="Times New Roman;sans-serif" w:hAnsi="Times New Roman;sans-serif"/>
          <w:b w:val="false"/>
          <w:color w:val="000000"/>
          <w:sz w:val="22"/>
          <w:u w:val="single"/>
        </w:rPr>
        <w:t>Increase Date</w:t>
      </w:r>
      <w:r>
        <w:rPr>
          <w:color w:val="000000"/>
        </w:rPr>
        <w:t>”</w:t>
      </w:r>
      <w:r>
        <w:rPr>
          <w:rFonts w:ascii="Times New Roman;sans-serif" w:hAnsi="Times New Roman;sans-serif"/>
          <w:b w:val="false"/>
          <w:color w:val="000000"/>
          <w:sz w:val="22"/>
        </w:rPr>
        <w:t xml:space="preserve">) as specified in the related notice to the Agent;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color w:val="000000"/>
        </w:rPr>
        <w:t xml:space="preserve"> </w:t>
      </w:r>
      <w:r>
        <w:rPr>
          <w:rFonts w:ascii="Times New Roman;sans-serif" w:hAnsi="Times New Roman;sans-serif"/>
          <w:b w:val="false"/>
          <w:color w:val="000000"/>
          <w:sz w:val="22"/>
        </w:rPr>
        <w:t xml:space="preserve">that (i) in no event shall the aggregate amount of the Commitments at any time exceed $2,000,000,000 and (ii) on the date of any request by the Borrower for a Commitment Increase and on the related Increase Date, as a condition to such Commitment Increase, the following conditions precedent shall be satisfied: (A) the representations and warranties contained in Section 4.01 are true and correct in all material respects on and as of such date, immediately before and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60655"/>
                <wp:effectExtent l="0" t="0" r="0" b="0"/>
                <wp:wrapNone/>
                <wp:docPr id="147" name="Frame1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immediately after giving effect to such Commitment Increase, as though made on and as of such date (except (x) to the extent such representations and warranties specifically relate to an earlier date, in which case such representations and warranties shall have been true and correct in all material respects on and as of such earlier date and (y) such representations and warranties that are qualified by materiality or Material Adverse Effect in the text thereof shall be true and correct in all respects,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date referred to in Section 4.01(e)(ii) shall be deemed to be the date of the most recent audited financial statements referred to in Section 4.01(e)(i) or delivered in accordance with Section 5.01(i)(ii)) and (B) no event has occurred and is continuing, or would result from such Commitment Increase, that constitutes a Default.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may, at its sole discretion, invite its existing Lenders and/or, subject to the consent of the Agent (which consent shall not be unreasonably withheld or delayed), additional Eligible Assignees to become Lenders pursuant to an Assumption Agreement. The Agent shall promptly notify the Lenders or such Eligible Assignees identified by the Borrower of a request by the Borrower for a Commitment Increase, which notice shall include (i) the proposed amount of such requested Commitment Increase, (ii) the proposed Increase Date and (iii) the date by which the Lenders or such Eligible Assignees wishing to participate in the Commitment Increase must respond (the “</w:t>
      </w:r>
      <w:r>
        <w:rPr>
          <w:rFonts w:ascii="Times New Roman;sans-serif" w:hAnsi="Times New Roman;sans-serif"/>
          <w:b w:val="false"/>
          <w:color w:val="000000"/>
          <w:sz w:val="22"/>
          <w:u w:val="single"/>
        </w:rPr>
        <w:t>Commitment Date</w:t>
      </w:r>
      <w:r>
        <w:rPr>
          <w:color w:val="000000"/>
        </w:rPr>
        <w:t>”</w:t>
      </w:r>
      <w:r>
        <w:rPr>
          <w:rFonts w:ascii="Times New Roman;sans-serif" w:hAnsi="Times New Roman;sans-serif"/>
          <w:b w:val="false"/>
          <w:color w:val="000000"/>
          <w:sz w:val="22"/>
        </w:rPr>
        <w:t>). Each Lender that is willing to participate in such requested Commitment Increase (each an “</w:t>
      </w:r>
      <w:r>
        <w:rPr>
          <w:rFonts w:ascii="Times New Roman;sans-serif" w:hAnsi="Times New Roman;sans-serif"/>
          <w:b w:val="false"/>
          <w:color w:val="000000"/>
          <w:sz w:val="22"/>
          <w:u w:val="single"/>
        </w:rPr>
        <w:t>Increasing Lender</w:t>
      </w:r>
      <w:r>
        <w:rPr>
          <w:color w:val="000000"/>
        </w:rPr>
        <w:t>”</w:t>
      </w:r>
      <w:r>
        <w:rPr>
          <w:rFonts w:ascii="Times New Roman;sans-serif" w:hAnsi="Times New Roman;sans-serif"/>
          <w:b w:val="false"/>
          <w:color w:val="000000"/>
          <w:sz w:val="22"/>
        </w:rPr>
        <w:t>) shall, in its sole discretion, give written notice to the Agent on or prior to the Commitment Date of the amount by which it is willing to increase its Commitment. Any Lender that fails to respond to a request for a Commitment Increase by the Commitment Date shall be deemed to have declined such request. The Commitment of each Eligible Assignee that agrees to participate in the requested Commitment Increase shall be in an amount of not less than $10,000,000. If Lenders and Eligible Assignees notify the Agent that they are willing to increase the amount of their respective Commitments by an aggregate amount that exceeds the amount of the requested Commitment Increase, the requested Commitment Increase shall be allocated among such Persons in such amounts as are agreed between the Borrower and the Agent.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On each Increase Date, each Eligible Assignee that accepts an offer to participate in a requested Commitment Increase in accordance with Section 2.17(b) (each such Eligible Assignee, and any Eligible Assignee that becomes a Lender in accordance with Section 2.20(d), an “</w:t>
      </w:r>
      <w:r>
        <w:rPr>
          <w:rFonts w:ascii="Times New Roman;sans-serif" w:hAnsi="Times New Roman;sans-serif"/>
          <w:b w:val="false"/>
          <w:color w:val="000000"/>
          <w:sz w:val="22"/>
          <w:u w:val="single"/>
        </w:rPr>
        <w:t>Assuming Lender</w:t>
      </w:r>
      <w:r>
        <w:rPr>
          <w:color w:val="000000"/>
        </w:rPr>
        <w:t>”</w:t>
      </w:r>
      <w:r>
        <w:rPr>
          <w:rFonts w:ascii="Times New Roman;sans-serif" w:hAnsi="Times New Roman;sans-serif"/>
          <w:b w:val="false"/>
          <w:color w:val="000000"/>
          <w:sz w:val="22"/>
        </w:rPr>
        <w:t xml:space="preserve">) shall become a Lender party to this Agreement as of such Increase Date and the Commitment of each Increasing Lender for such requested Commitment Increase shall be so increased by such amount (or by the amount allocated to such Lender pursuant to the last sentence of Section 2.17(b)) as of such Increase Date;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Agent shall have received on or before such Increase Date the following:</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(i)(A) certified copies of resolutions of the Board of Directors of the Borrower or any committee of such Board authorizing the Commitment Increase and the corresponding modifications to this Agreement and (B) a customary opinion of counsel for the Borrower dated such date (which may be in-house counsel), covering customary matters relating thereto;</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(ii)an assumption agreement from each Assuming Lender, if any, in form and substance satisfactory to the Borrower and the Agent (each an “</w:t>
      </w:r>
      <w:r>
        <w:rPr>
          <w:rFonts w:ascii="Times New Roman;sans-serif" w:hAnsi="Times New Roman;sans-serif"/>
          <w:b w:val="false"/>
          <w:color w:val="000000"/>
          <w:sz w:val="22"/>
          <w:u w:val="single"/>
        </w:rPr>
        <w:t>Assumption Agreement</w:t>
      </w:r>
      <w:r>
        <w:rPr>
          <w:color w:val="000000"/>
        </w:rPr>
        <w:t>”</w:t>
      </w:r>
      <w:r>
        <w:rPr>
          <w:rFonts w:ascii="Times New Roman;sans-serif" w:hAnsi="Times New Roman;sans-serif"/>
          <w:b w:val="false"/>
          <w:color w:val="000000"/>
          <w:sz w:val="22"/>
        </w:rPr>
        <w:t>), duly executed by such Assuming Lender, the Agent and the Borrower;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(iii)confirmation from each Increasing Lender of the increase in the amount of its Commitment in a writing satisfactory to the Borrower and the Agent.</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On each Increase Date, upon fulfillment of the conditions set forth in the immediately preceding sentence of this Section 2.17(c), the Agent shall notify the Lenders (including, without limitation, each Assuming Lender) and the Borrower, on or before 1:00 P.M. (New York City time), by telecopier or other electronic means, of the occurrence of the Commitment Increase to be effected on such Increase Date and shall record in the Register the relevant information with respect to each Increasing Lender and each Assuming Lender on such date. Each Increasing Lender and each Assuming Lender shall, to the extent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60655"/>
                <wp:effectExtent l="0" t="0" r="0" b="0"/>
                <wp:wrapNone/>
                <wp:docPr id="148" name="Frame1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before 2:00 P.M. (New York City time) on the applicable Increase Date, purchase at par that portion of outstanding Advances of the other Lenders or take such other actions as the Agent may determine to be necessary to cause the Advances to be funded pro rata by the Lenders in accordance with the Commitments. In connection with any Commitment Increase, the Borrower, the Agent, each Assuming Lender and each Increasing Lender may make such amendments to this Agreement as the Agent determines to be reasonably necessary to evidence the Commitment Increase. This Section shall supersede Sections 2.14 and 8.01.</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2.18</w:t>
      </w:r>
      <w:r>
        <w:rPr>
          <w:rFonts w:ascii="Times New Roman;sans-serif" w:hAnsi="Times New Roman;sans-serif"/>
          <w:b w:val="false"/>
          <w:color w:val="000000"/>
          <w:sz w:val="22"/>
          <w:u w:val="single"/>
        </w:rPr>
        <w:t>Defaulting Lenders</w:t>
      </w:r>
      <w:r>
        <w:rPr>
          <w:rFonts w:ascii="Times New Roman;sans-serif" w:hAnsi="Times New Roman;sans-serif"/>
          <w:b w:val="false"/>
          <w:color w:val="000000"/>
          <w:sz w:val="22"/>
        </w:rPr>
        <w:t xml:space="preserve">. (a) If a Lender becomes, and during the period it remains, a Defaulting Lender, any amount paid by the Borrower or otherwise received by the Agent for the account of such Defaulting Lender under this Agreement (whether on account of principal, interest, fees, indemnity payments or other amounts) will not be paid or distributed to such Defaulting Lender, but will instead be retained by the Agent in a segregated non-interest bearing account until (subject to Section 2.18) the termination of the Commitments and payment in full of all obligations of the Borrower hereunder and will be applied by the Agent, to the fullest extent permitted by law, to the making of payments from time to time in the following order of priority: </w:t>
      </w:r>
      <w:r>
        <w:rPr>
          <w:rFonts w:ascii="Times New Roman;sans-serif" w:hAnsi="Times New Roman;sans-serif"/>
          <w:b w:val="false"/>
          <w:color w:val="000000"/>
          <w:sz w:val="22"/>
          <w:u w:val="single"/>
        </w:rPr>
        <w:t>first</w:t>
      </w:r>
      <w:r>
        <w:rPr>
          <w:color w:val="000000"/>
        </w:rPr>
        <w:t xml:space="preserve"> </w:t>
      </w:r>
      <w:r>
        <w:rPr>
          <w:rFonts w:ascii="Times New Roman;sans-serif" w:hAnsi="Times New Roman;sans-serif"/>
          <w:b w:val="false"/>
          <w:color w:val="000000"/>
          <w:sz w:val="22"/>
        </w:rPr>
        <w:t xml:space="preserve">to the payment of any amounts owing by such Defaulting Lender to the Agent under this Agreement, </w:t>
      </w:r>
      <w:r>
        <w:rPr>
          <w:rFonts w:ascii="Times New Roman;sans-serif" w:hAnsi="Times New Roman;sans-serif"/>
          <w:b w:val="false"/>
          <w:color w:val="000000"/>
          <w:sz w:val="22"/>
          <w:u w:val="single"/>
        </w:rPr>
        <w:t>second</w:t>
      </w:r>
      <w:r>
        <w:rPr>
          <w:color w:val="000000"/>
        </w:rPr>
        <w:t xml:space="preserve"> </w:t>
      </w:r>
      <w:r>
        <w:rPr>
          <w:rFonts w:ascii="Times New Roman;sans-serif" w:hAnsi="Times New Roman;sans-serif"/>
          <w:b w:val="false"/>
          <w:color w:val="000000"/>
          <w:sz w:val="22"/>
        </w:rPr>
        <w:t xml:space="preserve">to the payment of post-default interest and then current interest due and payable to the Non-Defaulting Lenders hereunder, ratably among them in accordance with the amounts of such interest then due and payable to them, </w:t>
      </w:r>
      <w:r>
        <w:rPr>
          <w:rFonts w:ascii="Times New Roman;sans-serif" w:hAnsi="Times New Roman;sans-serif"/>
          <w:b w:val="false"/>
          <w:color w:val="000000"/>
          <w:sz w:val="22"/>
          <w:u w:val="single"/>
        </w:rPr>
        <w:t>third</w:t>
      </w:r>
      <w:r>
        <w:rPr>
          <w:color w:val="000000"/>
        </w:rPr>
        <w:t xml:space="preserve"> </w:t>
      </w:r>
      <w:r>
        <w:rPr>
          <w:rFonts w:ascii="Times New Roman;sans-serif" w:hAnsi="Times New Roman;sans-serif"/>
          <w:b w:val="false"/>
          <w:color w:val="000000"/>
          <w:sz w:val="22"/>
        </w:rPr>
        <w:t xml:space="preserve">to the payment of fees then due and payable to the Non-Defaulting Lenders hereunder, ratably among them in accordance with the amounts of such fees then due and payable to them, </w:t>
      </w:r>
      <w:r>
        <w:rPr>
          <w:rFonts w:ascii="Times New Roman;sans-serif" w:hAnsi="Times New Roman;sans-serif"/>
          <w:b w:val="false"/>
          <w:color w:val="000000"/>
          <w:sz w:val="22"/>
          <w:u w:val="single"/>
        </w:rPr>
        <w:t>fourth</w:t>
      </w:r>
      <w:r>
        <w:rPr>
          <w:color w:val="000000"/>
        </w:rPr>
        <w:t xml:space="preserve"> </w:t>
      </w:r>
      <w:r>
        <w:rPr>
          <w:rFonts w:ascii="Times New Roman;sans-serif" w:hAnsi="Times New Roman;sans-serif"/>
          <w:b w:val="false"/>
          <w:color w:val="000000"/>
          <w:sz w:val="22"/>
        </w:rPr>
        <w:t xml:space="preserve">to pay principal then due and payable to the Non-Defaulting Lenders hereunder ratably in accordance with the amounts thereof then due and payable to them, </w:t>
      </w:r>
      <w:r>
        <w:rPr>
          <w:rFonts w:ascii="Times New Roman;sans-serif" w:hAnsi="Times New Roman;sans-serif"/>
          <w:b w:val="false"/>
          <w:color w:val="000000"/>
          <w:sz w:val="22"/>
          <w:u w:val="single"/>
        </w:rPr>
        <w:t>fifth</w:t>
      </w:r>
      <w:r>
        <w:rPr>
          <w:color w:val="000000"/>
        </w:rPr>
        <w:t xml:space="preserve"> </w:t>
      </w:r>
      <w:r>
        <w:rPr>
          <w:rFonts w:ascii="Times New Roman;sans-serif" w:hAnsi="Times New Roman;sans-serif"/>
          <w:b w:val="false"/>
          <w:color w:val="000000"/>
          <w:sz w:val="22"/>
        </w:rPr>
        <w:t xml:space="preserve">to the ratable payment of other amounts then due and payable to the Non-Defaulting Lenders, and </w:t>
      </w:r>
      <w:r>
        <w:rPr>
          <w:rFonts w:ascii="Times New Roman;sans-serif" w:hAnsi="Times New Roman;sans-serif"/>
          <w:b w:val="false"/>
          <w:color w:val="000000"/>
          <w:sz w:val="22"/>
          <w:u w:val="single"/>
        </w:rPr>
        <w:t>sixth</w:t>
      </w:r>
      <w:r>
        <w:rPr>
          <w:color w:val="000000"/>
        </w:rPr>
        <w:t xml:space="preserve"> </w:t>
      </w:r>
      <w:r>
        <w:rPr>
          <w:rFonts w:ascii="Times New Roman;sans-serif" w:hAnsi="Times New Roman;sans-serif"/>
          <w:b w:val="false"/>
          <w:color w:val="000000"/>
          <w:sz w:val="22"/>
        </w:rPr>
        <w:t>after the termination of the Commitments and payment in full of all obligations of the Borrower hereunder, to pay amounts owing under this Agreement to such Defaulting Lender or as a court of competent jurisdiction may otherwise direct. Any payments, prepayments or other amounts paid or payable to a Defaulting Lender that are applied (or held) to pay amounts owed by a Defaulting Lender or to post cash collateral pursuant to this Section 2.18 shall be deemed paid to and redirected by such Defaulting Lender, and each Lender irrevocably consents hereto.</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No Commitment of any Lender shall be increased or otherwise affected, and, except as otherwise expressly provided in this Section 2.18, performance by the Borrower of its obligations shall not be excused or otherwise modified as a result of the operation of this Section 2.18. The rights and remedies against a Defaulting Lender under this Section 2.18 are in addition to any other rights and remedies which the Borrower, the Agent or any Lender may have against such Defaulting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If the Borrower and the Agent agree in writing in their reasonable determination that a Defaulting Lender should no longer be deemed to be a Defaulting Lender, the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Advances of the other Lenders or take such other actions as the Agent may determine to be necessary to cause the Advances to be funded and held on a pro rata basis by the Lenders in accordance with their pro rata share, whereupon such Lender will cease to be a Defaulting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 adjustments will be made retroactively with respect to fees accrued or payments made by or on behalf of the Borrower while that Lender was a Defaulting Lender; and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2.19</w:t>
      </w:r>
      <w:r>
        <w:rPr>
          <w:rFonts w:ascii="Times New Roman;sans-serif" w:hAnsi="Times New Roman;sans-serif"/>
          <w:b w:val="false"/>
          <w:color w:val="000000"/>
          <w:sz w:val="22"/>
          <w:u w:val="single"/>
        </w:rPr>
        <w:t>Replacement of Lenders</w:t>
      </w:r>
      <w:r>
        <w:rPr>
          <w:rFonts w:ascii="Times New Roman;sans-serif" w:hAnsi="Times New Roman;sans-serif"/>
          <w:b w:val="false"/>
          <w:color w:val="000000"/>
          <w:sz w:val="22"/>
        </w:rPr>
        <w:t>. If (a) any Lender requests compensation under Section 2.10, (b) the Borrower is required to pay additional amounts to any Lender or any governmental authority for the account of any Lender pursuant to Section 2.13, (c) any Lender is a Defaulting Lender, (d) any Lender cannot make SOFR Advances as contemplated by Section 2.11, (e) any Lender is a Non-Extending Lender or (f) any Lender does not approve any consent, waiver or amendment that (i) requires the approval of all Lenders or all affected Lenders in accordance with the terms of Section 8.01 and (ii) has been approved by the Required Lenders (a “</w:t>
      </w:r>
      <w:r>
        <w:rPr>
          <w:rFonts w:ascii="Times New Roman;sans-serif" w:hAnsi="Times New Roman;sans-serif"/>
          <w:b w:val="false"/>
          <w:color w:val="000000"/>
          <w:sz w:val="22"/>
          <w:u w:val="single"/>
        </w:rPr>
        <w:t>Non-Approving Lender</w:t>
      </w:r>
      <w:r>
        <w:rPr>
          <w:color w:val="000000"/>
        </w:rPr>
        <w:t>”</w:t>
      </w:r>
      <w:r>
        <w:rPr>
          <w:rFonts w:ascii="Times New Roman;sans-serif" w:hAnsi="Times New Roman;sans-serif"/>
          <w:b w:val="false"/>
          <w:color w:val="000000"/>
          <w:sz w:val="22"/>
        </w:rPr>
        <w:t xml:space="preserve">), then the Borrower may, at its </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60655"/>
                <wp:effectExtent l="0" t="0" r="0" b="0"/>
                <wp:wrapNone/>
                <wp:docPr id="149" name="Frame1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sole expense and effort, upon notice to such Lender and the Agent, require such Lender to assign and delegate, without recourse (in accordance with and subject to the restrictions contained in, and consents required by, Section 8.07), all of its interests, rights and obligations under this Agreement to an Eligible Assignee that shall assume such obligations (which assignee may be another Lender, if a Lender accepts such assignment);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(1)    the Borrower or the applicable Eligible Assignee shall have paid to the Agent the assignment fee (if any) specified in Section 8.07;</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(2)    such Lender shall have received payment of an amount equal to the outstanding principal of its Advances, accrued interest thereon, accrued fees and all other amounts payable to it hereunder (including any amounts under Section 8.04(c)) from the assignee (to the extent of such outstanding principal and accrued interest and fees) or the Borrower (in the case of all other amounts);</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(3)    in the case of any such assignment resulting from a claim for compensation under Section 2.10 or payments required to be made pursuant to Section 2.13, such assignment will result in a reduction in such compensation or payments thereafter;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(4)    such assignment does not conflict with applicable law;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(5)    in the case of any assignment resulting from a Lender becoming a Non-Approving Lender, the applicable assignee shall have consented, or agreed to provide its consent upon becoming a Lender, to the applicable amendment, waiver or consent.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2.20</w:t>
      </w:r>
      <w:r>
        <w:rPr>
          <w:rFonts w:ascii="Times New Roman;sans-serif" w:hAnsi="Times New Roman;sans-serif"/>
          <w:b w:val="false"/>
          <w:color w:val="000000"/>
          <w:sz w:val="22"/>
          <w:u w:val="single"/>
        </w:rPr>
        <w:t>Extension of Termination Date</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Requests for Extension</w:t>
      </w:r>
      <w:r>
        <w:rPr>
          <w:rFonts w:ascii="Times New Roman;sans-serif" w:hAnsi="Times New Roman;sans-serif"/>
          <w:b w:val="false"/>
          <w:color w:val="000000"/>
          <w:sz w:val="22"/>
        </w:rPr>
        <w:t>. The Borrower may, by notice to the Agent (who shall promptly notify the Lenders) not earlier than 90 days and not later than 30 days prior to any anniversary of the Effective Date, request that the Termination Date then in effect hereunder (the “</w:t>
      </w:r>
      <w:r>
        <w:rPr>
          <w:rFonts w:ascii="Times New Roman;sans-serif" w:hAnsi="Times New Roman;sans-serif"/>
          <w:b w:val="false"/>
          <w:color w:val="000000"/>
          <w:sz w:val="22"/>
          <w:u w:val="single"/>
        </w:rPr>
        <w:t>Existing Termination Date</w:t>
      </w:r>
      <w:r>
        <w:rPr>
          <w:color w:val="000000"/>
        </w:rPr>
        <w:t>”</w:t>
      </w:r>
      <w:r>
        <w:rPr>
          <w:rFonts w:ascii="Times New Roman;sans-serif" w:hAnsi="Times New Roman;sans-serif"/>
          <w:b w:val="false"/>
          <w:color w:val="000000"/>
          <w:sz w:val="22"/>
        </w:rPr>
        <w:t>) be extended for an additional one year from the Existing Termination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Lender Elections to Extend</w:t>
      </w:r>
      <w:r>
        <w:rPr>
          <w:rFonts w:ascii="Times New Roman;sans-serif" w:hAnsi="Times New Roman;sans-serif"/>
          <w:b w:val="false"/>
          <w:color w:val="000000"/>
          <w:sz w:val="22"/>
        </w:rPr>
        <w:t>. Each Lender, acting in its sole and individual discretion, shall, by notice to the Agent given not earlier than 30 days prior to the applicable anniversary of the Effective Date and not later than the date (the “</w:t>
      </w:r>
      <w:r>
        <w:rPr>
          <w:rFonts w:ascii="Times New Roman;sans-serif" w:hAnsi="Times New Roman;sans-serif"/>
          <w:b w:val="false"/>
          <w:color w:val="000000"/>
          <w:sz w:val="22"/>
          <w:u w:val="single"/>
        </w:rPr>
        <w:t>Notice Date</w:t>
      </w:r>
      <w:r>
        <w:rPr>
          <w:color w:val="000000"/>
        </w:rPr>
        <w:t>”</w:t>
      </w:r>
      <w:r>
        <w:rPr>
          <w:rFonts w:ascii="Times New Roman;sans-serif" w:hAnsi="Times New Roman;sans-serif"/>
          <w:b w:val="false"/>
          <w:color w:val="000000"/>
          <w:sz w:val="22"/>
        </w:rPr>
        <w:t>) that is 20 days prior to the applicable anniversary of the Effective Date, advise the Agent whether or not such Lender agrees to such extension (and each Lender that determines not to so extend its Termination Date, a “</w:t>
      </w:r>
      <w:r>
        <w:rPr>
          <w:rFonts w:ascii="Times New Roman;sans-serif" w:hAnsi="Times New Roman;sans-serif"/>
          <w:b w:val="false"/>
          <w:color w:val="000000"/>
          <w:sz w:val="22"/>
          <w:u w:val="single"/>
        </w:rPr>
        <w:t>Non-Extending Lender</w:t>
      </w:r>
      <w:r>
        <w:rPr>
          <w:color w:val="000000"/>
        </w:rPr>
        <w:t>”</w:t>
      </w:r>
      <w:r>
        <w:rPr>
          <w:rFonts w:ascii="Times New Roman;sans-serif" w:hAnsi="Times New Roman;sans-serif"/>
          <w:b w:val="false"/>
          <w:color w:val="000000"/>
          <w:sz w:val="22"/>
        </w:rPr>
        <w:t>) shall notify the Agent of such fact promptly after such determination (but in any event no later than the Notice Date) and any Lender that does not so advise the Agent on or before the Notice Date shall be deemed to be a Non-Extending Lender. The election of any Lender to agree to such extension shall not obligate any other Lender to so agree.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Notification by Agent</w:t>
      </w:r>
      <w:r>
        <w:rPr>
          <w:rFonts w:ascii="Times New Roman;sans-serif" w:hAnsi="Times New Roman;sans-serif"/>
          <w:b w:val="false"/>
          <w:color w:val="000000"/>
          <w:sz w:val="22"/>
        </w:rPr>
        <w:t>. The Agent shall notify the Borrower in writing of each Lender’s determination under this Section no later than 15 days prior to the applicable anniversary of the Effective Date (or, if such date is not a Business Day, on the immediately preceding Business Day).</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Replacement of Non-Extending Lenders</w:t>
      </w:r>
      <w:r>
        <w:rPr>
          <w:rFonts w:ascii="Times New Roman;sans-serif" w:hAnsi="Times New Roman;sans-serif"/>
          <w:b w:val="false"/>
          <w:color w:val="000000"/>
          <w:sz w:val="22"/>
        </w:rPr>
        <w:t xml:space="preserve">. The Borrower shall have the right to replace each Non-Extending Lender with, and add as “Lenders” under this Agreement in place thereof, one or more Eligible Assignees (each as an Assuming Lender) as provided in Section 8.07;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each Assuming Lender shall enter into an Assignment and Assumption pursuant to which each such Assuming Lender shall take an assignment from a Non-Extending Lender.</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60655"/>
                <wp:effectExtent l="0" t="0" r="0" b="0"/>
                <wp:wrapNone/>
                <wp:docPr id="150" name="Frame1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Minimum Extension Requirement</w:t>
      </w:r>
      <w:r>
        <w:rPr>
          <w:rFonts w:ascii="Times New Roman;sans-serif" w:hAnsi="Times New Roman;sans-serif"/>
          <w:b w:val="false"/>
          <w:color w:val="000000"/>
          <w:sz w:val="22"/>
        </w:rPr>
        <w:t>. If (and only if) the total of the Commitments of the Lenders that have agreed to extend their Termination Date (each, an “</w:t>
      </w:r>
      <w:r>
        <w:rPr>
          <w:rFonts w:ascii="Times New Roman;sans-serif" w:hAnsi="Times New Roman;sans-serif"/>
          <w:b w:val="false"/>
          <w:color w:val="000000"/>
          <w:sz w:val="22"/>
          <w:u w:val="single"/>
        </w:rPr>
        <w:t>Extending Lender</w:t>
      </w:r>
      <w:r>
        <w:rPr>
          <w:color w:val="000000"/>
        </w:rPr>
        <w:t>”</w:t>
      </w:r>
      <w:r>
        <w:rPr>
          <w:rFonts w:ascii="Times New Roman;sans-serif" w:hAnsi="Times New Roman;sans-serif"/>
          <w:b w:val="false"/>
          <w:color w:val="000000"/>
          <w:sz w:val="22"/>
        </w:rPr>
        <w:t>) and the Commitments of the Assuming Lenders shall be more than 50% of the aggregate amount of the Commitments in effect immediately prior to the Notice Date, then, effective as of the applicable anniversary of the Effective Date, the Termination Date of each Extending Lender and of each Assuming Lender shall be extended to the date falling one year after the Existing Termination Date (except that, if such date is not a Business Day, such Termination Date as so extended shall be the next preceding Business Day).</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Conditions to Effectiveness of Extensions</w:t>
      </w:r>
      <w:r>
        <w:rPr>
          <w:rFonts w:ascii="Times New Roman;sans-serif" w:hAnsi="Times New Roman;sans-serif"/>
          <w:b w:val="false"/>
          <w:color w:val="000000"/>
          <w:sz w:val="22"/>
        </w:rPr>
        <w:t>. Notwithstanding the foregoing, the extension of the Termination Date pursuant to this Section shall not be effective with respect to any Lender unless: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(i)no Default shall have occurred and be continuing on the date of such extension and after giving effect thereto;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(ii)each of the representations and warranties contained in Section 4.01 of this Agreement are true and correct in all material respects on and as of the date of such extension and after giving effect thereto, as though made on and as of such date (except that (x) representations and warranties that are qualified by materiality or Material Adverse Effect in the text thereof shall be true and correct in all respects and (y) to the extent such representations and warranties specifically relate to an earlier date, such representations and warranties shall have been true and correct in all material respects on and as of such earlier date (other than representations and warranties qualified by materiality or Material Adverse Effect in the text thereof, which shall be true and correct in all respects on and as of such earlier date and provided that the date referred to in Section 4.01(e)(ii) shall be deemed to be the date of the most recent audited financial statements delivered in accordance with Section 5.01(i)(ii)).</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Amendment; Sharing of Payments</w:t>
      </w:r>
      <w:r>
        <w:rPr>
          <w:rFonts w:ascii="Times New Roman;sans-serif" w:hAnsi="Times New Roman;sans-serif"/>
          <w:b w:val="false"/>
          <w:color w:val="000000"/>
          <w:sz w:val="22"/>
        </w:rPr>
        <w:t>. In connection with any extension of the Existing Termination Date, the Borrower, the Agent and each Extending Lender may make such amendments to this Agreement as the Agent determines to be reasonably necessary to evidence the extension. This Section shall supersede Sections 2.14 and 8.01.</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2.21</w:t>
      </w:r>
      <w:r>
        <w:rPr>
          <w:rFonts w:ascii="Times New Roman;sans-serif" w:hAnsi="Times New Roman;sans-serif"/>
          <w:b w:val="false"/>
          <w:color w:val="000000"/>
          <w:sz w:val="22"/>
          <w:u w:val="single"/>
        </w:rPr>
        <w:t>[Reserved]</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2.22</w:t>
      </w:r>
      <w:r>
        <w:rPr>
          <w:rFonts w:ascii="Times New Roman;sans-serif" w:hAnsi="Times New Roman;sans-serif"/>
          <w:b w:val="false"/>
          <w:color w:val="000000"/>
          <w:sz w:val="22"/>
          <w:u w:val="single"/>
        </w:rPr>
        <w:t>Benchmark Replacement</w:t>
      </w:r>
      <w:r>
        <w:rPr>
          <w:rFonts w:ascii="Times New Roman;sans-serif" w:hAnsi="Times New Roman;sans-serif"/>
          <w:b w:val="false"/>
          <w:color w:val="000000"/>
          <w:sz w:val="22"/>
        </w:rPr>
        <w:t>. Notwithstanding anything to the contrary herein or in any other Loan Document: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Benchmark Replacement</w:t>
      </w:r>
      <w:r>
        <w:rPr>
          <w:rFonts w:ascii="Times New Roman;sans-serif" w:hAnsi="Times New Roman;sans-serif"/>
          <w:b w:val="false"/>
          <w:color w:val="000000"/>
          <w:sz w:val="22"/>
        </w:rPr>
        <w:t>. Notwithstanding anything to the contrary herein or in any other Loan Document, upon the occurrence of a Benchmark Transition Event, the Agent and the Borrower may amend this Agreement to replace the then-current Benchmark with a Benchmark Replacement. Any such amendment with respect to a Benchmark Transition Event will become effective at 5:00 p.m. (New York City time) on the fifth (5th)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Section 2.22(a) will occur prior to the applicable Benchmark Transition Start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Benchmark Replacement Conforming Changes</w:t>
      </w:r>
      <w:r>
        <w:rPr>
          <w:rFonts w:ascii="Times New Roman;sans-serif" w:hAnsi="Times New Roman;sans-serif"/>
          <w:b w:val="false"/>
          <w:color w:val="000000"/>
          <w:sz w:val="22"/>
        </w:rPr>
        <w:t>. In connection with the use, administration, adoption or implementation of a Benchmark Replacement, the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Notices; Standards for Decisions and Determinations</w:t>
      </w:r>
      <w:r>
        <w:rPr>
          <w:rFonts w:ascii="Times New Roman;sans-serif" w:hAnsi="Times New Roman;sans-serif"/>
          <w:b w:val="false"/>
          <w:color w:val="000000"/>
          <w:sz w:val="22"/>
        </w:rPr>
        <w:t xml:space="preserve">. The Agent will promptly notify the Borrower and the Lenders of (i) the implementation of any Benchmark Replacement and (ii) the effectiveness of any Conforming Changes in connection with the use, administration, adoption or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60655"/>
                <wp:effectExtent l="0" t="0" r="0" b="0"/>
                <wp:wrapNone/>
                <wp:docPr id="151" name="Frame1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implementation of a Benchmark Replacement. The Agent will notify the Borrower of (x) the removal or reinstatement of any tenor of a Benchmark pursuant to Section 2.22(d) and (y) the commencement of any Benchmark Unavailability Period. Any determination, decision or election that may be made by the Agent or, if applicable, any Lender (or group of Lenders) pursuant to this Section 2.22,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hereto, except, in each case, as expressly required pursuant to this Section 2.22(d).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Unavailability of Tenor of Benchmark</w:t>
      </w:r>
      <w:r>
        <w:rPr>
          <w:rFonts w:ascii="Times New Roman;sans-serif" w:hAnsi="Times New Roman;sans-serif"/>
          <w:b w:val="false"/>
          <w:color w:val="000000"/>
          <w:sz w:val="22"/>
        </w:rPr>
        <w:t>.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Benchmark Unavailability Period</w:t>
      </w:r>
      <w:r>
        <w:rPr>
          <w:rFonts w:ascii="Times New Roman;sans-serif" w:hAnsi="Times New Roman;sans-serif"/>
          <w:b w:val="false"/>
          <w:color w:val="000000"/>
          <w:sz w:val="22"/>
        </w:rPr>
        <w:t>. Upon the Borrower’s receipt of notice of the commencement of a Benchmark Unavailability Period, the Borrower may revoke any pending request for a Borrowing of, conversion to or continuation of SOFR Advances to be made, converted or continued during any Benchmark Unavailability Period and, failing that, the Borrower will be deemed to have converted any such request into a request for a Borrowing of or conversion to Base Rate Advances.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319" w:before="0" w:after="240"/>
        <w:jc w:val="center"/>
        <w:rPr/>
      </w:pPr>
      <w:r>
        <w:rPr>
          <w:rFonts w:ascii="Times New Roman;sans-serif" w:hAnsi="Times New Roman;sans-serif"/>
          <w:b w:val="false"/>
          <w:color w:val="000000"/>
          <w:sz w:val="22"/>
        </w:rPr>
        <w:t>Article III</w:t>
      </w:r>
      <w:r>
        <w:rPr>
          <w:rFonts w:ascii="Times New Roman;sans-serif" w:hAnsi="Times New Roman;sans-serif"/>
          <w:b w:val="false"/>
          <w:color w:val="000000"/>
          <w:sz w:val="22"/>
        </w:rPr>
        <w:br/>
        <w:br/>
        <w:t>CONDITIONS TO EFFECTIVENESS AND LENDING</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3.01</w:t>
      </w:r>
      <w:r>
        <w:rPr>
          <w:rFonts w:ascii="Times New Roman;sans-serif" w:hAnsi="Times New Roman;sans-serif"/>
          <w:b w:val="false"/>
          <w:color w:val="000000"/>
          <w:sz w:val="22"/>
          <w:u w:val="single"/>
        </w:rPr>
        <w:t>Conditions Precedent to Effectiveness of Commitments</w:t>
      </w:r>
      <w:r>
        <w:rPr>
          <w:rFonts w:ascii="Times New Roman;sans-serif" w:hAnsi="Times New Roman;sans-serif"/>
          <w:b w:val="false"/>
          <w:color w:val="000000"/>
          <w:sz w:val="22"/>
        </w:rPr>
        <w:t>. This Agreement shall become effective on and as of the first date (the “</w:t>
      </w:r>
      <w:r>
        <w:rPr>
          <w:rFonts w:ascii="Times New Roman;sans-serif" w:hAnsi="Times New Roman;sans-serif"/>
          <w:b w:val="false"/>
          <w:color w:val="000000"/>
          <w:sz w:val="22"/>
          <w:u w:val="single"/>
        </w:rPr>
        <w:t>Effective Date</w:t>
      </w:r>
      <w:r>
        <w:rPr>
          <w:color w:val="000000"/>
        </w:rPr>
        <w:t>”</w:t>
      </w:r>
      <w:r>
        <w:rPr>
          <w:rFonts w:ascii="Times New Roman;sans-serif" w:hAnsi="Times New Roman;sans-serif"/>
          <w:b w:val="false"/>
          <w:color w:val="000000"/>
          <w:sz w:val="22"/>
        </w:rPr>
        <w:t>) on which the following conditions precedent have been satisfied: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There shall have occurred no Material Adverse Change since January 31, 2025.</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There shall exist no action, suit, investigation, litigation or proceeding against the Borrower or any of its Subsidiaries pending or, to Borrower’s knowledge, threatened in writing before any court, governmental agency or arbitrator that (i) could be reasonably likely to have a Material Adverse Effect or (ii) could reasonably be expected to adversely affect the legality, validity or enforceability of the Loan Documents.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All material governmental and third party consents and approvals necessary in connection with the transactions contemplated hereby shall have been obtained (without the imposition of any conditions that are not acceptable to the Lenders) and shall remain in effect, and no law or regulation shall be applicable in the reasonable judgment of the Agent that restrains, prevents or imposes materially adverse conditions upon the transactions contemplated hereby.</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60655"/>
                <wp:effectExtent l="0" t="0" r="0" b="0"/>
                <wp:wrapNone/>
                <wp:docPr id="152" name="Frame1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34</w:t>
                      </w:r>
                    </w:p>
                  </w:txbxContent>
                </v:textbox>
                <w10:wrap type="none"/>
              </v:rect>
            </w:pict>
          </mc:Fallback>
        </mc:AlternateConten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Borrower shall have paid all accrued fees and expenses of the Agent and the Lenders required to be paid or reimbursed by the Borrower (including the accrued reasonable and documented fees and expenses of counsel to the Agent) that have been invoiced to the Borrower prior to the Effective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On the Effective Date, the following statements shall be true and the Agent shall have received a certificate signed by a duly authorized officer of the Borrower, dated the Effective Date, stating that: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(i)The representations and warranties contained in Section 4.01 are correct on and as of the Effective Date,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(ii)No event has occurred and is continuing that constitutes a Default.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The Agent shall have received on or before the Effective Date the following, each in form and substance reasonably satisfactory to the Agent: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(i)From each party hereto, an executed counterpart of this Agreement delivered by such party or customary written evidence reasonably satisfactory to the Administrative Agent (which may include electronic transmission of a signed signature page) that such party has signed a counterpart of this Agreement.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(ii)The Notes, each dated the Effective Date, to the extent requested by any Lender prior to the Effective Date pursuant to Section 2.15.</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(iii)Certified copies of the resolutions of the Board of Directors of the Borrower approving this Agreement and the Notes (if any), and of all documents evidencing other necessary corporate action and governmental approvals, if any, with respect to this Agreement and the Notes (if any).</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(iv)A certificate of the Secretary or an Assistant Secretary of the Borrower, dated as of the Effective Date, certifying the names and true signatures of officers of the Borrower authorized to sign this Agreement and the Notes (if any) and the other documents to be delivered hereunder.</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(v)A favorable opinion of Wilson Sonsini Goodrich &amp; Rosati, PC, special counsel for the Borrower, dated the Effective Date and in customary form and substance.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Lenders shall have received all documentation and other information relating to the Borrower and requested in writing at least five Business Days prior to the Effective Date required by bank regulatory authorities under applicable “know your customer” and anti-money laundering rules and regulations, including the Patriot Act and the Beneficial Ownership Regulation (if applicable).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Borrower shall have paid in full all principal, interest, fees and other amounts outstanding under the Existing Credit Agreement and the commitments thereunder shall have been terminated.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Any fees required to be paid pursuant to the Fee Letter on or before the Effective Date shall have been paid.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3.02</w:t>
      </w:r>
      <w:r>
        <w:rPr>
          <w:rFonts w:ascii="Times New Roman;sans-serif" w:hAnsi="Times New Roman;sans-serif"/>
          <w:b w:val="false"/>
          <w:color w:val="000000"/>
          <w:sz w:val="22"/>
          <w:u w:val="single"/>
        </w:rPr>
        <w:t>Conditions Precedent to Each Borrowing</w:t>
      </w:r>
      <w:r>
        <w:rPr>
          <w:rFonts w:ascii="Times New Roman;sans-serif" w:hAnsi="Times New Roman;sans-serif"/>
          <w:b w:val="false"/>
          <w:color w:val="000000"/>
          <w:sz w:val="22"/>
        </w:rPr>
        <w:t>. The obligation of each Lender to make an Advance on the occasion of each Borrowing shall be subject to the conditions precedent that the Effective Date shall have occurred and on the date of such Borrowing:</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 xml:space="preserve">the following statements shall be true (and each of the giving of the applicable Notice of Borrowing and the acceptance by the Borrower of the proceeds of such Borrowing shall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60655"/>
                <wp:effectExtent l="0" t="0" r="0" b="0"/>
                <wp:wrapNone/>
                <wp:docPr id="153" name="Frame1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35</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constitute a representation and warranty by the Borrower that on the date of such Borrowing such statements are true):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(i)the representations and warranties contained in Section 4.01 (except the representations and warranties set forth in subsections (e)(ii) and (f)(i) thereof) are correct in all material respects on and as of such date, immediately before and immediately after giving effect to such Borrowing and to the application of the proceeds therefrom, as though made on and as of such date (except (x) to the extent such representations and warranties specifically relate to an earlier date, in which case such representations and warranties shall have been true and correct in all material respects on and as of such earlier date and (y) such representations and warranties that are qualified by materiality or Material Adverse Effect in the text thereof shall be true and correct in all respects),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(ii)no event has occurred and is continuing, or would result from such Borrowing or from the application of the proceeds therefrom, that constitutes a Default; and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Agent shall have received a Notice of Borrowing with respect to such Borrowing in accordance with the terms and requirements hereof.</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3.03</w:t>
      </w:r>
      <w:r>
        <w:rPr>
          <w:rFonts w:ascii="Times New Roman;sans-serif" w:hAnsi="Times New Roman;sans-serif"/>
          <w:b w:val="false"/>
          <w:color w:val="000000"/>
          <w:sz w:val="22"/>
          <w:u w:val="single"/>
        </w:rPr>
        <w:t>Determinations Under Section 3.01</w:t>
      </w:r>
      <w:r>
        <w:rPr>
          <w:rFonts w:ascii="Times New Roman;sans-serif" w:hAnsi="Times New Roman;sans-serif"/>
          <w:b w:val="false"/>
          <w:color w:val="000000"/>
          <w:sz w:val="22"/>
        </w:rPr>
        <w:t>.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Borrower and the Lenders of the occurrence of the Effective Date.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3.04</w:t>
      </w:r>
      <w:r>
        <w:rPr>
          <w:rFonts w:ascii="Times New Roman;sans-serif" w:hAnsi="Times New Roman;sans-serif"/>
          <w:b w:val="false"/>
          <w:color w:val="000000"/>
          <w:sz w:val="22"/>
          <w:u w:val="single"/>
        </w:rPr>
        <w:t>Existing Credit Agreement</w:t>
      </w:r>
      <w:r>
        <w:rPr>
          <w:rFonts w:ascii="Times New Roman;sans-serif" w:hAnsi="Times New Roman;sans-serif"/>
          <w:b w:val="false"/>
          <w:color w:val="000000"/>
          <w:sz w:val="22"/>
        </w:rPr>
        <w:t>. On the Effective Date, the “Commitments” as defined in the Existing Credit Agreement shall terminate, without further action by any party thereto.</w:t>
      </w:r>
      <w:r>
        <w:rPr>
          <w:color w:val="000000"/>
        </w:rPr>
        <w:t xml:space="preserve"> </w:t>
      </w:r>
      <w:r>
        <w:rPr>
          <w:rFonts w:ascii="Times New Roman;sans-serif" w:hAnsi="Times New Roman;sans-serif"/>
          <w:b w:val="false"/>
          <w:color w:val="000000"/>
          <w:sz w:val="22"/>
        </w:rPr>
        <w:t xml:space="preserve">The Lenders which are parties to the Existing Credit Agreement, comprising the “Required Lenders” as defined in the Existing Credit Agreement hereby waive any requirement of prior notice of termination of the Commitments (as defined in the Existing Credit Agreement) pursuant to Section 2.04 thereof and of prepayment of loans thereunder, to the extent necessary to give effect to Section 3.01(h) hereof,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any such prepayment of loans thereunder shall be subject to Section 2.14 of the Existing Credit Agreement.</w:t>
      </w:r>
    </w:p>
    <w:p>
      <w:pPr>
        <w:pStyle w:val="TextBody"/>
        <w:bidi w:val="0"/>
        <w:spacing w:lineRule="auto" w:line="319" w:before="0" w:after="240"/>
        <w:jc w:val="center"/>
        <w:rPr/>
      </w:pPr>
      <w:r>
        <w:rPr>
          <w:rFonts w:ascii="Times New Roman;sans-serif" w:hAnsi="Times New Roman;sans-serif"/>
          <w:b w:val="false"/>
          <w:color w:val="000000"/>
          <w:sz w:val="22"/>
        </w:rPr>
        <w:t>Article IV</w:t>
      </w:r>
      <w:r>
        <w:rPr>
          <w:rFonts w:ascii="Times New Roman;sans-serif" w:hAnsi="Times New Roman;sans-serif"/>
          <w:b w:val="false"/>
          <w:color w:val="000000"/>
          <w:sz w:val="22"/>
        </w:rPr>
        <w:br/>
        <w:br/>
        <w:t>REPRESENTATIONS AND WARRANTIES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4.01</w:t>
      </w:r>
      <w:r>
        <w:rPr>
          <w:rFonts w:ascii="Times New Roman;sans-serif" w:hAnsi="Times New Roman;sans-serif"/>
          <w:b w:val="false"/>
          <w:color w:val="000000"/>
          <w:sz w:val="22"/>
          <w:u w:val="single"/>
        </w:rPr>
        <w:t>Representations and Warranties of the Borrower</w:t>
      </w:r>
      <w:r>
        <w:rPr>
          <w:rFonts w:ascii="Times New Roman;sans-serif" w:hAnsi="Times New Roman;sans-serif"/>
          <w:b w:val="false"/>
          <w:color w:val="000000"/>
          <w:sz w:val="22"/>
        </w:rPr>
        <w:t>. The Borrower represents and warrants as follows: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is a corporation duly organized, validly existing and in good standing under the laws of its jurisdiction of organization.</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execution, delivery and performance by the Borrower of this Agreement and the Notes to be delivered by it (if any), and the consummation of the transactions contemplated hereby, are within the Borrower’s corporate powers, have been duly authorized by all necessary corporate action on the part of the Borrower, and do not contravene (i) the Borrower’s charter or bylaws or (ii) law or any material contractual restriction binding on the Borrower, except, in the case of this clause (ii), where such violations or contraventions would not reasonably be expected to have a Material Adverse Effect.</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60655"/>
                <wp:effectExtent l="0" t="0" r="0" b="0"/>
                <wp:wrapNone/>
                <wp:docPr id="154" name="Frame1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36</w:t>
                      </w:r>
                    </w:p>
                  </w:txbxContent>
                </v:textbox>
                <w10:wrap type="none"/>
              </v:rect>
            </w:pict>
          </mc:Fallback>
        </mc:AlternateConten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No authorization or approval or other action by, and no notice to or filing with, any governmental authority or regulatory body is required for the due execution, delivery and performance by the Borrower of this Agreement or the Notes to be delivered by it (if any) except (i) those that have been obtained, filed or made or (ii) where the Borrower’s failure to receive, take or make such authorizations, approvals, actions, notices or filings would not reasonably be expected to have a Material Adverse Effect.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This Agreement has been, and each of the Notes to be delivered by it (if any) when delivered hereunder will have been, duly executed and delivered by the Borrower. This Agreement is, and each of the Notes (if any) when delivered hereunder will be, the legal, valid and binding obligation of the Borrower enforceable against the Borrower in accordance with their respective terms except to the extent that the enforceability thereof may be limited by applicable bankruptcy, insolvency, moratorium and other laws affecting creditors’ rights generally and by equitable principles (regardless of whether enforcement in sought in equity or at law).</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(i) The Consolidated balance sheet of the Borrower and its Subsidiaries as at January 31, 2025, and the related Consolidated statements of operations and cash flows of the Borrower and its Subsidiaries for the fiscal year then ended, accompanied by an opinion of Ernst &amp; Young LLP, independent public accountants, copies of which have been made available to each Lender, fairly present in all material respects the Consolidated financial condition of the Borrower and its Subsidiaries as at such date and the Consolidated results of the operations of the Borrower and its Subsidiaries for the periods ended on such date, all in accordance with generally accepted accounting principles consistently applied.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(i)Since January 31, 2025, there has been no Material Adverse Change.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There is no pending or, to the Borrower’s knowledge, threatened in writing, action, suit, investigation, litigation or proceeding, including, without limitation, any Environmental Action, against the Borrower or any of its Subsidiaries before any court, governmental agency or arbitrator that (i) could reasonably be expected to have a Material Adverse Effect or (ii) could reasonably be expected to adversely affect the legality, validity or enforceability of the Loan Documents.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The Borrower is not engaged in the business of extending credit for the purpose of purchasing or carrying margin stock (within the meaning of Regulation U issued by the Board of Governors of the Federal Reserve System), and no proceeds of any Advance will be used to purchase or carry any margin stock or to extend credit to others for the purpose of purchasing or carrying any margin stock.</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Borrower is not required to register as an “investment company” within the meaning of the Investment Company Act of 1940, as amended.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rPr>
        <w:t>No written information, exhibit or report furnished by or on behalf of the Borrower to the Agent or any Lender in connection with the negotiation of this Agreement (other than Projections (as defined below), budgets, estimates and other forward-looking information or information of a general economic or industry nature), when taken together with the Borrower’s filings with the Securities and Exchange Commission, contained when furnished any untrue statement of a material fact or omitted to state a material fact necessary to make the statements made therein not materially misleading. Any projections or pro forma financial information contained in such information, exhibits or reports (the “</w:t>
      </w:r>
      <w:r>
        <w:rPr>
          <w:rFonts w:ascii="Times New Roman;sans-serif" w:hAnsi="Times New Roman;sans-serif"/>
          <w:b w:val="false"/>
          <w:color w:val="000000"/>
          <w:sz w:val="22"/>
          <w:u w:val="single"/>
        </w:rPr>
        <w:t>Projections</w:t>
      </w:r>
      <w:r>
        <w:rPr>
          <w:color w:val="000000"/>
        </w:rPr>
        <w:t>”</w:t>
      </w:r>
      <w:r>
        <w:rPr>
          <w:rFonts w:ascii="Times New Roman;sans-serif" w:hAnsi="Times New Roman;sans-serif"/>
          <w:b w:val="false"/>
          <w:color w:val="000000"/>
          <w:sz w:val="22"/>
        </w:rPr>
        <w:t>) are based upon good faith estimates and assumptions believed by the Borrower to be reasonable at the time made, it being recognized by the Agent and the Lenders that such projections and pro forma information are not to be viewed as facts and that actual results during the period or periods covered thereby may differ from the projected or pro forma results (it being understood that forecasts and projections by their nature involve approximations and uncertainties).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(j)</w:t>
      </w:r>
      <w:r>
        <w:rPr>
          <w:rFonts w:ascii="Times New Roman;sans-serif" w:hAnsi="Times New Roman;sans-serif"/>
          <w:b w:val="false"/>
          <w:color w:val="000000"/>
          <w:sz w:val="22"/>
        </w:rPr>
        <w:t xml:space="preserve">The Borrower has implemented and maintains in effect policies and procedures designed to promote compliance by the Borrower, its Subsidiaries and their respective directors, officers, employees and any agent of the Borrower or any Subsidiary that acts in any capacity in connection with, or benefits from, the credit facility established hereby with Anti-Corruption Laws and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60655"/>
                <wp:effectExtent l="0" t="0" r="0" b="0"/>
                <wp:wrapNone/>
                <wp:docPr id="155" name="Frame1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Sanctions, and the Borrower and its Subsidiaries, and to the knowledge of the Borrower, its officers, employees, directors and any agent of the Borrower or any Subsidiary that acts in any capacity in connection with, or benefits from, the credit facility established hereby,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Anti-Corruption Laws or applicable Sanctions.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(k)</w:t>
      </w:r>
      <w:r>
        <w:rPr>
          <w:rFonts w:ascii="Times New Roman;sans-serif" w:hAnsi="Times New Roman;sans-serif"/>
          <w:b w:val="false"/>
          <w:color w:val="000000"/>
          <w:sz w:val="22"/>
        </w:rPr>
        <w:t>The Borrower is not an Affected Financial Institution.</w:t>
      </w:r>
    </w:p>
    <w:p>
      <w:pPr>
        <w:pStyle w:val="TextBody"/>
        <w:bidi w:val="0"/>
        <w:spacing w:lineRule="auto" w:line="319" w:before="0" w:after="240"/>
        <w:jc w:val="center"/>
        <w:rPr/>
      </w:pPr>
      <w:r>
        <w:rPr>
          <w:rFonts w:ascii="Times New Roman;sans-serif" w:hAnsi="Times New Roman;sans-serif"/>
          <w:b w:val="false"/>
          <w:color w:val="000000"/>
          <w:sz w:val="22"/>
        </w:rPr>
        <w:t>Article V</w:t>
      </w:r>
      <w:r>
        <w:rPr>
          <w:rFonts w:ascii="Times New Roman;sans-serif" w:hAnsi="Times New Roman;sans-serif"/>
          <w:b w:val="false"/>
          <w:color w:val="000000"/>
          <w:sz w:val="22"/>
        </w:rPr>
        <w:br/>
        <w:br/>
        <w:t>COVENANTS OF THE BORROWER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5.01</w:t>
      </w:r>
      <w:r>
        <w:rPr>
          <w:rFonts w:ascii="Times New Roman;sans-serif" w:hAnsi="Times New Roman;sans-serif"/>
          <w:b w:val="false"/>
          <w:color w:val="000000"/>
          <w:sz w:val="22"/>
          <w:u w:val="single"/>
        </w:rPr>
        <w:t>Affirmative Covenants</w:t>
      </w:r>
      <w:r>
        <w:rPr>
          <w:rFonts w:ascii="Times New Roman;sans-serif" w:hAnsi="Times New Roman;sans-serif"/>
          <w:b w:val="false"/>
          <w:color w:val="000000"/>
          <w:sz w:val="22"/>
        </w:rPr>
        <w:t>. So long as any Advance shall remain unpaid or any Lender shall have any Commitment hereunder, the Borrower will:</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Compliance with Laws, Etc</w:t>
      </w:r>
      <w:r>
        <w:rPr>
          <w:rFonts w:ascii="Times New Roman;sans-serif" w:hAnsi="Times New Roman;sans-serif"/>
          <w:b w:val="false"/>
          <w:color w:val="000000"/>
          <w:sz w:val="22"/>
        </w:rPr>
        <w:t>. Comply, and cause each of its Subsidiaries to comply, with all applicable laws, rules, regulations and orders, such compliance to include, without limitation, compliance with ERISA, Environmental Laws and the Patriot Act, except in each case where failure to comply would not reasonably be expected to have a Material Adverse Effect; and maintain in effect and enforce policies and procedures designed to promote compliance by the Borrower, its Subsidiaries and their respective directors, officers, employees and any agent of the Borrower or any Subsidiary that acts in any capacity in connection with, or benefits from, the credit facility established hereby with Anti-Corruption Laws and applicable Sanctions.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Payment of Taxes, Etc</w:t>
      </w:r>
      <w:r>
        <w:rPr>
          <w:rFonts w:ascii="Times New Roman;sans-serif" w:hAnsi="Times New Roman;sans-serif"/>
          <w:b w:val="false"/>
          <w:color w:val="000000"/>
          <w:sz w:val="22"/>
        </w:rPr>
        <w:t xml:space="preserve">. Pay and discharge, and cause each of its Subsidiaries to pay and discharge, before the same shall become delinquent, all taxes, assessments and governmental charges or levies imposed upon it or upon its property;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neither the Borrower nor any of its Subsidiaries shall be required to pay or discharge any such tax, assessment, charge or levy (i) that is being contested in good faith and by proper proceedings and as to which appropriate reserves are being maintained to the extent required by generally accepted accounting principles or (ii) if the failure to make any such payment or discharge any of the foregoing would not reasonably be expected to have a Material Adverse Effect.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Maintenance of Insurance</w:t>
      </w:r>
      <w:r>
        <w:rPr>
          <w:rFonts w:ascii="Times New Roman;sans-serif" w:hAnsi="Times New Roman;sans-serif"/>
          <w:b w:val="false"/>
          <w:color w:val="000000"/>
          <w:sz w:val="22"/>
        </w:rPr>
        <w:t xml:space="preserve">. Maintain, and cause each of its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Subsidiary operates;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w:t>
      </w:r>
      <w:r>
        <w:rPr>
          <w:color w:val="000000"/>
          <w:u w:val="single"/>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the Borrower and its Subsidiaries may self-insure to the same extent as other companies engaged in similar businesses and owing similar properties in the same general areas in which the Borrower or such Subsidiary operates and to the extent consistent with prudent business practice.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Preservation of Corporate Existence, Etc</w:t>
      </w:r>
      <w:r>
        <w:rPr>
          <w:rFonts w:ascii="Times New Roman;sans-serif" w:hAnsi="Times New Roman;sans-serif"/>
          <w:b w:val="false"/>
          <w:color w:val="000000"/>
          <w:sz w:val="22"/>
        </w:rPr>
        <w:t xml:space="preserve">. Preserve and maintain, and cause each of its Subsidiaries to preserve and maintain, its corporate or other organizational existence and the rights (charter and statutory) and franchises material to its business;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the Borrower and its Subsidiaries may consummate any transaction permitted under Section 5.02(b) and any Subsidiary of the Borrower may be merged with any other Subsidiary of the Borrower or may be liquidated, wound up or dissolved;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neither the Borrower nor any of its Subsidiaries shall be required to preserve any such right or franchise if the failure to do so would not reasonably be expected to have a Material Adverse Effect.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Visitation Rights</w:t>
      </w:r>
      <w:r>
        <w:rPr>
          <w:rFonts w:ascii="Times New Roman;sans-serif" w:hAnsi="Times New Roman;sans-serif"/>
          <w:b w:val="false"/>
          <w:color w:val="000000"/>
          <w:sz w:val="22"/>
        </w:rPr>
        <w:t xml:space="preserve">. At any reasonable time during regular business hours and from time to time, upon reasonable notice, permit the Agent or any of the Lenders or any agents or representatives thereof, to examine and make copies of and abstracts from the records and books of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60655"/>
                <wp:effectExtent l="0" t="0" r="0" b="0"/>
                <wp:wrapNone/>
                <wp:docPr id="156" name="Frame1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account of, and visit the properties of, the Borrower and any of its Subsidiaries, and to discuss the affairs, finances and accounts of the Borrower and any of its Subsidiaries with any of their officers or directors and with their independent certified public accountants provided that (x) unless an Event of Default has occurred and is continuing, no Lender may conduct more than one visit, examination or inspection per year, (y) an officer of the Borrower shall be present during any discussions with any independent public accountants, and (z) all such visits, examinations or inspections shall be coordinated through the Agent and shall not unreasonably interfere with the operations of the Borrower and its Subsidiaries. Notwithstanding anything to the contrary in this Section 5.01(e), neither the Borrower nor any of its Subsidiaries will be required to disclose, permit the inspection, examination or making of extracts, or discussion of, any document, information or other matter that (i) constitutes non-financial trade secrets or non-financial proprietary information, (ii) in respect of which disclosure to Agent or any Lender (or its respective designated representative) is then prohibited by applicable law or any agreement binding on the Borrower or any of its Subsidiaries or (iii) is subject to attorney-client or similar privilege or constitutes attorney work product.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Keeping of Books</w:t>
      </w:r>
      <w:r>
        <w:rPr>
          <w:rFonts w:ascii="Times New Roman;sans-serif" w:hAnsi="Times New Roman;sans-serif"/>
          <w:b w:val="false"/>
          <w:color w:val="000000"/>
          <w:sz w:val="22"/>
        </w:rPr>
        <w:t>. Keep, and cause each of its Subsidiaries to keep, proper books of record and account, in which entries correct and accurate in all material respects and sufficient to prepare financial statements in accordance with generally accepted accounting principles in effect from time to time shall be made.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u w:val="single"/>
        </w:rPr>
        <w:t>Maintenance of Properties, Etc</w:t>
      </w:r>
      <w:r>
        <w:rPr>
          <w:rFonts w:ascii="Times New Roman;sans-serif" w:hAnsi="Times New Roman;sans-serif"/>
          <w:b w:val="false"/>
          <w:color w:val="000000"/>
          <w:sz w:val="22"/>
        </w:rPr>
        <w:t>. Maintain and preserve, and cause each of its Subsidiaries to maintain and preserve, all of its properties that are used or useful in the conduct of its business in good working order and condition, ordinary wear and tear, condemnation and casualty excepted, in each case except where the failure to do so would not have a Material Adverse Effect.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[Reserved].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Reporting Requirements</w:t>
      </w:r>
      <w:r>
        <w:rPr>
          <w:rFonts w:ascii="Times New Roman;sans-serif" w:hAnsi="Times New Roman;sans-serif"/>
          <w:b w:val="false"/>
          <w:color w:val="000000"/>
          <w:sz w:val="22"/>
        </w:rPr>
        <w:t>. Furnish to the Agent (for distribution to the Lenders):</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(i)within 45 days after the end of each of the first three quarters of each fiscal year of the Borrower, the Consolidated balance sheet of the Borrower and its Subsidiaries as of the end of such quarter and Consolidated statements of operations and cash flows of the Borrower and its Subsidiaries for the period commencing at the end of the previous fiscal year and ending with the end of such quarter, duly certified (subject to year-end audit adjustments and absence of footnotes) by the chief financial officer of the Borrower as having been prepared in accordance with generally accepted accounting principles (it being agreed that delivery of the Borrower’s Quarterly Report on Form 10-Q will satisfy this requirement, which such report shall be deemed to have been delivered hereunder on the date on which the Borrower files such report with the Securities and Exchange Commission) and a certificate of the chief financial officer or other financial officer of the Borrower certifying whether a Default exists and setting forth in reasonable detail the calculations of the financial covenant set forth in Section 5.03 applicable for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(ii)within 90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operations and cash flows of the Borrower and its Subsidiaries for such fiscal year, in each case accompanied by an opinion of Ernst &amp; Young LLP or other independent public accountants of national standing (without a “going concern” or like qualification or exception and without any qualification or exception as to the scope of such audit other than any qualification or exception related to (i) an upcoming maturity date in respect of any Debt or (ii) any potential inability to satisfy any financial maintenance covenant on a future date in a </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60655"/>
                <wp:effectExtent l="0" t="0" r="0" b="0"/>
                <wp:wrapNone/>
                <wp:docPr id="157"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39</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future period) to the effect that such Consolidated financial statements fairly present in all material respects its financial condition and results of operations on a Consolidated basis in accordance with generally accepted accounting principles consistently applied (it being agreed that delivery of the Borrower’s Annual Report on Form 10-K will satisfy this requirement, which such report shall be deemed to have been delivered hereunder on the date on which Borrower files such report with the Securities and Exchange Commission) and a certificate of the chief financial officer or other financial officer of the Borrower as to whether a Default exists and setting forth in reasonable detail the calculations of the financial covenant set forth in Section 5.03 applicable for such period,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in the event of any change in generally accepted accounting principles used in the preparation of such financial statements, the Borrower shall also provide, if necessary for the determination of compliance with Section 5.03, a statement of reconciliation conforming such financial statements to GAAP;</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(iii)promptly and in any event within five days after the occurrence of each Default continuing on the date of such statement, a statement of the chief financial officer or other executive officer of the Borrower setting forth details of such Default and the action that the Borrower has taken and proposes to take with respect thereto;</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(iv)promptly after the filing thereof, copies of all reports and registration statements that the Borrower or any Subsidiary files with the Securities and Exchange Commission or any national securities exchange and not otherwise required to be delivered to the Agent pursuant hereto;</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(v)promptly after the commencement thereof, notice of all actions and proceedings before any court, governmental agency or arbitrator against the Borrower or any of its Subsidiaries of the type described in Section 4.01(f)(ii);</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(vi)promptly following any request in writing therefor, information and documentation reasonably requested by the Agent or any Lender for purposes of compliance with applicable “know your customer” and anti-money-laundering rules and regulations, including, without limitation, the Patriot Act and the Beneficial Ownership Regulation (if applicable);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(vii)such other information respecting the Borrower or any of its Subsidiaries as any Lender through the Agent may from time to time reasonably request.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Documents required to be delivered pursuant to clauses (i), (ii), (iv) and (v) of this Section 5.01(i) may be delivered electronically and if so delivered, shall be deemed to have been delivered on the date on which such documents are filed for public availability on the Securities and Exchange Commission’s Electronic Data Gathering and Retrieval System;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upon request provide to the Agent by electronic mail electronic versions (i.e., soft copies or links to access such documents) of such documents.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5.02</w:t>
      </w:r>
      <w:r>
        <w:rPr>
          <w:rFonts w:ascii="Times New Roman;sans-serif" w:hAnsi="Times New Roman;sans-serif"/>
          <w:b w:val="false"/>
          <w:color w:val="000000"/>
          <w:sz w:val="22"/>
          <w:u w:val="single"/>
        </w:rPr>
        <w:t>Negative Covenants</w:t>
      </w:r>
      <w:r>
        <w:rPr>
          <w:rFonts w:ascii="Times New Roman;sans-serif" w:hAnsi="Times New Roman;sans-serif"/>
          <w:b w:val="false"/>
          <w:color w:val="000000"/>
          <w:sz w:val="22"/>
        </w:rPr>
        <w:t>. So long as any Advance shall remain unpaid or any Lender shall have any Commitment hereunder, the Borrower will not: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Liens, Etc</w:t>
      </w:r>
      <w:r>
        <w:rPr>
          <w:rFonts w:ascii="Times New Roman;sans-serif" w:hAnsi="Times New Roman;sans-serif"/>
          <w:b w:val="false"/>
          <w:color w:val="000000"/>
          <w:sz w:val="22"/>
        </w:rPr>
        <w:t>. Create or suffer to exist, or permit any of its Subsidiaries to create or suffer to exist, any Lien on or with respect to any of its properties, whether now owned or hereafter acquired, other than:</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(i)Permitted Liens,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(ii)purchase money Liens and Liens in respect of Capital Lease Obligations upon or in any real property or equipment (including any accessions, additions, parts, replacements, fixtures, improvements and attachments thereto and the proceeds thereof, </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60655"/>
                <wp:effectExtent l="0" t="0" r="0" b="0"/>
                <wp:wrapNone/>
                <wp:docPr id="158"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40</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and customary cash security deposits) acquired or held by the Borrower or any Subsidiary to secure the purchase price of such property or equipment or to secure obligations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amount (as may be increased by an amount equal to any accrued and unpaid interest thereon, any premium or other amount paid and any fees and expenses incurred in connection with such extension, renewal or replacement) or a lesser amount,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no such Lien shall extend to or cover any properties of any character other than the real property or equipment being acquired or held (and any accessions, addition, parts, replacements, fixtures, improvements and attachments thereto and the proceeds thereof, and customary cash security deposits), and no such extension, renewal or replacement shall extend to or cover any properties not theretofore subject to the Lien being extended, renewed or replaced (and any accessions, additions, parts, replacements, fixtures, improvements and attachments thereto and the proceeds thereof, and customary cash security deposits),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(iii)the Liens existing on the Effective Date,</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(iv)Liens on property of a Person existing at the time such Person is merged into or consolidated with the Borrower or any Subsidiary of the Borrower or becomes a Subsidiary of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Liens were not created in contemplation of such merger, consolidation or acquisition and do not extend to any assets other than those of the Person (and its Subsidiaries) so merged into or consolidated with the Borrower or such Subsidiary or acquired by the Borrower or such Subsidiary,</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(v)other Liens securing obligations;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outstanding principal amount of the obligations secured by Liens permitted in reliance on this clause (v), together with (but without duplication of) the aggregate principal amount of Debt incurred and then outstanding under Section 5.02(e)(iv), does not exceed the greater of (x) 15% of Consolidated Tangible Assets as of the end of the fiscal quarter ended immediately prior to the date such obligations are incurred or secured for which financial statements of the Borrower are available and (y) $750,000,000 at any time outstanding,</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(vi)statutory, common law or customary contractual liens of depository institutions or institutions holding securities accounts (including rights of set-off or similar rights or remedies),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(vii)Liens to secure the performance of tenders, statutory obligations, surety and appeal bonds, bids, leases, government contracts, contracts for the purchase of property, performance and return-of-money bonds, and other similar obligations,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(viii)any interest or title of a lessor, sublessor, licensor or sublicensor under any lease, license, or similar agreement, as applicable,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(ix)Liens on cash earnest money deposits or escrow deposits made by the Borrower or any of its Subsidiaries in connection with any letter of intent or purchase agreement,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(x)purported Liens evidenced by the filing of precautionary UCC financing statements relating solely to operating leases of personal property entered into in the ordinary course of business,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(xi)Liens in favor of customs and revenue authorities arising as a matter of law to secure payment of customs duties in connection with the importation of goods,</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60655"/>
                <wp:effectExtent l="0" t="0" r="0" b="0"/>
                <wp:wrapNone/>
                <wp:docPr id="159"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41</w:t>
                      </w:r>
                    </w:p>
                  </w:txbxContent>
                </v:textbox>
                <w10:wrap type="none"/>
              </v:rect>
            </w:pict>
          </mc:Fallback>
        </mc:AlternateConten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(xii)licenses and sublicenses of patents, trademarks, copyrights and other intellectual property rights granted by the Borrower or any of its Subsidiaries in the ordinary course of business,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(xiii)Liens securing judgments or orders not constituting an Event of Default under Section 6.01(f) or securing appeal or other surety bonds or similar instruments with respect to such judgments,</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(xiv)Liens on property (and the proceeds thereof) at the time acquired by the Borrower or any of its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Lien does not extend to any other property of the Borrower or any of its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that the Lien shall not have been created in anticipation of or in connection with such transaction or series of transactions pursuant to which such property was acquired by the Borrower or any of its Subsidiaries,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(xv)leases or subleases granted to others in the ordinary course of business which do not interfere in any material respect with the business operations of the Borrower and its Subsidiaries, taken as a whole,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(xvi)customary Liens granted in favor of a trustee to secure fees and other amounts owing to such trustee under an indenture or other agreement,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(xvii)Liens, if any, arising under leases that have been or should be, in accordance with GAAP, recorded as finance leases,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(xviii)deposits as security for contested taxes or contested import or customs duties,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(xix)the replacement, extension or renewal of any Lien permitted by clause (iii), (iv), (v) or (xiv) above upon or in the same property theretofore subject thereto (and any accessions, additions, parts, replacements, fixtures, improvements and attachments thereto and the proceeds thereof, and customary cash security deposits) or the replacement, extension or renewal (without increase in the amount (other than by an amount equal to any accrued and unpaid interest thereon, any premium or other amount paid and any fees and expenses incurred in connection with such replacement, extension or replacement) or change in any direct or contingent obligor) of the Debt secured thereby,</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(xx)Liens securing obligations under Hedge Agreements entered into in the ordinary course of business and not for speculative purposes, and Liens arising under repurchase agreements, reverse repurchase agreements, securities lending and borrowing arrangements and similar arrangements, in each case, in the ordinary course of business, </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(xxi)Liens to secure intercompany obligations among the Borrower and its Subsidiaries and between Subsidiaries,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(xxii)in the case of any Person that is not a wholly-owned Subsidiary, any encumbrances or restrictions, including any put and call arrangements, related to equity interests in such Person set forth in the organizational documents of such Person or any related joint venture, shareholders’ or similar agreement.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Mergers, Etc</w:t>
      </w:r>
      <w:r>
        <w:rPr>
          <w:rFonts w:ascii="Times New Roman;sans-serif" w:hAnsi="Times New Roman;sans-serif"/>
          <w:b w:val="false"/>
          <w:color w:val="000000"/>
          <w:sz w:val="22"/>
        </w:rPr>
        <w:t xml:space="preserve">. Merge or consolidate with or into, or convey, transfer, lease or otherwise dispose of (whether in one transaction or in a series of transactions) all or substantially all of the assets (whether now owned or hereafter acquired) of the Borrower and its Subsidiaries taken as a whole to, any Person, except that (i) any Subsidiary of the Borrower may merge or consolidate with or into the Borrower so long as the Borrower is the surviving entity in such merger or consolidation and (ii) the Borrower may merge or consolidate with or into any other Person so long as the Borrower is the surviving Person and remains organized under the laws of any state or political subdivision of the United </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60655"/>
                <wp:effectExtent l="0" t="0" r="0" b="0"/>
                <wp:wrapNone/>
                <wp:docPr id="160"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42</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States,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no Default shall have occurred and be continuing at the time of such transaction or would immediately result therefrom.</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[Reserved].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Material Change in Nature of Business</w:t>
      </w:r>
      <w:r>
        <w:rPr>
          <w:rFonts w:ascii="Times New Roman;sans-serif" w:hAnsi="Times New Roman;sans-serif"/>
          <w:b w:val="false"/>
          <w:color w:val="000000"/>
          <w:sz w:val="22"/>
        </w:rPr>
        <w:t>. Make, or permit any of its Subsidiaries to, taken as a whole, make, any material change in the nature of their businesses as carried on at the date hereof, it being understood that the foregoing shall not restrict the Borrower and its Subsidiaries from carrying on any business that is related, ancillary, incidental, or complementary thereto or a reasonable extension thereof.</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Subsidiary Debt</w:t>
      </w:r>
      <w:r>
        <w:rPr>
          <w:rFonts w:ascii="Times New Roman;sans-serif" w:hAnsi="Times New Roman;sans-serif"/>
          <w:b w:val="false"/>
          <w:color w:val="000000"/>
          <w:sz w:val="22"/>
        </w:rPr>
        <w:t>. Permit any of its Subsidiaries to create or suffer to exist any Debt other than:</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(i)Debt owed to the Borrower or to a Subsidiary of the Borrower,</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(ii)[reserved],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(iii)Debt secured by Liens permitted by Section 5.02(a)(ii) or (xiv),</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(iv)other Debt of the Borrower’s Subsidiaries;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aggregate outstanding principal amount of Debt permitted in reliance on this clause (iv), together with (but without duplication of) the aggregate principal outstanding amount of obligations secured by Liens permitted under Section 5.02(a)(v), does not exceed the greater of (x) 15% of Consolidated Tangible Assets as of the end of the fiscal quarter ended immediately prior to the date such Debt was incurred for which financial statements of the Borrower are available and (y) $750,000,000 at any time outstanding,</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(v)endorsement of negotiable instruments for deposit or collection or similar transactions in the ordinary course of business,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(vi)guaranties of any Debt otherwise permitted under this Section 5.02(e),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(vii)Debt arising under Hedge Agreements entered into in the normal course of business and not for speculative purposes;</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(viii)Debt of a Person that becomes a Subsidiary after the date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Debt exists at the time such Person becomes a Subsidiary and is not created in contemplation of or in connection with such Person becoming a Subsidiary,</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(ix)Debt arising in connection with customary cash management services and from the honoring by a bank or financial institution of a check, draft or similar instrument drawn against insufficient funds, in each case in the ordinary course of business; </w:t>
      </w:r>
      <w:r>
        <w:rPr>
          <w:rFonts w:ascii="Times New Roman;sans-serif" w:hAnsi="Times New Roman;sans-serif"/>
          <w:b w:val="false"/>
          <w:color w:val="000000"/>
          <w:sz w:val="22"/>
          <w:u w:val="single"/>
        </w:rPr>
        <w:t xml:space="preserve">provided </w:t>
      </w:r>
      <w:r>
        <w:rPr>
          <w:rFonts w:ascii="Times New Roman;sans-serif" w:hAnsi="Times New Roman;sans-serif"/>
          <w:b w:val="false"/>
          <w:color w:val="000000"/>
          <w:sz w:val="22"/>
        </w:rPr>
        <w:t>that such Debt is extinguished within five Business Days after its incurrence,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(x)Debt with respect to surety, appeal, indemnity, performance or other similar bonds in the ordinary course of business or with respect to agreements providing for indemnification or adjustment of purchase price,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(xi)Debt as an account party in respect of trade or standby letters of credit, bank guarantees or bankers’ acceptances in an aggregate amount not to exceed the greater of (x) 5.0% of Consolidated Tangible Assets as of the end of the fiscal quarter ended immediately prior to the date such Debt was incurred for which financial statements of the Borrower are available and (y) $100,000,000 at any time outstanding,</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60655"/>
                <wp:effectExtent l="0" t="0" r="0" b="0"/>
                <wp:wrapNone/>
                <wp:docPr id="161"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43</w:t>
                      </w:r>
                    </w:p>
                  </w:txbxContent>
                </v:textbox>
                <w10:wrap type="none"/>
              </v:rect>
            </w:pict>
          </mc:Fallback>
        </mc:AlternateConten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(xii)any bankers’ acceptance, bank guarantees, letter of credit, warehouse receipt or similar facilities entered into in the ordinary course of business (including in respect of workers compensation claims, health, disability or other employee benefits or property, casualty or liability insurance or self-insurance or other obligations with respect to reimbursement type obligations regarding workers compensation claims), but not in respect of Debt,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(xiii)Debt in respect of netting services, business credit card programs, purchase cards or “p-cards”, automatic clearinghouse arrangements or other fund transfer or payment processing services, overdraft protections, other treasury, depository and cash management services and similar arrangements incurred in the ordinary course of business.</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u w:val="single"/>
        </w:rPr>
        <w:t>Use of Proceeds</w:t>
      </w:r>
      <w:r>
        <w:rPr>
          <w:rFonts w:ascii="Times New Roman;sans-serif" w:hAnsi="Times New Roman;sans-serif"/>
          <w:b w:val="false"/>
          <w:color w:val="000000"/>
          <w:sz w:val="22"/>
        </w:rPr>
        <w:t>. Request any Borrowing, or use, or permit its Subsidiaries or its or their respective directors, officers, employees and any agent of the Borrower or any Subsidiary that acts in any capacity in connection with, or benefits from, the credit facility established hereby to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businesses or transaction would be prohibited by Sanctions if conducted by a corporation incorporated in the United States, the United Kingdom or in a European Union member state, or (iii) in any manner that would result in the violation of any Sanctions applicable to any party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5.03</w:t>
      </w:r>
      <w:r>
        <w:rPr>
          <w:rFonts w:ascii="Times New Roman;sans-serif" w:hAnsi="Times New Roman;sans-serif"/>
          <w:b w:val="false"/>
          <w:color w:val="000000"/>
          <w:sz w:val="22"/>
          <w:u w:val="single"/>
        </w:rPr>
        <w:t>Financial Covenant</w:t>
      </w:r>
      <w:r>
        <w:rPr>
          <w:rFonts w:ascii="Times New Roman;sans-serif" w:hAnsi="Times New Roman;sans-serif"/>
          <w:b w:val="false"/>
          <w:color w:val="000000"/>
          <w:sz w:val="22"/>
        </w:rPr>
        <w:t>. So long as any Advance shall remain unpaid or any Lender shall have any Commitment hereunder, the Borrower will not permit, as of the last day of any fiscal quarter of the Borrower, commencing with the fiscal quarter ending July 31, 2025, the ratio of (i) Consolidated Covenant Debt as of such day to (ii) Consolidated EBITDA for the four consecutive fiscal quarters of the Borrower ending on such day (such ratio, the “</w:t>
      </w:r>
      <w:r>
        <w:rPr>
          <w:rFonts w:ascii="Times New Roman;sans-serif" w:hAnsi="Times New Roman;sans-serif"/>
          <w:b w:val="false"/>
          <w:color w:val="000000"/>
          <w:sz w:val="22"/>
          <w:u w:val="single"/>
        </w:rPr>
        <w:t>Leverage Ratio</w:t>
      </w:r>
      <w:r>
        <w:rPr>
          <w:color w:val="000000"/>
        </w:rPr>
        <w:t>”</w:t>
      </w:r>
      <w:r>
        <w:rPr>
          <w:rFonts w:ascii="Times New Roman;sans-serif" w:hAnsi="Times New Roman;sans-serif"/>
          <w:b w:val="false"/>
          <w:color w:val="000000"/>
          <w:sz w:val="22"/>
        </w:rPr>
        <w:t xml:space="preserve">), to exceed 3.50:1.00;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upon written notice (such notice, an “</w:t>
      </w:r>
      <w:r>
        <w:rPr>
          <w:rFonts w:ascii="Times New Roman;sans-serif" w:hAnsi="Times New Roman;sans-serif"/>
          <w:b w:val="false"/>
          <w:color w:val="000000"/>
          <w:sz w:val="22"/>
          <w:u w:val="single"/>
        </w:rPr>
        <w:t>Increase Leverage Notice</w:t>
      </w:r>
      <w:r>
        <w:rPr>
          <w:color w:val="000000"/>
        </w:rPr>
        <w:t>”</w:t>
      </w:r>
      <w:r>
        <w:rPr>
          <w:rFonts w:ascii="Times New Roman;sans-serif" w:hAnsi="Times New Roman;sans-serif"/>
          <w:b w:val="false"/>
          <w:color w:val="000000"/>
          <w:sz w:val="22"/>
        </w:rPr>
        <w:t xml:space="preserve">) to the Agent from the Borrower that a Material Acquisition has been consummated, the maximum Leverage Ratio permitted pursuant to this Section 5.03 shall be increased to 4.00:1.00 for the last day of each of the four consecutive fiscal quarters following the consummation of such Material Acquisition;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following such four consecutive fiscal quarters for which the maximum Leverage Ratio is increased, the maximum Leverage Ratio permitted pursuant to this Section 5.03 shall revert to 3.50:1.00 for not fewer than two consecutive fiscal quarters before a subsequent Increase Leverage Notice is delivered to the Agent.</w:t>
      </w:r>
    </w:p>
    <w:p>
      <w:pPr>
        <w:pStyle w:val="TextBody"/>
        <w:bidi w:val="0"/>
        <w:spacing w:lineRule="auto" w:line="319" w:before="0" w:after="240"/>
        <w:jc w:val="center"/>
        <w:rPr/>
      </w:pPr>
      <w:r>
        <w:rPr>
          <w:rFonts w:ascii="Times New Roman;sans-serif" w:hAnsi="Times New Roman;sans-serif"/>
          <w:b w:val="false"/>
          <w:color w:val="000000"/>
          <w:sz w:val="22"/>
        </w:rPr>
        <w:t>Article VI</w:t>
      </w:r>
      <w:r>
        <w:rPr>
          <w:rFonts w:ascii="Times New Roman;sans-serif" w:hAnsi="Times New Roman;sans-serif"/>
          <w:b w:val="false"/>
          <w:color w:val="000000"/>
          <w:sz w:val="22"/>
        </w:rPr>
        <w:br/>
        <w:br/>
        <w:t>EVENTS OF DEFAULT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6.01</w:t>
      </w:r>
      <w:r>
        <w:rPr>
          <w:rFonts w:ascii="Times New Roman;sans-serif" w:hAnsi="Times New Roman;sans-serif"/>
          <w:b w:val="false"/>
          <w:color w:val="000000"/>
          <w:sz w:val="22"/>
          <w:u w:val="single"/>
        </w:rPr>
        <w:t>Events of Default</w:t>
      </w:r>
      <w:r>
        <w:rPr>
          <w:rFonts w:ascii="Times New Roman;sans-serif" w:hAnsi="Times New Roman;sans-serif"/>
          <w:b w:val="false"/>
          <w:color w:val="000000"/>
          <w:sz w:val="22"/>
        </w:rPr>
        <w:t>. If any of the following events (“</w:t>
      </w:r>
      <w:r>
        <w:rPr>
          <w:rFonts w:ascii="Times New Roman;sans-serif" w:hAnsi="Times New Roman;sans-serif"/>
          <w:b w:val="false"/>
          <w:color w:val="000000"/>
          <w:sz w:val="22"/>
          <w:u w:val="single"/>
        </w:rPr>
        <w:t>Events of Default</w:t>
      </w:r>
      <w:r>
        <w:rPr>
          <w:color w:val="000000"/>
        </w:rPr>
        <w:t>”</w:t>
      </w:r>
      <w:r>
        <w:rPr>
          <w:rFonts w:ascii="Times New Roman;sans-serif" w:hAnsi="Times New Roman;sans-serif"/>
          <w:b w:val="false"/>
          <w:color w:val="000000"/>
          <w:sz w:val="22"/>
        </w:rPr>
        <w:t>) shall occur and be continuing:</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shall fail to pay any principal of any Advance when the same becomes due and payable; or the Borrower shall fail to pay any interest on any Advance or make any other payment of fees or other amounts payable under this Agreement or any Note (if any) within five Business Days after the same becomes due and payable; 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Any representation or warranty made by the Borrower herein or in connection with this Agreement shall prove to have been incorrect in any material respect when made; 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 xml:space="preserve">(i) The Borrower shall fail to perform or observe any term, covenant or agreement contained in Section 5.01(d) (as to the existence of the Borrower), 5.01(i)(iii), 5.02 or 5.03, or (ii) the Borrower shall fail to perform or observe any other term, covenant or agreement contained in this Agreement on its part to be performed or observed if such failure shall remain unremedied for 30 days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60655"/>
                <wp:effectExtent l="0" t="0" r="0" b="0"/>
                <wp:wrapNone/>
                <wp:docPr id="162"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after written notice thereof shall have been given to the Borrower by the Agent or the Required Lenders; 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(i) The Borrower or any of its Subsidiaries shall fail to pay any principal of or premium or interest on any Debt that is outstanding in a principal amount or, in the case of Hedge Agreements, net obligations (determined as of any date as the amount such Person would be required to pay to its counterparty in accordance with the terms thereof as if terminated on such date of determination after giving effect to any netting arrangement relating to such Hedge Agreement) of at least $200,000,000 in the aggregate (but excluding Debt outstanding hereunder) of the Borrower or such Subsidiary (as the case may be) (“</w:t>
      </w:r>
      <w:r>
        <w:rPr>
          <w:rFonts w:ascii="Times New Roman;sans-serif" w:hAnsi="Times New Roman;sans-serif"/>
          <w:b w:val="false"/>
          <w:color w:val="000000"/>
          <w:sz w:val="22"/>
          <w:u w:val="single"/>
        </w:rPr>
        <w:t>Material Debt</w:t>
      </w:r>
      <w:r>
        <w:rPr>
          <w:color w:val="000000"/>
        </w:rPr>
        <w:t>”</w:t>
      </w:r>
      <w:r>
        <w:rPr>
          <w:rFonts w:ascii="Times New Roman;sans-serif" w:hAnsi="Times New Roman;sans-serif"/>
          <w:b w:val="false"/>
          <w:color w:val="000000"/>
          <w:sz w:val="22"/>
        </w:rPr>
        <w:t xml:space="preserve">), when the same becomes due and payable (whether by scheduled maturity, required prepayment, acceleration, demand or otherwise), and such failure shall continue after the applicable grace period, if any, specified in the agreement or instrument relating to such Material Debt; or (ii) the Borrower or any of its Subsidiaries breaches or defaults in the observance or performance of any other agreement or condition relating to any such Material Debt or any “change of control” (or equivalent term) with respect to the Borrower shall occur with respect to such Material Debt, the effect of which is to (x) cause, or to permit the holder or holders of such Material Debt (or a trustee or agent on behalf of such holder or holders) to cause (after the expiration of any grace period), with the giving of notice (if required), such Material Debt to become due prior to its scheduled maturity or (y) cause (after the expiration of any grace period), with the giving of notice if required, the Borrower or any of its Subsidiaries to purchase or redeem or make an offer to purchase or redeem such Material Debt prior to its scheduled maturity;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clause (d)(ii) shall not apply to secured Debt that becomes due as a result of the voluntary sale or transfer of the property or assets securing such Debt; 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The Borrower or any of its Subsidiaries (other than an Immaterial Subsidiary) shall generally not pay its debts as such debts become due, or shall admit in writing its inability to pay its debts generally, or shall make a general assignment for the benefit of creditors; or any proceeding shall be instituted by or against the Borrower or any of its Subsidiaries (other than an Immaterial Subsidiary) seeking to adjudicate it as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for a period of 60 days, or any of the actions sought in such proceeding (including, without limitation, the entry of an order for relief against, or the appointment of a receiver, trustee, custodian or other similar official for, it or for any substantial part of its property) shall occur; or the Borrower or any of its Subsidiaries (other than an Immaterial Subsidiary) shall take any corporate action to authorize any of the actions set forth above in this subsection (e); 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 xml:space="preserve">Final judgments or orders for the payment of money in excess of $200,000,000 in the aggregate shall be rendered against the Borrower or any of its Subsidiaries and either (i) enforcement proceedings shall have been commenced by any creditor upon such judgment or order (and such execution shall not be paid, bonded or effectively stayed) or (ii) there shall be any period of 60 consecutive days during which such judgment is not paid or bonded and a stay of enforcement of such judgment or order, by reason of a pending appeal or otherwise, is not in effect; </w:t>
      </w:r>
      <w:r>
        <w:rPr>
          <w:rFonts w:ascii="Times New Roman;sans-serif" w:hAnsi="Times New Roman;sans-serif"/>
          <w:b w:val="false"/>
          <w:color w:val="000000"/>
          <w:sz w:val="22"/>
          <w:u w:val="single"/>
        </w:rPr>
        <w:t>provided, however</w:t>
      </w:r>
      <w:r>
        <w:rPr>
          <w:rFonts w:ascii="Times New Roman;sans-serif" w:hAnsi="Times New Roman;sans-serif"/>
          <w:b w:val="false"/>
          <w:color w:val="000000"/>
          <w:sz w:val="22"/>
        </w:rPr>
        <w:t>, that any such judgment or order shall not be an Event of Default under this Section 6.01(f) to the extent that the amount of such judgment or order (or portion thereof) is paid or is covered by a valid and binding policy of insurance as to which the insurer does not dispute coverage; 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(g)</w:t>
      </w:r>
      <w:r>
        <w:rPr>
          <w:rFonts w:ascii="Times New Roman;sans-serif" w:hAnsi="Times New Roman;sans-serif"/>
          <w:b w:val="false"/>
          <w:color w:val="000000"/>
          <w:sz w:val="22"/>
        </w:rPr>
        <w:t>(i) Any Person or two or more Persons acting in concert shall have acquired beneficial ownership (within the meaning of Rule 13d-3 of the Securities and Exchange Commission under the Exchange Act), directly or indirectly, of Voting Stock of the Borrower representing 40% or more of the combined voting power of all Voting Stock of the Borrower; or (ii) occupation of a majority of the seats (other than vacant seats) on the board of directors of the Borrower by Persons who were neither (i) (x) directors of the Borrower on the date of this Agreement, (y) nominated or appointed by the board of directors of the Borrower or (z) approved by the board of directors of the Borrower for consideration by the stockholders for election nor (ii) appointed by directors so nominated, appointed or approved; or</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60655"/>
                <wp:effectExtent l="0" t="0" r="0" b="0"/>
                <wp:wrapNone/>
                <wp:docPr id="163"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45</w:t>
                      </w:r>
                    </w:p>
                  </w:txbxContent>
                </v:textbox>
                <w10:wrap type="none"/>
              </v:rect>
            </w:pict>
          </mc:Fallback>
        </mc:AlternateConten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(h)</w:t>
      </w:r>
      <w:r>
        <w:rPr>
          <w:rFonts w:ascii="Times New Roman;sans-serif" w:hAnsi="Times New Roman;sans-serif"/>
          <w:b w:val="false"/>
          <w:color w:val="000000"/>
          <w:sz w:val="22"/>
        </w:rPr>
        <w:t>The Borrower or any of its ERISA Affiliates shall incur, or shall be reasonably likely to incur liability in excess of $200,000,000 in the aggregate as a result of one or more ERISA Events;</w:t>
      </w:r>
    </w:p>
    <w:p>
      <w:pPr>
        <w:pStyle w:val="TextBody"/>
        <w:bidi w:val="0"/>
        <w:spacing w:lineRule="auto" w:line="288" w:before="0" w:after="240"/>
        <w:jc w:val="both"/>
        <w:rPr/>
      </w:pPr>
      <w:r>
        <w:rPr>
          <w:rFonts w:ascii="Times New Roman;sans-serif" w:hAnsi="Times New Roman;sans-serif"/>
          <w:b w:val="false"/>
          <w:color w:val="000000"/>
          <w:sz w:val="22"/>
        </w:rPr>
        <w:t xml:space="preserve">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Advances, all interest thereon and all other amounts payable under this Agreement to be forthwith due and payable, whereupon the Advances, all such interest and all such amounts shall become and be forthwith due and payable, without presentment, demand, protest or further notice of any kind, all of which are hereby expressly waived by the Borrower;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that in the event of an actual or deemed entry of an order for relief with respect to the Borrower under the United States Federal Bankruptcy Code, (A) the obligation of each Lender to make Advances shall automatically be terminated and (B) the Advances, all such interest and all such amounts shall automatically become and be due and payable, without presentment, demand, protest or any notice of any kind, all of which are hereby expressly waived by the Borrower.</w:t>
      </w:r>
    </w:p>
    <w:p>
      <w:pPr>
        <w:pStyle w:val="TextBody"/>
        <w:bidi w:val="0"/>
        <w:spacing w:lineRule="auto" w:line="319" w:before="0" w:after="240"/>
        <w:jc w:val="center"/>
        <w:rPr/>
      </w:pPr>
      <w:r>
        <w:rPr>
          <w:rFonts w:ascii="Times New Roman;sans-serif" w:hAnsi="Times New Roman;sans-serif"/>
          <w:b w:val="false"/>
          <w:color w:val="000000"/>
          <w:sz w:val="22"/>
        </w:rPr>
        <w:t>Article VII</w:t>
      </w:r>
      <w:r>
        <w:rPr>
          <w:rFonts w:ascii="Times New Roman;sans-serif" w:hAnsi="Times New Roman;sans-serif"/>
          <w:b w:val="false"/>
          <w:color w:val="000000"/>
          <w:sz w:val="22"/>
        </w:rPr>
        <w:br/>
        <w:br/>
        <w:t>THE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7.01</w:t>
      </w:r>
      <w:r>
        <w:rPr>
          <w:rFonts w:ascii="Times New Roman;sans-serif" w:hAnsi="Times New Roman;sans-serif"/>
          <w:b w:val="false"/>
          <w:color w:val="000000"/>
          <w:sz w:val="22"/>
          <w:u w:val="single"/>
        </w:rPr>
        <w:t>Appointment and Authority</w:t>
      </w:r>
      <w:r>
        <w:rPr>
          <w:rFonts w:ascii="Times New Roman;sans-serif" w:hAnsi="Times New Roman;sans-serif"/>
          <w:b w:val="false"/>
          <w:color w:val="000000"/>
          <w:sz w:val="22"/>
        </w:rPr>
        <w:t>. Each of the Lenders hereby irrevocably appoints Citibank to act on its behalf as the Agent hereunder and authorizes the Agent to take such actions on its behalf and to exercise such powers as are delegated to the Agent by the terms hereof, together with such actions and powers as are reasonably incidental thereto. The provisions of this Article (other than Section 7.07) are solely for the benefit of the Agent and the Lenders, and the Borrower shall not have rights as a third-party beneficiary of any of such provisions. It is understood and agreed that the use of the term “agent” herein (or any other similar term) with reference to the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7.02</w:t>
      </w:r>
      <w:r>
        <w:rPr>
          <w:rFonts w:ascii="Times New Roman;sans-serif" w:hAnsi="Times New Roman;sans-serif"/>
          <w:b w:val="false"/>
          <w:color w:val="000000"/>
          <w:sz w:val="22"/>
          <w:u w:val="single"/>
        </w:rPr>
        <w:t>Rights as a Lender</w:t>
      </w:r>
      <w:r>
        <w:rPr>
          <w:rFonts w:ascii="Times New Roman;sans-serif" w:hAnsi="Times New Roman;sans-serif"/>
          <w:b w:val="false"/>
          <w:color w:val="000000"/>
          <w:sz w:val="22"/>
        </w:rPr>
        <w:t>. The Person serving as the Agent hereunder shall have the same rights and powers in its capacity as a Lender as any other Lender and may exercise the same as though it were not the Agent, and the term “Lender” or “Lenders” shall, unless otherwise expressly indicated or unless the context otherwise requires, include the Person serving as the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Agent hereunder and without any duty to account therefor to the Lenders.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7.03</w:t>
      </w:r>
      <w:r>
        <w:rPr>
          <w:rFonts w:ascii="Times New Roman;sans-serif" w:hAnsi="Times New Roman;sans-serif"/>
          <w:b w:val="false"/>
          <w:color w:val="000000"/>
          <w:sz w:val="22"/>
          <w:u w:val="single"/>
        </w:rPr>
        <w:t>Exculpatory Provisions</w:t>
      </w:r>
      <w:r>
        <w:rPr>
          <w:rFonts w:ascii="Times New Roman;sans-serif" w:hAnsi="Times New Roman;sans-serif"/>
          <w:b w:val="false"/>
          <w:color w:val="000000"/>
          <w:sz w:val="22"/>
        </w:rPr>
        <w:t>. (a) The Agent shall not have any duties or obligations except those expressly set forth herein, and its duties hereunder shall be administrative in nature. Without limiting the generality of the foregoing, the Agent: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(i)shall not be subject to any fiduciary or other implied duties, regardless of whether a Default has occurred and is continuing;</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(ii)shall not have any duty to take any discretionary action or exercise any discretionary powers, except discretionary rights and powers expressly contemplated hereby that the Agent is required to exercise as directed in writing by the Required Lenders (or such other number or percentage of the Lenders as shall be expressly provided for herein);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Agent shall not be required to take any action that, in its opinion or the opinion of its counsel, may expose the Agent to liability or that </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60655"/>
                <wp:effectExtent l="0" t="0" r="0" b="0"/>
                <wp:wrapNone/>
                <wp:docPr id="164"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46</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is contrary to this Agreement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(iii)shall not, except as expressly set forth herein, have any duty to disclose, and shall not be liable for the failure to disclose, any information relating to the Borrower or any of its Affiliates that is communicated to or obtained by the Person serving as the Agent or any of its Affiliates in any capacity.</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Agent shall not be liable for any action taken or not taken by it (i) with the consent or at the request of the Required Lenders (or such other number or percentage of the Lenders as shall be necessary, or as the Agent shall believe in good faith shall be necessary, under the circumstances as provided in Sections 8.01 and 6.01), or (ii) in the absence of its own gross negligence or willful misconduct as determined by a court of competent jurisdiction by final and nonappealable judgment. The Agent shall be deemed not to have knowledge of any Default unless and until notice describing such Default is given to the Agent in writing by the Borrower or a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Agent shall not be responsible for or have any duty to ascertain or inquire into (i) any statement, warranty or representation made in or in connection with this Agreement,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agreement, instrument or document, or (v) the satisfaction of any condition set forth in Article III or elsewhere herein, other than to confirm receipt of items expressly required to be delivered to the Agent.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7.04</w:t>
      </w:r>
      <w:r>
        <w:rPr>
          <w:rFonts w:ascii="Times New Roman;sans-serif" w:hAnsi="Times New Roman;sans-serif"/>
          <w:b w:val="false"/>
          <w:color w:val="000000"/>
          <w:sz w:val="22"/>
          <w:u w:val="single"/>
        </w:rPr>
        <w:t>Reliance by Agent</w:t>
      </w:r>
      <w:r>
        <w:rPr>
          <w:rFonts w:ascii="Times New Roman;sans-serif" w:hAnsi="Times New Roman;sans-serif"/>
          <w:b w:val="false"/>
          <w:color w:val="000000"/>
          <w:sz w:val="22"/>
        </w:rPr>
        <w:t>. The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Agent also may rely upon any statement made to it orally or by telephone and believed by it to have been made by the proper Person, and shall not incur any liability for relying thereon. In determining compliance with any condition hereunder to the making of an Advance that by its terms must be fulfilled to the satisfaction of a Lender, the Agent may presume that such condition is satisfactory to such Lender unless the Agent shall have received notice to the contrary from such Lender prior to the making of such Advance.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7.05</w:t>
      </w:r>
      <w:r>
        <w:rPr>
          <w:rFonts w:ascii="Times New Roman;sans-serif" w:hAnsi="Times New Roman;sans-serif"/>
          <w:b w:val="false"/>
          <w:color w:val="000000"/>
          <w:sz w:val="22"/>
          <w:u w:val="single"/>
        </w:rPr>
        <w:t>Indemnification</w:t>
      </w:r>
      <w:r>
        <w:rPr>
          <w:rFonts w:ascii="Times New Roman;sans-serif" w:hAnsi="Times New Roman;sans-serif"/>
          <w:b w:val="false"/>
          <w:color w:val="000000"/>
          <w:sz w:val="22"/>
        </w:rPr>
        <w:t>. The Lenders agree to indemnify the Agent (for the purposes of this Section 7.05, the “</w:t>
      </w:r>
      <w:r>
        <w:rPr>
          <w:rFonts w:ascii="Times New Roman;sans-serif" w:hAnsi="Times New Roman;sans-serif"/>
          <w:b w:val="false"/>
          <w:color w:val="000000"/>
          <w:sz w:val="22"/>
          <w:u w:val="single"/>
        </w:rPr>
        <w:t>Indemnified Agent</w:t>
      </w:r>
      <w:r>
        <w:rPr>
          <w:color w:val="000000"/>
        </w:rPr>
        <w:t>”</w:t>
      </w:r>
      <w:r>
        <w:rPr>
          <w:rFonts w:ascii="Times New Roman;sans-serif" w:hAnsi="Times New Roman;sans-serif"/>
          <w:b w:val="false"/>
          <w:color w:val="000000"/>
          <w:sz w:val="22"/>
        </w:rPr>
        <w:t>) (to the extent not reimbursed by the Borrower following demand therefor), ratably according to the respective principal amounts of the Advances then owed to each of them (or if no Advances are at the time outstanding, ratably according to the respective amounts of their Commitments at the time demand is made), from and against any and all claims, damages, losses, liabilities and expenses (including, without limitation, reasonable fees and expenses of counsel but subject to any limitations otherwise set forth in this Agreement) incurred by or asserted or awarded against the Indemnified Agent in any way relating to or arising out of this Agreement or any action taken or omitted by the Indemnified Agent under this Agreement except to the extent such claim, damage, loss, liability or expense is found in a final, non-appealable judgment by a court of competent jurisdiction to have resulted from (x) the Indemnified Agent’s gross negligence, bad faith or willful misconduct or (y) the material breach in bad faith by the Indemnified Agent of its express obligations under this Agreement (collectively, the “</w:t>
      </w:r>
      <w:r>
        <w:rPr>
          <w:rFonts w:ascii="Times New Roman;sans-serif" w:hAnsi="Times New Roman;sans-serif"/>
          <w:b w:val="false"/>
          <w:color w:val="000000"/>
          <w:sz w:val="22"/>
          <w:u w:val="single"/>
        </w:rPr>
        <w:t>Indemnified Costs</w:t>
      </w:r>
      <w:r>
        <w:rPr>
          <w:color w:val="000000"/>
        </w:rPr>
        <w:t>”</w:t>
      </w:r>
      <w:r>
        <w:rPr>
          <w:rFonts w:ascii="Times New Roman;sans-serif" w:hAnsi="Times New Roman;sans-serif"/>
          <w:b w:val="false"/>
          <w:color w:val="000000"/>
          <w:sz w:val="22"/>
        </w:rPr>
        <w:t xml:space="preserve">). Without limitation of the foregoing, each Lender agrees to reimburse the Indemnified Agent promptly upon demand for its ratable share of any out of pocket expenses (including reasonable counsel fees) incurred by the Indemnified Agent in connection with the preparation, execution, delivery, administration, modification, amendment or enforcement (whether through negotiations, legal proceedings or otherwise) of, or legal advice in respect of rights or responsibilities under, this Agreement, to the extent that the Indemnified Agent is not reimbursed for such </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60655"/>
                <wp:effectExtent l="0" t="0" r="0" b="0"/>
                <wp:wrapNone/>
                <wp:docPr id="165"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expenses by the Borrower. In the case of any investigation, litigation or proceeding giving rise to any Indemnified Costs, this Section 7.05 applies whether any such investigation, litigation or proceeding is brought by the Indemnified Agent, any Lender or a third party. This Section 7.05 shall not apply with respect to taxes other than any taxes that represent losses or damages arising from any non-tax claim.</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7.06</w:t>
      </w:r>
      <w:r>
        <w:rPr>
          <w:rFonts w:ascii="Times New Roman;sans-serif" w:hAnsi="Times New Roman;sans-serif"/>
          <w:b w:val="false"/>
          <w:color w:val="000000"/>
          <w:sz w:val="22"/>
          <w:u w:val="single"/>
        </w:rPr>
        <w:t>Delegation of Duties</w:t>
      </w:r>
      <w:r>
        <w:rPr>
          <w:rFonts w:ascii="Times New Roman;sans-serif" w:hAnsi="Times New Roman;sans-serif"/>
          <w:b w:val="false"/>
          <w:color w:val="000000"/>
          <w:sz w:val="22"/>
        </w:rPr>
        <w:t>. The Agent may perform any and all of its duties and exercise its rights and powers hereunder by or through any one or more sub-agents appointed by the Agent. The Agent and any such sub-agent may perform any and all of its duties and exercise its rights and powers by or through their respective Related Parties. The exculpatory provisions of this Article shall apply to any such sub-agent and to the Related Parties of the Agent and any such sub-agent, and shall apply to their respective activities in connection with the syndication of the Commitments as well as activities as Agent. The Agent shall not be responsible for the negligence or misconduct of any sub-agents except to the extent that a court of competent jurisdiction determines in a final and non-appealable judgment that the Agent acted with gross negligence or willful misconduct in the selection of such sub-agents.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7.07</w:t>
      </w:r>
      <w:r>
        <w:rPr>
          <w:rFonts w:ascii="Times New Roman;sans-serif" w:hAnsi="Times New Roman;sans-serif"/>
          <w:b w:val="false"/>
          <w:color w:val="000000"/>
          <w:sz w:val="22"/>
          <w:u w:val="single"/>
        </w:rPr>
        <w:t>Resignation of Agent</w:t>
      </w:r>
      <w:r>
        <w:rPr>
          <w:rFonts w:ascii="Times New Roman;sans-serif" w:hAnsi="Times New Roman;sans-serif"/>
          <w:b w:val="false"/>
          <w:color w:val="000000"/>
          <w:sz w:val="22"/>
        </w:rPr>
        <w:t>. (a) The Agent may at any time give notice of its resignation to the Lenders and the Borrower, which resignation shall be effective on the Resignation Effective Date. Upon receipt of any such notice of resignation, the Required Lenders shall have the right to appoint a successor which is, so long as no Event of Default under Section 6.01(a) or Section 6.01(e) is continuing, reasonably acceptable to the Borrower, which shall be a bank with an office in the United States, or an Affiliate of any such bank with an office in the United States. If no such successor shall have been so appointed by the Required Lenders and shall have accepted such appointment within 30 days after the retiring Agent gives notice of its resignation (or such earlier day as shall be agreed by the Required Lenders) (the “</w:t>
      </w:r>
      <w:r>
        <w:rPr>
          <w:rFonts w:ascii="Times New Roman;sans-serif" w:hAnsi="Times New Roman;sans-serif"/>
          <w:b w:val="false"/>
          <w:color w:val="000000"/>
          <w:sz w:val="22"/>
          <w:u w:val="single"/>
        </w:rPr>
        <w:t>Resignation Effective Date</w:t>
      </w:r>
      <w:r>
        <w:rPr>
          <w:color w:val="000000"/>
        </w:rPr>
        <w:t>”</w:t>
      </w:r>
      <w:r>
        <w:rPr>
          <w:rFonts w:ascii="Times New Roman;sans-serif" w:hAnsi="Times New Roman;sans-serif"/>
          <w:b w:val="false"/>
          <w:color w:val="000000"/>
          <w:sz w:val="22"/>
        </w:rPr>
        <w:t>), then the retiring Agent may (but shall not be obligated to), on behalf of the Lenders, appoint a successor Agent meeting the qualifications set forth above.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If a Person serving as Agent is a Defaulting Lender pursuant to clause (v) of the definition thereof, the Required Lenders may, to the extent permitted by applicable law, by notice in writing to the Borrower and such Person remove such Person as Agent and appoint a successor which is, so long as no Event of Default under Section 6.01(a) or Section 6.01(e) is continuing, reasonably acceptable to the Borrower. If no such successor shall have been so appointed by the Required Lenders and shall have accepted such appointment within 30 days (or such earlier day as shall be agreed by the Required Lenders) (the “</w:t>
      </w:r>
      <w:r>
        <w:rPr>
          <w:rFonts w:ascii="Times New Roman;sans-serif" w:hAnsi="Times New Roman;sans-serif"/>
          <w:b w:val="false"/>
          <w:color w:val="000000"/>
          <w:sz w:val="22"/>
          <w:u w:val="single"/>
        </w:rPr>
        <w:t>Removal Effective Date</w:t>
      </w:r>
      <w:r>
        <w:rPr>
          <w:color w:val="000000"/>
        </w:rPr>
        <w:t>”</w:t>
      </w:r>
      <w:r>
        <w:rPr>
          <w:rFonts w:ascii="Times New Roman;sans-serif" w:hAnsi="Times New Roman;sans-serif"/>
          <w:b w:val="false"/>
          <w:color w:val="000000"/>
          <w:sz w:val="22"/>
        </w:rPr>
        <w:t>), then such removal shall nonetheless become effective in accordance with such notice on the Removal Effective Date.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With effect from the Resignation Effective Date or the Removal Effective Date (as applicable) (1) the retiring or removed Agent shall be discharged from its duties and obligations hereunder and (2) all payments, communications and determinations provided to be made by, to or through the Agent shall instead be made by or to each Lender directly, until such time, if any, as the Required Lenders appoint a successor Agent as provided for above. Upon the acceptance of a successor’s appointment as Agent hereunder, such successor shall succeed to and become vested with all of the rights, powers, privileges and duties of the retiring or removed Agent, and the retiring or removed Agent shall be discharged from all of its duties and obligations hereunder. The fees payable by the Borrower to a successor Agent shall be the same as those payable to its predecessor unless otherwise agreed between the Borrower and such successor. After the retiring or removed Agent’s resignation or removal hereunder, the provisions of this Article and Section 8.04 shall continue in effect for the benefit of such retiring or removed Agent, its sub-agents and their respective Related Parties in respect of any actions taken or omitted to be taken by any of them while the retiring or removed Agent was acting as Agent, respectively.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7.08</w:t>
      </w:r>
      <w:r>
        <w:rPr>
          <w:rFonts w:ascii="Times New Roman;sans-serif" w:hAnsi="Times New Roman;sans-serif"/>
          <w:b w:val="false"/>
          <w:color w:val="000000"/>
          <w:sz w:val="22"/>
          <w:u w:val="single"/>
        </w:rPr>
        <w:t>Non-Reliance on Agent and Other Lenders</w:t>
      </w:r>
      <w:r>
        <w:rPr>
          <w:rFonts w:ascii="Times New Roman;sans-serif" w:hAnsi="Times New Roman;sans-serif"/>
          <w:b w:val="false"/>
          <w:color w:val="000000"/>
          <w:sz w:val="22"/>
        </w:rPr>
        <w:t xml:space="preserve">. Each Lender acknowledges that it has, independently and without reliance upon the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Agent or any other Lender or any of their Related Parties and based on such documents and information as it shall from time to time deem appropriate, continue to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60655"/>
                <wp:effectExtent l="0" t="0" r="0" b="0"/>
                <wp:wrapNone/>
                <wp:docPr id="166"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48</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make its own decisions in taking or not taking action under or based upon this Agreement or any related agreement or any document furnished hereunder or thereunder.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7.09</w:t>
      </w:r>
      <w:r>
        <w:rPr>
          <w:rFonts w:ascii="Times New Roman;sans-serif" w:hAnsi="Times New Roman;sans-serif"/>
          <w:b w:val="false"/>
          <w:color w:val="000000"/>
          <w:sz w:val="22"/>
          <w:u w:val="single"/>
        </w:rPr>
        <w:t>No Other Duties, etc</w:t>
      </w:r>
      <w:r>
        <w:rPr>
          <w:rFonts w:ascii="Times New Roman;sans-serif" w:hAnsi="Times New Roman;sans-serif"/>
          <w:b w:val="false"/>
          <w:color w:val="000000"/>
          <w:sz w:val="22"/>
        </w:rPr>
        <w:t>. Anything herein to the contrary notwithstanding, none of the Bookrunners, Arrangers or syndication agents, if any, listed on the cover page hereof shall have any powers, duties or responsibilities under this Agreement, except in its capacity, as applicable, as the Agent or a Lender hereunder.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7.10</w:t>
      </w:r>
      <w:r>
        <w:rPr>
          <w:rFonts w:ascii="Times New Roman;sans-serif" w:hAnsi="Times New Roman;sans-serif"/>
          <w:b w:val="false"/>
          <w:color w:val="000000"/>
          <w:sz w:val="22"/>
          <w:u w:val="single"/>
        </w:rPr>
        <w:t>Certain Lender ERISA Matters</w:t>
      </w:r>
      <w:r>
        <w:rPr>
          <w:rFonts w:ascii="Times New Roman;sans-serif" w:hAnsi="Times New Roman;sans-serif"/>
          <w:b w:val="false"/>
          <w:color w:val="000000"/>
          <w:sz w:val="22"/>
        </w:rPr>
        <w:t>. (a) Each Lender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that at least one of the following is and will be true: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(i)such Lender is not using “plan assets” (within the meaning of Section 3(42) of ERISA or otherwise) of one or more Benefit Plans with respect to such Lender’s entrance into, participation in, administration of and performance of the Advances the Commitments or this Agreement,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Commitments and this Agreement,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and (k)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(iv)such other representation, warranty and covenant as may be agreed in writing between the Agent, in its sole discretion, and such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and not, for the avoidance of doubt, to or for the benefit of the Borrower, that the Agent is not a fiduciary with respect to the assets of such Lender involved in such Lender’s entrance into, participation in, administration of and performance of the Advances, the Commitments and this Agreement (including in connection with the reservation or exercise of any rights by the Agent under this Agreement, any other Loan Document or any documents related hereto or thereto).</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 used in this Section, the following terms shall have the following meanings:</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60655"/>
                <wp:effectExtent l="0" t="0" r="0" b="0"/>
                <wp:wrapNone/>
                <wp:docPr id="167"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49</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u w:val="single"/>
        </w:rPr>
        <w:t>Benefit Plan</w:t>
      </w:r>
      <w:r>
        <w:rPr>
          <w:color w:val="000000"/>
        </w:rPr>
        <w:t xml:space="preserve">” </w:t>
      </w:r>
      <w:r>
        <w:rPr>
          <w:rFonts w:ascii="Times New Roman;sans-serif" w:hAnsi="Times New Roman;sans-serif"/>
          <w:b w:val="false"/>
          <w:color w:val="000000"/>
          <w:sz w:val="22"/>
        </w:rPr>
        <w:t>means any of (a) an “employee benefit plan” (as defined in ERISA) that is subject to Title I of ERISA, (b) a “plan” as defined in and subject to Section 4975 of the Internal Revenue Code or (c) any Person whose assets include (for purposes of ERISA Section 3(42) or otherwise for purposes of Title I of ERISA or Section 4975 of the Internal Revenue Code) the assets of any such “employee benefit plan” or “plan”.</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2"/>
          <w:u w:val="single"/>
        </w:rPr>
        <w:t>PTE</w:t>
      </w:r>
      <w:r>
        <w:rPr>
          <w:color w:val="000000"/>
        </w:rPr>
        <w:t xml:space="preserve">” </w:t>
      </w:r>
      <w:r>
        <w:rPr>
          <w:rFonts w:ascii="Times New Roman;sans-serif" w:hAnsi="Times New Roman;sans-serif"/>
          <w:b w:val="false"/>
          <w:color w:val="000000"/>
          <w:sz w:val="22"/>
        </w:rPr>
        <w:t>means a prohibited transaction class exemption issued by the U.S. Department of Labor, as any such exemption may be amended from time to time.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7.11</w:t>
      </w:r>
      <w:r>
        <w:rPr>
          <w:rFonts w:ascii="Times New Roman;sans-serif" w:hAnsi="Times New Roman;sans-serif"/>
          <w:b w:val="false"/>
          <w:color w:val="000000"/>
          <w:sz w:val="22"/>
          <w:u w:val="single"/>
        </w:rPr>
        <w:t>Recovery of Erroneous Payments</w:t>
      </w:r>
      <w:r>
        <w:rPr>
          <w:rFonts w:ascii="Times New Roman;sans-serif" w:hAnsi="Times New Roman;sans-serif"/>
          <w:b w:val="false"/>
          <w:color w:val="000000"/>
          <w:sz w:val="22"/>
        </w:rPr>
        <w:t>. (a) If the Agent (x) notifies a Lender, or any Person who has received funds on behalf of a Lender (any such Lender or other recipient (and each of their respective successors and assigns), a “</w:t>
      </w:r>
      <w:r>
        <w:rPr>
          <w:rFonts w:ascii="Times New Roman;sans-serif" w:hAnsi="Times New Roman;sans-serif"/>
          <w:b w:val="false"/>
          <w:color w:val="000000"/>
          <w:sz w:val="22"/>
          <w:u w:val="single"/>
        </w:rPr>
        <w:t>Payment Recipient</w:t>
      </w:r>
      <w:r>
        <w:rPr>
          <w:color w:val="000000"/>
        </w:rPr>
        <w:t>”</w:t>
      </w:r>
      <w:r>
        <w:rPr>
          <w:rFonts w:ascii="Times New Roman;sans-serif" w:hAnsi="Times New Roman;sans-serif"/>
          <w:b w:val="false"/>
          <w:color w:val="000000"/>
          <w:sz w:val="22"/>
        </w:rPr>
        <w:t>) that the Agent has determined in its sole discretion (whether or not after receipt of any notice under immediately succeeding clause (b)) that any funds (as set forth in such notice from the Agent) received by such Payment Recipient from the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sans-serif" w:hAnsi="Times New Roman;sans-serif"/>
          <w:b w:val="false"/>
          <w:color w:val="000000"/>
          <w:sz w:val="22"/>
          <w:u w:val="single"/>
        </w:rPr>
        <w:t>Erroneous Payment</w:t>
      </w:r>
      <w:r>
        <w:rPr>
          <w:color w:val="000000"/>
        </w:rPr>
        <w:t>”</w:t>
      </w:r>
      <w:r>
        <w:rPr>
          <w:rFonts w:ascii="Times New Roman;sans-serif" w:hAnsi="Times New Roman;sans-serif"/>
          <w:b w:val="false"/>
          <w:color w:val="000000"/>
          <w:sz w:val="22"/>
        </w:rPr>
        <w:t>) and (y) demands in writing the return of such Erroneous Payment (or a portion thereof), such Erroneous Payment shall at all times remain the property of the Agent pending its return or repayment as contemplated below in this Section 7.11 and held in trust for the benefit of the Agent, and such Lender shall (or, with respect to any Payment Recipient who received such funds on its behalf, shall cause such Payment Recipient to) promptly, but in no event later than two Business Days thereafter (or such later date as the Agent may, in its sole discretion, specify in writing), return to the Agent the amount of any such Erroneous Payment (or portion thereof) as to which such a demand was made, in same day funds (in the currency so received), together with interest thereon (except to the extent waived in writing by the Agent) in respect of each day from and including the date such Erroneous Payment (or portion thereof) was received by such Payment Recipient to the date such amount is repaid to the Agent in same day funds at the greater of the Federal Funds Rate and a rate determined by the Agent in accordance with banking industry rules on interbank compensation from time to time in effect. A notice of the Agent to any Payment Recipient under this clause (a) shall be conclusive, absent manifest error.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Without limiting immediately preceding clause (a), each Lender or any Person who has received funds on behalf of a Lender (and each of their respective successors and assigns), agrees that if it receives a payment, prepayment or repayment (whether received as a payment, prepayment or repayment of principal, interest, fees, distribution or otherwise) from the Agent (or any of its Affiliates) (x) that is in a different amount than, or on a different date from, that specified in this Agreement or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or other such recipient, otherwise becomes aware was transmitted, or received, in error or by mistake (in whole or in part), then in each such case:</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(i)it acknowledges and agrees that (A) in the case of immediately preceding clauses </w:t>
      </w:r>
      <w:r>
        <w:rPr>
          <w:rFonts w:ascii="Times New Roman;sans-serif" w:hAnsi="Times New Roman;sans-serif"/>
          <w:b w:val="false"/>
          <w:color w:val="000000"/>
          <w:sz w:val="22"/>
          <w:u w:val="single"/>
        </w:rPr>
        <w:t>(x)</w:t>
      </w:r>
      <w:r>
        <w:rPr>
          <w:color w:val="000000"/>
        </w:rPr>
        <w:t xml:space="preserve"> </w:t>
      </w:r>
      <w:r>
        <w:rPr>
          <w:rFonts w:ascii="Times New Roman;sans-serif" w:hAnsi="Times New Roman;sans-serif"/>
          <w:b w:val="false"/>
          <w:color w:val="000000"/>
          <w:sz w:val="22"/>
        </w:rPr>
        <w:t xml:space="preserve">or </w:t>
      </w:r>
      <w:r>
        <w:rPr>
          <w:rFonts w:ascii="Times New Roman;sans-serif" w:hAnsi="Times New Roman;sans-serif"/>
          <w:b w:val="false"/>
          <w:color w:val="000000"/>
          <w:sz w:val="22"/>
          <w:u w:val="single"/>
        </w:rPr>
        <w:t>(y)</w:t>
      </w:r>
      <w:r>
        <w:rPr>
          <w:rFonts w:ascii="Times New Roman;sans-serif" w:hAnsi="Times New Roman;sans-serif"/>
          <w:b w:val="false"/>
          <w:color w:val="000000"/>
          <w:sz w:val="22"/>
        </w:rPr>
        <w:t xml:space="preserve">, an error and mistake shall be presumed to have been made (absent written confirmation from the Agent to the contrary) or (B) an error and mistake has been made (in the case of immediately preceding </w:t>
      </w:r>
      <w:r>
        <w:rPr>
          <w:rFonts w:ascii="Times New Roman;sans-serif" w:hAnsi="Times New Roman;sans-serif"/>
          <w:b w:val="false"/>
          <w:color w:val="000000"/>
          <w:sz w:val="22"/>
          <w:u w:val="single"/>
        </w:rPr>
        <w:t>clause (z)</w:t>
      </w:r>
      <w:r>
        <w:rPr>
          <w:rFonts w:ascii="Times New Roman;sans-serif" w:hAnsi="Times New Roman;sans-serif"/>
          <w:b w:val="false"/>
          <w:color w:val="000000"/>
          <w:sz w:val="22"/>
        </w:rPr>
        <w:t>), in each case, with respect to such payment, prepayment or repayment; and</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 xml:space="preserve">(ii)such Lender shall (and shall use commercially reasonable efforts to cause any other recipient that receives funds on its respective behalf to) promptly (and, in all events, within one Business Day of its knowledge of the occurrence of any of the circumstances described in immediately preceding </w:t>
      </w:r>
      <w:r>
        <w:rPr>
          <w:rFonts w:ascii="Times New Roman;sans-serif" w:hAnsi="Times New Roman;sans-serif"/>
          <w:b w:val="false"/>
          <w:color w:val="000000"/>
          <w:sz w:val="22"/>
          <w:u w:val="single"/>
        </w:rPr>
        <w:t>clauses (x)</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(y)</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(z)</w:t>
      </w:r>
      <w:r>
        <w:rPr>
          <w:rFonts w:ascii="Times New Roman;sans-serif" w:hAnsi="Times New Roman;sans-serif"/>
          <w:b w:val="false"/>
          <w:color w:val="000000"/>
          <w:sz w:val="22"/>
        </w:rPr>
        <w:t>) notify the Agent of its receipt of such payment, prepayment or repayment, the details thereof (in reasonable detail) and that it is so notifying the Agent pursuant to this Section 7.11(b).</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60655"/>
                <wp:effectExtent l="0" t="0" r="0" b="0"/>
                <wp:wrapNone/>
                <wp:docPr id="168"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50</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the failure to deliver a notice to the Agent pursuant to this Section 7.11(b) shall not have any effect on a Payment Recipient’s obligations pursuant to Section 7.11(a) or on whether or not an Erroneous Payment has been made.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 xml:space="preserve">Each Lender hereby authorizes the Agent to set off, net and apply any and all amounts at any time owing to such Lender under any Loan Document, or otherwise payable or distributable by the Agent to such Lender under any Loan Document with respect to any payment of principal, interest, fees or other amounts, against any amount that the Agent has demanded to be returned under immediately preceding </w:t>
      </w:r>
      <w:r>
        <w:rPr>
          <w:rFonts w:ascii="Times New Roman;sans-serif" w:hAnsi="Times New Roman;sans-serif"/>
          <w:b w:val="false"/>
          <w:color w:val="000000"/>
          <w:sz w:val="22"/>
          <w:u w:val="single"/>
        </w:rPr>
        <w:t>clause (a)</w:t>
      </w:r>
      <w:r>
        <w:rPr>
          <w:rFonts w:ascii="Times New Roman;sans-serif" w:hAnsi="Times New Roman;sans-serif"/>
          <w:b w:val="false"/>
          <w:color w:val="000000"/>
          <w:sz w:val="22"/>
        </w:rPr>
        <w:t>.</w:t>
      </w:r>
    </w:p>
    <w:p>
      <w:pPr>
        <w:pStyle w:val="TextBody"/>
        <w:bidi w:val="0"/>
        <w:spacing w:lineRule="auto" w:line="240" w:before="0" w:after="240"/>
        <w:ind w:left="0" w:right="0" w:firstLine="1800"/>
        <w:jc w:val="both"/>
        <w:rPr>
          <w:rFonts w:ascii="Times New Roman;sans-serif" w:hAnsi="Times New Roman;sans-serif"/>
          <w:b w:val="false"/>
          <w:color w:val="000000"/>
          <w:sz w:val="22"/>
        </w:rPr>
      </w:pPr>
      <w:r>
        <w:rPr>
          <w:rFonts w:ascii="Times New Roman;sans-serif" w:hAnsi="Times New Roman;sans-serif"/>
          <w:b w:val="false"/>
          <w:color w:val="000000"/>
          <w:sz w:val="22"/>
        </w:rPr>
        <w:t>(c)</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(i)In the event that an Erroneous Payment (or portion thereof) is not recovered by the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sans-serif" w:hAnsi="Times New Roman;sans-serif"/>
          <w:b w:val="false"/>
          <w:color w:val="000000"/>
          <w:sz w:val="22"/>
          <w:u w:val="single"/>
        </w:rPr>
        <w:t>Erroneous Payment Return Deficiency</w:t>
      </w:r>
      <w:r>
        <w:rPr>
          <w:color w:val="000000"/>
        </w:rPr>
        <w:t>”</w:t>
      </w:r>
      <w:r>
        <w:rPr>
          <w:rFonts w:ascii="Times New Roman;sans-serif" w:hAnsi="Times New Roman;sans-serif"/>
          <w:b w:val="false"/>
          <w:color w:val="000000"/>
          <w:sz w:val="22"/>
        </w:rPr>
        <w:t>), upon the Agent’s notice to such Lender at any time, then effective immediately (with the consideration therefor being acknowledged by the parties hereto), (A) such Lender shall be deemed to have assigned its Advances (but not its Commitments) in an amount equal to the Erroneous Payment Return Deficiency (or such lesser amount as the Agent may specify) (such assignment of the Advances (but not Commitments), the “</w:t>
      </w:r>
      <w:r>
        <w:rPr>
          <w:rFonts w:ascii="Times New Roman;sans-serif" w:hAnsi="Times New Roman;sans-serif"/>
          <w:b w:val="false"/>
          <w:color w:val="000000"/>
          <w:sz w:val="22"/>
          <w:u w:val="single"/>
        </w:rPr>
        <w:t>Erroneous Payment Deficiency Assignment</w:t>
      </w:r>
      <w:r>
        <w:rPr>
          <w:color w:val="000000"/>
        </w:rPr>
        <w:t>”</w:t>
      </w:r>
      <w:r>
        <w:rPr>
          <w:rFonts w:ascii="Times New Roman;sans-serif" w:hAnsi="Times New Roman;sans-serif"/>
          <w:b w:val="false"/>
          <w:color w:val="000000"/>
          <w:sz w:val="22"/>
        </w:rPr>
        <w:t>) (on a cashless basis and such amount calculated at par plus any accrued and unpaid interest (with the assignment fee to be waived by the Agent in such instance)), and is hereby (together with the Borrower) deemed to execute and deliver an Assignment and Assumption (or, to the extent applicable, an agreement incorporating an Assignment and Assumption by reference pursuant to an electronic platform as to which the Agent and such parties are participants) with respect to such Erroneous Payment Deficiency Assignment, and such Lender shall deliver any Notes evidencing such Advances to the Borrower or the Agent (but the failure of such Person to deliver any such Notes shall not affect the effectiveness of the foregoing assignment), (B) the Agent as the assignee Lender shall be deemed to have acquired the Erroneous Payment Deficiency Assignment, (C) upon such deemed acquisition, the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Agent and the Borrower shall each be deemed to have waived any consents required under this Agreement to any such Erroneous Payment Deficiency Assignment, and (E) the Agent will reflect in the Register its ownership interest in the Advances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(ii)Subject to Section 8.07 (but excluding, in all events, any assignment consent or approval requirements (whether from the Borrower or otherwise)), the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Agent on or with respect to any such Advances </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60655"/>
                <wp:effectExtent l="0" t="0" r="0" b="0"/>
                <wp:wrapNone/>
                <wp:docPr id="169"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acquired from such Lender pursuant to an Erroneous Payment Deficiency Assignment (to the extent that any such Advances are then owned by the Agent) and (y) may, in the sole discretion of the Agent, be reduced by any amount specified by the Agent in writing to the applicable Lender from time to time.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rPr>
        <w:t>The parties hereto agree that (x) irrespective of whether the Agent may be equitably subrogated, in the event that an Erroneous Payment (or portion thereof) is not recovered from any Payment Recipient that has received such Erroneous Payment (or portion thereof) for any reason, the Agent shall be subrogated to all the rights and interests of such Payment Recipient (and, in the case of any Payment Recipient who has received funds on behalf of a Lender, to the rights and interests of such Lender) under the Loan Documents with respect to such amount (the “</w:t>
      </w:r>
      <w:r>
        <w:rPr>
          <w:rFonts w:ascii="Times New Roman;sans-serif" w:hAnsi="Times New Roman;sans-serif"/>
          <w:b w:val="false"/>
          <w:color w:val="000000"/>
          <w:sz w:val="22"/>
          <w:u w:val="single"/>
        </w:rPr>
        <w:t>Erroneous Payment Subrogation Rights</w:t>
      </w:r>
      <w:r>
        <w:rPr>
          <w:color w:val="000000"/>
        </w:rPr>
        <w:t>”</w:t>
      </w:r>
      <w:r>
        <w:rPr>
          <w:rFonts w:ascii="Times New Roman;sans-serif" w:hAnsi="Times New Roman;sans-serif"/>
          <w:b w:val="false"/>
          <w:color w:val="000000"/>
          <w:sz w:val="22"/>
        </w:rPr>
        <w:t xml:space="preserve">) (provided that the Borrower’s obligations under the Loan Documents in respect of the Erroneous Payment Subrogation Rights shall not be duplicative of such obligations in respect of Advances that have been assigned to the Agent under an Erroneous Payment Deficiency Assignment) and (y) an Erroneous Payment shall not pay, prepay, repay, discharge or otherwise satisfy any obligations owed by the Borrower;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this Section 7.11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Agent; provided, further, that for the avoidance of doubt, immediately preceding clauses (x) and (y) shall not apply to the extent any such Erroneous Payment is, and solely with respect to the amount of such Erroneous Payment that is, comprised of funds received by the Agent from the Borrower for the purpose of making such Erroneous Payment.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any defense based on “discharge for value” or any similar doctrine.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(f)</w:t>
      </w:r>
      <w:r>
        <w:rPr>
          <w:rFonts w:ascii="Times New Roman;sans-serif" w:hAnsi="Times New Roman;sans-serif"/>
          <w:b w:val="false"/>
          <w:color w:val="000000"/>
          <w:sz w:val="22"/>
        </w:rPr>
        <w:t>Each party’s obligations, agreements and waivers under this Section 7.11 shall survive the resignation or replacement of the Agent, any transfer of rights or obligations by, or the replacement of, a Lender, the termination of the Commitments and/or the repayment, satisfaction or discharge of all obligations (or any portion thereof) of the Borrower hereunder.</w:t>
      </w:r>
    </w:p>
    <w:p>
      <w:pPr>
        <w:pStyle w:val="TextBody"/>
        <w:bidi w:val="0"/>
        <w:spacing w:lineRule="auto" w:line="319" w:before="0" w:after="240"/>
        <w:jc w:val="center"/>
        <w:rPr/>
      </w:pPr>
      <w:r>
        <w:rPr>
          <w:rFonts w:ascii="Times New Roman;sans-serif" w:hAnsi="Times New Roman;sans-serif"/>
          <w:b w:val="false"/>
          <w:color w:val="000000"/>
          <w:sz w:val="22"/>
        </w:rPr>
        <w:t>Article VIII</w:t>
      </w:r>
      <w:r>
        <w:rPr>
          <w:rFonts w:ascii="Times New Roman;sans-serif" w:hAnsi="Times New Roman;sans-serif"/>
          <w:b w:val="false"/>
          <w:color w:val="000000"/>
          <w:sz w:val="22"/>
        </w:rPr>
        <w:br/>
        <w:br/>
        <w:t>MISCELLANEOUS</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8.01</w:t>
      </w:r>
      <w:r>
        <w:rPr>
          <w:rFonts w:ascii="Times New Roman;sans-serif" w:hAnsi="Times New Roman;sans-serif"/>
          <w:b w:val="false"/>
          <w:color w:val="000000"/>
          <w:sz w:val="22"/>
          <w:u w:val="single"/>
        </w:rPr>
        <w:t>Amendments, Etc</w:t>
      </w:r>
      <w:r>
        <w:rPr>
          <w:rFonts w:ascii="Times New Roman;sans-serif" w:hAnsi="Times New Roman;sans-serif"/>
          <w:b w:val="false"/>
          <w:color w:val="000000"/>
          <w:sz w:val="22"/>
        </w:rPr>
        <w:t xml:space="preserve">. Except as provided in Sections 2.17, 2.20 and 2.22, no amendment or waiver of any provision of this Agreement, nor consent to any departure by the Borrower therefrom, shall in any event be effective unless the same shall be in writing and signed by the Required Lenders (or the Agent with the consent of the Required Lenders), and then such waiver or consent shall be effective only in the specific instance and for the specific purpose for which given;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xml:space="preserve">, that no amendment, waiver or consent shall, unless in writing and signed by (a) all the Lenders, do any of the following: (i) waive any of the conditions specified in Section 3.01, (ii) change the definition of “Required Lenders” or the percentage of the Commitments or of the aggregate unpaid principal amount of the Advances, or the number of Lenders, that shall be required for the Lenders or any of them to take any action hereunder or (iii) amend this Section 8.01 or (b) each Lender affected thereby, do any of the following: (i) increase, or extend the date for termination of, the Commitment of such Lender, (ii) reduce the principal of, or rate of interest on, the Advances or any fees or other amounts payable hereunder to such Lender, (iii) postpone any date fixed for any payment of principal of, or interest on, the Advances or any fees or other amounts payable hereunder to such Lender or (iv) change Section 2.14 in a manner that would alter the pro rata sharing of payments required thereby; and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color w:val="000000"/>
        </w:rPr>
        <w:t xml:space="preserve"> </w:t>
      </w:r>
      <w:r>
        <w:rPr>
          <w:rFonts w:ascii="Times New Roman;sans-serif" w:hAnsi="Times New Roman;sans-serif"/>
          <w:b w:val="false"/>
          <w:color w:val="000000"/>
          <w:sz w:val="22"/>
        </w:rPr>
        <w:t xml:space="preserve">that no amendment, waiver or consent shall, unless in writing and signed by the Agent in addition to the Lenders required above to take such action, affect the rights or duties of the Agent under this Agreement or any Note. Notwithstanding anything herein to the contrary, no Defaulting Lender shall have any right to approve or disapprove any amendment, waiver or consent hereunder (and any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60655"/>
                <wp:effectExtent l="0" t="0" r="0" b="0"/>
                <wp:wrapNone/>
                <wp:docPr id="170"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52</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amendment, waiver or consent that by its terms requires the consent of all the Lenders or each affected Lender may be effected with the consent of the applicable Lenders other than Defaulting Lenders, except that (x) the Commitment of any Defaulting Lender may not be increased or extended, or the maturity of any of its Advances may not be extended, the rate of interest on any of its Advances may not be reduced and the principal amount of any of its Advances may not be forgiven, in each case without the consent of such Defaulting Lender and (y) any amendment, waiver or consent requiring the consent of all the Lenders or each affected Lender that by its terms affects any Defaulting Lender more adversely than the other affected Lenders shall require the consent of such Defaulting Lender.</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8.02</w:t>
      </w:r>
      <w:r>
        <w:rPr>
          <w:rFonts w:ascii="Times New Roman;sans-serif" w:hAnsi="Times New Roman;sans-serif"/>
          <w:b w:val="false"/>
          <w:color w:val="000000"/>
          <w:sz w:val="22"/>
          <w:u w:val="single"/>
        </w:rPr>
        <w:t>Notices; Effectiveness; Electronic Communication</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Notices</w:t>
      </w:r>
      <w:r>
        <w:rPr>
          <w:color w:val="000000"/>
        </w:rPr>
        <w:t xml:space="preserve"> </w:t>
      </w:r>
      <w:r>
        <w:rPr>
          <w:rFonts w:ascii="Times New Roman;sans-serif" w:hAnsi="Times New Roman;sans-serif"/>
          <w:b w:val="false"/>
          <w:color w:val="000000"/>
          <w:sz w:val="22"/>
          <w:u w:val="single"/>
        </w:rPr>
        <w:t>Generally</w:t>
      </w:r>
      <w:r>
        <w:rPr>
          <w:rFonts w:ascii="Times New Roman;sans-serif" w:hAnsi="Times New Roman;sans-serif"/>
          <w:b w:val="false"/>
          <w:color w:val="000000"/>
          <w:sz w:val="22"/>
        </w:rPr>
        <w:t>. Except in the case of notices and other communications expressly permitted to be given by telephone (and except as provided in paragraph (a) below) or as otherwise provided in Section 5.01(i), all notices and other communications provided for herein shall be in writing and shall be delivered by hand or overnight courier service, mailed by certified or registered mail or sent by facsimile (other than to the Borrower) or email as follows:</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(i)if to the Borrower, to it at One Market Street, Suite 400, San Francisco, California 94105, Attention of Treasurer (E-mail: treasops@autodesk.com), with a copy to Attention of General Counsel (E-mail: general.counsel@autodesk.com);</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(ii)if to the Agent, to it at One Penns Way, OPS 2/2, New Castle, Delaware 19720, Attention of Lending Agency; E-mail: usagencyservicing@citi.com; and</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(iii)if to a Lender, to it at its address (or facsimile number or e-mail) set forth in its Administrative Questionnaire.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Electronic Communications</w:t>
      </w:r>
      <w:r>
        <w:rPr>
          <w:rFonts w:ascii="Times New Roman;sans-serif" w:hAnsi="Times New Roman;sans-serif"/>
          <w:b w:val="false"/>
          <w:color w:val="000000"/>
          <w:sz w:val="22"/>
        </w:rPr>
        <w:t xml:space="preserve">. Notices and other communications to the Lenders hereunder may be delivered or furnished by electronic communication (including e-mail and Internet or intranet websites) pursuant to procedures approved by the Agent,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foregoing shall not apply to notices to any Lender pursuant to Article II if such Lender has notified the Agent that it is incapable of receiving notices under such Article by electronic communication. The Agent or the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approval of such procedures may be limited to particular notices or communications.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Unless the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Change of Address, etc</w:t>
      </w:r>
      <w:r>
        <w:rPr>
          <w:rFonts w:ascii="Times New Roman;sans-serif" w:hAnsi="Times New Roman;sans-serif"/>
          <w:b w:val="false"/>
          <w:color w:val="000000"/>
          <w:sz w:val="22"/>
        </w:rPr>
        <w:t xml:space="preserve">. The Borrower may change its address or email address for notices and other communications hereunder by notice to the Agent. Any other party hereto may </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60655"/>
                <wp:effectExtent l="0" t="0" r="0" b="0"/>
                <wp:wrapNone/>
                <wp:docPr id="171" name="Frame1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53</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change its address, e-mail address or facsimile number for notices and other communications hereunder by notice to the other parties hereto.</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Platform</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(i)The Borrower agrees that the Agent may, but shall not be obligated to, make the Communications (as defined below) available to the Lenders by posting the Communications on Debt Domain, Intralinks, Syndtrak or a substantially similar electronic transmission system (the “</w:t>
      </w:r>
      <w:r>
        <w:rPr>
          <w:rFonts w:ascii="Times New Roman;sans-serif" w:hAnsi="Times New Roman;sans-serif"/>
          <w:b w:val="false"/>
          <w:color w:val="000000"/>
          <w:sz w:val="22"/>
          <w:u w:val="single"/>
        </w:rPr>
        <w:t>Platform</w:t>
      </w:r>
      <w:r>
        <w:rPr>
          <w:color w:val="000000"/>
        </w:rPr>
        <w:t>”</w:t>
      </w:r>
      <w:r>
        <w:rPr>
          <w:rFonts w:ascii="Times New Roman;sans-serif" w:hAnsi="Times New Roman;sans-serif"/>
          <w:b w:val="false"/>
          <w:color w:val="000000"/>
          <w:sz w:val="22"/>
        </w:rPr>
        <w:t>).</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(ii)The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Agent or any of its Related Parties (each an “</w:t>
      </w:r>
      <w:r>
        <w:rPr>
          <w:rFonts w:ascii="Times New Roman;sans-serif" w:hAnsi="Times New Roman;sans-serif"/>
          <w:b w:val="false"/>
          <w:color w:val="000000"/>
          <w:sz w:val="22"/>
          <w:u w:val="single"/>
        </w:rPr>
        <w:t>Agent Party</w:t>
      </w:r>
      <w:r>
        <w:rPr>
          <w:color w:val="000000"/>
        </w:rPr>
        <w:t xml:space="preserve">” </w:t>
      </w:r>
      <w:r>
        <w:rPr>
          <w:rFonts w:ascii="Times New Roman;sans-serif" w:hAnsi="Times New Roman;sans-serif"/>
          <w:b w:val="false"/>
          <w:color w:val="000000"/>
          <w:sz w:val="22"/>
        </w:rPr>
        <w:t>and collectively, the “</w:t>
      </w:r>
      <w:r>
        <w:rPr>
          <w:rFonts w:ascii="Times New Roman;sans-serif" w:hAnsi="Times New Roman;sans-serif"/>
          <w:b w:val="false"/>
          <w:color w:val="000000"/>
          <w:sz w:val="22"/>
          <w:u w:val="single"/>
        </w:rPr>
        <w:t>Agent Parties</w:t>
      </w:r>
      <w:r>
        <w:rPr>
          <w:color w:val="000000"/>
        </w:rPr>
        <w:t>”</w:t>
      </w:r>
      <w:r>
        <w:rPr>
          <w:rFonts w:ascii="Times New Roman;sans-serif" w:hAnsi="Times New Roman;sans-serif"/>
          <w:b w:val="false"/>
          <w:color w:val="000000"/>
          <w:sz w:val="22"/>
        </w:rPr>
        <w:t>) have any liability to the Borrower, any Lender or any other Person or entity for damages of any kind, including, without limitation, direct or indirect, special, incidental or consequential damages, losses or expenses (whether in tort, contract or otherwise) arising out of the Borrower’s or the Agent’s transmission of communications through the Platform except to the extent caused by Agent’s or any Agent Party’s gross negligence or willful misconduct. “</w:t>
      </w:r>
      <w:r>
        <w:rPr>
          <w:rFonts w:ascii="Times New Roman;sans-serif" w:hAnsi="Times New Roman;sans-serif"/>
          <w:b w:val="false"/>
          <w:color w:val="000000"/>
          <w:sz w:val="22"/>
          <w:u w:val="single"/>
        </w:rPr>
        <w:t>Communications</w:t>
      </w:r>
      <w:r>
        <w:rPr>
          <w:color w:val="000000"/>
        </w:rPr>
        <w:t xml:space="preserve">” </w:t>
      </w:r>
      <w:r>
        <w:rPr>
          <w:rFonts w:ascii="Times New Roman;sans-serif" w:hAnsi="Times New Roman;sans-serif"/>
          <w:b w:val="false"/>
          <w:color w:val="000000"/>
          <w:sz w:val="22"/>
        </w:rPr>
        <w:t>means, collectively, any notice, demand, communication, information, document or other material that the Borrower provides to the Agent pursuant to this Agreement or the transactions contemplated therein which is distributed to the Agent or any Lender by means of electronic communications pursuant to this Section, including through the Platform.</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8.03</w:t>
      </w:r>
      <w:r>
        <w:rPr>
          <w:rFonts w:ascii="Times New Roman;sans-serif" w:hAnsi="Times New Roman;sans-serif"/>
          <w:b w:val="false"/>
          <w:color w:val="000000"/>
          <w:sz w:val="22"/>
          <w:u w:val="single"/>
        </w:rPr>
        <w:t>No Waiver; Remedies</w:t>
      </w:r>
      <w:r>
        <w:rPr>
          <w:rFonts w:ascii="Times New Roman;sans-serif" w:hAnsi="Times New Roman;sans-serif"/>
          <w:b w:val="false"/>
          <w:color w:val="000000"/>
          <w:sz w:val="22"/>
        </w:rPr>
        <w:t>.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8.04</w:t>
      </w:r>
      <w:r>
        <w:rPr>
          <w:rFonts w:ascii="Times New Roman;sans-serif" w:hAnsi="Times New Roman;sans-serif"/>
          <w:b w:val="false"/>
          <w:color w:val="000000"/>
          <w:sz w:val="22"/>
          <w:u w:val="single"/>
        </w:rPr>
        <w:t>Costs and Expenses; Indemnification</w:t>
      </w:r>
      <w:r>
        <w:rPr>
          <w:rFonts w:ascii="Times New Roman;sans-serif" w:hAnsi="Times New Roman;sans-serif"/>
          <w:b w:val="false"/>
          <w:color w:val="000000"/>
          <w:sz w:val="22"/>
        </w:rPr>
        <w:t>. (a) The Borrower agrees to pay on demand, and upon presentation of a statement of account therefor, all reasonable and documented out-of-pocket costs and expenses of the Agent in connection with the preparation, execution, delivery, administration, modification and amendment of this Agreement, the Notes and the other documents to be delivered hereunder, including, without limitation, the reasonable and documented out-of-pocket fees and expenses of one counsel for the Agent (which, as of the date hereof, is Davis Polk &amp; Wardwell LLP) with respect thereto and with respect to advising the Agent as to its rights and responsibilities under this Agreement. The Borrower further agrees to pay on demand all costs and expenses of the Agent and the Lenders, if any (including, without limitation, reasonable counsel fees and expenses of one counsel for the Agent and the Lenders, taken as a whole, and if reasonably necessary, a single local counsel for the Agent and the Lenders, taken as a whole, in each jurisdiction for which local counsel is reasonably deemed necessary), in connection with the enforcement (whether through negotiations, legal proceedings or otherwise) of this Agreement, the Notes and the other documents to be delivered hereunder, including, without limitation, in connection with the enforcement of rights under this Section 8.04(a).</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Borrower agrees to indemnify and hold harmless the Agent, each Arranger and each Lender and each of their Related Parties (each, an “</w:t>
      </w:r>
      <w:r>
        <w:rPr>
          <w:rFonts w:ascii="Times New Roman;sans-serif" w:hAnsi="Times New Roman;sans-serif"/>
          <w:b w:val="false"/>
          <w:color w:val="000000"/>
          <w:sz w:val="22"/>
          <w:u w:val="single"/>
        </w:rPr>
        <w:t>Indemnified Party</w:t>
      </w:r>
      <w:r>
        <w:rPr>
          <w:color w:val="000000"/>
        </w:rPr>
        <w:t>”</w:t>
      </w:r>
      <w:r>
        <w:rPr>
          <w:rFonts w:ascii="Times New Roman;sans-serif" w:hAnsi="Times New Roman;sans-serif"/>
          <w:b w:val="false"/>
          <w:color w:val="000000"/>
          <w:sz w:val="22"/>
        </w:rPr>
        <w:t xml:space="preserve">) from and against any and all claims, damages, losses, liabilities and expenses (including, without limitation, reasonable fees and expenses of one counsel for all such Indemnified Parties, taken as a whole, and if reasonably necessary, a single local counsel for all Indemnified Parties, taken as a whole, in each jurisdiction for which local counsel is reasonably deemed necessary and, solely in the case of a conflict of interest, one special counsel to each group of similarly situated Indemnified Parties affected by such conflict where such group notifies the Borrower of such conflict and thereafter retains such counsel) incurred by or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60655"/>
                <wp:effectExtent l="0" t="0" r="0" b="0"/>
                <wp:wrapNone/>
                <wp:docPr id="172" name="Frame1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asserted or awarded against any Indemnified Party, in each case arising out of or in connection with or by reason of (including, without limitation, in connection with any investigation, litigation or proceeding or preparation of a defense in connection therewith) (i) the Notes, this Agreement, any of the transactions contemplated herein or the actual or proposed use of the proceeds of the Advances or (ii) the actual or alleged presence of Hazardous Materials on or at any currently or formerly owned, leased or operated property of the Borrower or any of its Subsidiaries or any Environmental Action or liability under any Environmental Law relating in any way to the Borrower or any of its Subsidiaries, except to the extent such claim, damage, loss, liability or expense is found in a final, non-appealable judgment by a court of competent jurisdiction to have resulted from (x) such Indemnified Party’s gross negligence, bad faith or willful misconduct, (y) the material breach by such Indemnified Party of its express obligations under this Agreement pursuant to a claim initiated by the Borrower or (z) any dispute solely among Indemnified Parties (not arising as a result of an act or omission by the Borrower or any of its Subsidiaries) other than claims against the Agent or any of its Affiliates in its capacity, or in fulfilling its role, as the Agent under this Agreement. In the case of an investigation, litigation or other proceeding to which the indemnity in this Section 8.04(b) applies, such indemnity shall be effective whether or not such investigation, litigation or proceeding is brought by the Borrower, its directors, equityholders or creditors or an Indemnified Party or any other Person, whether or not any Indemnified Party is otherwise a party thereto and whether or not the transactions contemplated hereby are consummated. The Borrower shall not be liable for the settlement of any such investigation, litigation or proceedings effected without the Borrower’s consent (which consent shall not be unreasonably withheld or delayed).</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hereto agree not to assert any claim for special, indirect, consequential or punitive damages against any other party hereto, any of their Affiliates, or any of their respective directors, officers, employees, attorneys and agents, on any theory of liability, arising out of or otherwise relating to the Notes, this Agreement, any of the transactions contemplated herein or the actual or proposed use of the proceeds of the Advances. No Lender-Related Party shall be liable for any damages arising from the use by unintended recipients of any information or other materials distributed by it through telecommunications, electronic or other information transmission systems in connection with this Agreement or the transactions contemplated hereby or thereby except to the extent such damages are found in a final, non-appealable judgment by a court of competent jurisdiction to have been caused by the gross negligence or willful misconduct of such Lender-Related Party. This Section 8.04(b) shall not apply with respect to taxes other than any taxes that represent losses or damages arising from any non-tax claim.</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If any payment of principal of, or Conversion of, any SOFR Advance is made by the Borrower to or for the account of a Lender other than on the last day of the Interest Period for such Advance, as a result of a payment or Conversion pursuant to Section 2.07(d) or 2.07(e), 2.09 or 2.11, acceleration of the maturity of the Notes pursuant to Section 6.01 or for any other reason, or by an Eligible Assignee to a Lender other than on the last day of the Interest Period for such Advance upon an assignment of rights and obligations under this Agreement pursuant to Section 8.07 as a result of a demand by the Borrower pursuant to Section 2.19, the Borrower shall, upon demand by such Lender (with a copy of such demand to the Agent and setting forth in reasonable detail the calculation of the amounts demanded),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rPr>
        <w:t>Without prejudice to the survival of any other agreement of the Borrower hereunder, the agreements and obligations of the Borrower contained in Sections 2.10, 2.13 and 8.04 shall survive the payment in full of principal, interest and all other amounts payable hereunder and under the Notes and the termination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8.05</w:t>
      </w:r>
      <w:r>
        <w:rPr>
          <w:rFonts w:ascii="Times New Roman;sans-serif" w:hAnsi="Times New Roman;sans-serif"/>
          <w:b w:val="false"/>
          <w:color w:val="000000"/>
          <w:sz w:val="22"/>
          <w:u w:val="single"/>
        </w:rPr>
        <w:t>Right of Set-off</w:t>
      </w:r>
      <w:r>
        <w:rPr>
          <w:rFonts w:ascii="Times New Roman;sans-serif" w:hAnsi="Times New Roman;sans-serif"/>
          <w:b w:val="false"/>
          <w:color w:val="000000"/>
          <w:sz w:val="22"/>
        </w:rPr>
        <w:t xml:space="preserve">. Upon either (a) the occurrence and during the continuance of any Event of Default under Section 6.01(a) or 6.01(e) involving the Borrower or (b) (i) the occurrence and during the continuance of any other Event of Default and (ii) the making of the request or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60655"/>
                <wp:effectExtent l="0" t="0" r="0" b="0"/>
                <wp:wrapNone/>
                <wp:docPr id="173" name="Frame1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55</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 xml:space="preserve">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but excluding deposits in (i) trust or other fiduciary accounts (to the extent of amounts held therein in trust in the ordinary course of business on behalf of third parties), (ii) payroll accounts, (iii) health-savings accounts and worker’s compensation accounts, (iv) withholding tax accounts and (v) zero balance accounts used in the ordinary course of business)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 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failure to give such notice shall not affect the validity of such set off and application;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that in the event that any Defaulting Lender exercises any such right of setoff, (x) all amounts so set off will be paid over immediately to the Agent for further application in accordance with the provisions of Section 2.18(a) and, pending such payment, will be segregated by such Defaulting Lender from its other funds and deemed held in trust for the benefit of the Agent and the Lenders and (y) such Defaulting Lender will provide promptly to the Agent a statement describing in reasonable detail the obligations owing to such Defaulting Lender as to which it exercised such right of setoff. The rights of each Lender and its Affiliates under this Section are in addition to other rights and remedies (including, without limitation, other rights of set off) that such Lender and its Affiliates may have.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8.06</w:t>
      </w:r>
      <w:r>
        <w:rPr>
          <w:rFonts w:ascii="Times New Roman;sans-serif" w:hAnsi="Times New Roman;sans-serif"/>
          <w:b w:val="false"/>
          <w:color w:val="000000"/>
          <w:sz w:val="22"/>
          <w:u w:val="single"/>
        </w:rPr>
        <w:t>Binding Effect</w:t>
      </w:r>
      <w:r>
        <w:rPr>
          <w:rFonts w:ascii="Times New Roman;sans-serif" w:hAnsi="Times New Roman;sans-serif"/>
          <w:b w:val="false"/>
          <w:color w:val="000000"/>
          <w:sz w:val="22"/>
        </w:rPr>
        <w:t>. This Agreement shall become effective (other than Section 2.01, which shall only become effective upon satisfaction of the conditions precedent set forth in Section 3.01) when it shall have been executed by the Borrower, the Agent and each Initial Lender and thereafter shall be binding upon and inure to the benefit of the Borrower, the Agent and each Lender and their respective permitted successors and assigns, except that the Borrower shall not have the right to assign its rights hereunder or any interest herein without the prior written consent of each Lender (and any other attempted assignment or transfer by any party hereto shall be null and void).</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8.07</w:t>
      </w:r>
      <w:r>
        <w:rPr>
          <w:rFonts w:ascii="Times New Roman;sans-serif" w:hAnsi="Times New Roman;sans-serif"/>
          <w:b w:val="false"/>
          <w:color w:val="000000"/>
          <w:sz w:val="22"/>
          <w:u w:val="single"/>
        </w:rPr>
        <w:t>Assignments and Participations</w:t>
      </w:r>
      <w:r>
        <w:rPr>
          <w:rFonts w:ascii="Times New Roman;sans-serif" w:hAnsi="Times New Roman;sans-serif"/>
          <w:b w:val="false"/>
          <w:color w:val="000000"/>
          <w:sz w:val="22"/>
        </w:rPr>
        <w:t xml:space="preserve">. (a) </w:t>
      </w:r>
      <w:r>
        <w:rPr>
          <w:rFonts w:ascii="Times New Roman;sans-serif" w:hAnsi="Times New Roman;sans-serif"/>
          <w:b w:val="false"/>
          <w:color w:val="000000"/>
          <w:sz w:val="22"/>
          <w:u w:val="single"/>
        </w:rPr>
        <w:t>Successors and Assigns Generally</w:t>
      </w:r>
      <w:r>
        <w:rPr>
          <w:rFonts w:ascii="Times New Roman;sans-serif" w:hAnsi="Times New Roman;sans-serif"/>
          <w:b w:val="false"/>
          <w:color w:val="000000"/>
          <w:sz w:val="22"/>
        </w:rPr>
        <w:t>.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Agent and the Lenders) any legal or equitable right, remedy or claim under or by reason of this Agreement.</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Assignments by Lenders</w:t>
      </w:r>
      <w:r>
        <w:rPr>
          <w:rFonts w:ascii="Times New Roman;sans-serif" w:hAnsi="Times New Roman;sans-serif"/>
          <w:b w:val="false"/>
          <w:color w:val="000000"/>
          <w:sz w:val="22"/>
        </w:rPr>
        <w:t xml:space="preserve">. Any Lender may at any time assign to one or more assignees all or a portion of its rights and obligations under this Agreement (including all or a portion of its Commitment and the Advances at the time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any such assignment shall be subject to the following conditions:</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w:t>
      </w:r>
      <w:r>
        <w:rPr>
          <w:rFonts w:ascii="Times New Roman;sans-serif" w:hAnsi="Times New Roman;sans-serif"/>
          <w:b w:val="false"/>
          <w:color w:val="000000"/>
          <w:sz w:val="22"/>
          <w:u w:val="single"/>
        </w:rPr>
        <w:t>Minimum Amounts</w:t>
      </w:r>
      <w:r>
        <w:rPr>
          <w:rFonts w:ascii="Times New Roman;sans-serif" w:hAnsi="Times New Roman;sans-serif"/>
          <w:b w:val="false"/>
          <w:color w:val="000000"/>
          <w:sz w:val="22"/>
        </w:rPr>
        <w:t>.</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(A)in the case of an assignment of the entire remaining amount of the assigning Lender’s Commitment and/or the Advances at the time owing to it or in the case of an assignment to a Lender or an Affiliate of a Lender, no minimum amount need be assigned; and</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60655"/>
                <wp:effectExtent l="0" t="0" r="0" b="0"/>
                <wp:wrapNone/>
                <wp:docPr id="174" name="Frame1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56</w:t>
                      </w:r>
                    </w:p>
                  </w:txbxContent>
                </v:textbox>
                <w10:wrap type="none"/>
              </v:rect>
            </w:pict>
          </mc:Fallback>
        </mc:AlternateContent>
      </w:r>
    </w:p>
    <w:p>
      <w:pPr>
        <w:pStyle w:val="TextBody"/>
        <w:bidi w:val="0"/>
        <w:spacing w:lineRule="auto" w:line="240" w:before="0" w:after="240"/>
        <w:jc w:val="both"/>
        <w:rPr/>
      </w:pPr>
      <w:r>
        <w:rPr>
          <w:rFonts w:ascii="Times New Roman;sans-serif" w:hAnsi="Times New Roman;sans-serif"/>
          <w:b w:val="false"/>
          <w:color w:val="000000"/>
          <w:sz w:val="22"/>
        </w:rPr>
        <w:t>such assignment (determined as of the date the Assignment and Assumption with respect to such assignment is delivered to the Agent or, if “</w:t>
      </w:r>
      <w:r>
        <w:rPr>
          <w:rFonts w:ascii="Times New Roman;sans-serif" w:hAnsi="Times New Roman;sans-serif"/>
          <w:b w:val="false"/>
          <w:color w:val="000000"/>
          <w:sz w:val="22"/>
          <w:u w:val="single"/>
        </w:rPr>
        <w:t>Trade Date</w:t>
      </w:r>
      <w:r>
        <w:rPr>
          <w:color w:val="000000"/>
        </w:rPr>
        <w:t xml:space="preserve">” </w:t>
      </w:r>
      <w:r>
        <w:rPr>
          <w:rFonts w:ascii="Times New Roman;sans-serif" w:hAnsi="Times New Roman;sans-serif"/>
          <w:b w:val="false"/>
          <w:color w:val="000000"/>
          <w:sz w:val="22"/>
        </w:rPr>
        <w:t>is specified in the Assignment and Assumption, as of the Trade Date) shall not be less than $10,000,000, or an integral multiple of $1,000,000 in excess thereof, unless each of the Agent and, so long as no Event of Default under Section 6.01(a) or 6.01(e) has occurred and is continuing at the time of such assignment, the Borrower otherwise consents (each such consent not to be unreasonably withheld or delayed).</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(ii)</w:t>
      </w:r>
      <w:r>
        <w:rPr>
          <w:rFonts w:ascii="Times New Roman;sans-serif" w:hAnsi="Times New Roman;sans-serif"/>
          <w:b w:val="false"/>
          <w:color w:val="000000"/>
          <w:sz w:val="22"/>
          <w:u w:val="single"/>
        </w:rPr>
        <w:t>Proportionate Amounts</w:t>
      </w:r>
      <w:r>
        <w:rPr>
          <w:rFonts w:ascii="Times New Roman;sans-serif" w:hAnsi="Times New Roman;sans-serif"/>
          <w:b w:val="false"/>
          <w:color w:val="000000"/>
          <w:sz w:val="22"/>
        </w:rPr>
        <w:t>. Each partial assignment shall be made as an assignment of a proportionate part of all the assigning Lender’s rights and obligations under this Agreement with respect to the Advance or the Commitment assigned.</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(iii)</w:t>
      </w:r>
      <w:r>
        <w:rPr>
          <w:rFonts w:ascii="Times New Roman;sans-serif" w:hAnsi="Times New Roman;sans-serif"/>
          <w:b w:val="false"/>
          <w:color w:val="000000"/>
          <w:sz w:val="22"/>
          <w:u w:val="single"/>
        </w:rPr>
        <w:t>Required Consents</w:t>
      </w:r>
      <w:r>
        <w:rPr>
          <w:rFonts w:ascii="Times New Roman;sans-serif" w:hAnsi="Times New Roman;sans-serif"/>
          <w:b w:val="false"/>
          <w:color w:val="000000"/>
          <w:sz w:val="22"/>
        </w:rPr>
        <w:t>. No consent shall be required for any assignment except to the extent required by paragraph (b)(i)(B) of this Section and, in addition:</w:t>
      </w:r>
    </w:p>
    <w:p>
      <w:pPr>
        <w:pStyle w:val="TextBody"/>
        <w:bidi w:val="0"/>
        <w:spacing w:lineRule="auto" w:line="240" w:before="0" w:after="240"/>
        <w:ind w:left="0" w:right="0" w:firstLine="1710"/>
        <w:jc w:val="both"/>
        <w:rPr/>
      </w:pPr>
      <w:r>
        <w:rPr>
          <w:rFonts w:ascii="Times New Roman;sans-serif" w:hAnsi="Times New Roman;sans-serif"/>
          <w:b w:val="false"/>
          <w:color w:val="000000"/>
          <w:sz w:val="22"/>
        </w:rPr>
        <w:t xml:space="preserve">(A)the consent of the Borrower (such consent not to be unreasonably withheld or delayed) shall be required unless (x) an Event of Default under Section 6.01(a) or 6.01(e) has occurred and is continuing at the time of such assignment, or (y) such assignment is to a Lender or an Affiliate of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Borrower shall be deemed to have consented to any such assignment unless it shall object thereto by written notice to the Agent within ten Business Days after having received written notice thereof; and</w:t>
      </w:r>
    </w:p>
    <w:p>
      <w:pPr>
        <w:pStyle w:val="TextBody"/>
        <w:bidi w:val="0"/>
        <w:spacing w:lineRule="auto" w:line="240" w:before="0" w:after="240"/>
        <w:ind w:left="0" w:right="0" w:firstLine="1710"/>
        <w:jc w:val="both"/>
        <w:rPr>
          <w:rFonts w:ascii="Times New Roman;sans-serif" w:hAnsi="Times New Roman;sans-serif"/>
          <w:b w:val="false"/>
          <w:color w:val="000000"/>
          <w:sz w:val="22"/>
        </w:rPr>
      </w:pPr>
      <w:r>
        <w:rPr>
          <w:rFonts w:ascii="Times New Roman;sans-serif" w:hAnsi="Times New Roman;sans-serif"/>
          <w:b w:val="false"/>
          <w:color w:val="000000"/>
          <w:sz w:val="22"/>
        </w:rPr>
        <w:t>(B)the consent of the Agent (such consent not to be unreasonably withheld or delayed) shall be required for assignments to a Person that is not a Lender or an Affiliate of such Lender.</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(iv)</w:t>
      </w:r>
      <w:r>
        <w:rPr>
          <w:rFonts w:ascii="Times New Roman;sans-serif" w:hAnsi="Times New Roman;sans-serif"/>
          <w:b w:val="false"/>
          <w:color w:val="000000"/>
          <w:sz w:val="22"/>
          <w:u w:val="single"/>
        </w:rPr>
        <w:t>Assignment and Assumption</w:t>
      </w:r>
      <w:r>
        <w:rPr>
          <w:rFonts w:ascii="Times New Roman;sans-serif" w:hAnsi="Times New Roman;sans-serif"/>
          <w:b w:val="false"/>
          <w:color w:val="000000"/>
          <w:sz w:val="22"/>
        </w:rPr>
        <w:t xml:space="preserve">. The parties to each assignment (other than Borrower) shall execute and deliver to the Agent an Assignment and Assumption, together with a processing and recordation fee of $3,500;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the Agent may, in its sole discretion, elect to waive such processing and recordation fee in the case of any assignment. The assignee, if it is not a Lender, shall deliver to the Agent an Administrative Questionnaire.</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(v)</w:t>
      </w:r>
      <w:r>
        <w:rPr>
          <w:rFonts w:ascii="Times New Roman;sans-serif" w:hAnsi="Times New Roman;sans-serif"/>
          <w:b w:val="false"/>
          <w:color w:val="000000"/>
          <w:sz w:val="22"/>
          <w:u w:val="single"/>
        </w:rPr>
        <w:t>No Assignment to Certain Persons</w:t>
      </w:r>
      <w:r>
        <w:rPr>
          <w:rFonts w:ascii="Times New Roman;sans-serif" w:hAnsi="Times New Roman;sans-serif"/>
          <w:b w:val="false"/>
          <w:color w:val="000000"/>
          <w:sz w:val="22"/>
        </w:rPr>
        <w:t>. No such assignment shall be made to (A) the Borrower or any of the Borrower’s Affiliates or Subsidiaries or (B) to any Defaulting Lender, its Parent Company or any of its Subsidiaries, or any Person who, upon becoming a Lender hereunder, would constitute any of the foregoing Persons described in this clause (B).</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(vi)</w:t>
      </w:r>
      <w:r>
        <w:rPr>
          <w:rFonts w:ascii="Times New Roman;sans-serif" w:hAnsi="Times New Roman;sans-serif"/>
          <w:b w:val="false"/>
          <w:color w:val="000000"/>
          <w:sz w:val="22"/>
          <w:u w:val="single"/>
        </w:rPr>
        <w:t>No Assignment to Natural Persons</w:t>
      </w:r>
      <w:r>
        <w:rPr>
          <w:rFonts w:ascii="Times New Roman;sans-serif" w:hAnsi="Times New Roman;sans-serif"/>
          <w:b w:val="false"/>
          <w:color w:val="000000"/>
          <w:sz w:val="22"/>
        </w:rPr>
        <w:t>. No such assignment shall be made to a natural Person (or a holding company, investment vehicle or trust for, or owned and operated for the primary benefit of, a natural Person).</w:t>
      </w:r>
    </w:p>
    <w:p>
      <w:pPr>
        <w:pStyle w:val="TextBody"/>
        <w:bidi w:val="0"/>
        <w:spacing w:lineRule="auto" w:line="240" w:before="0" w:after="240"/>
        <w:ind w:left="0" w:right="0" w:firstLine="900"/>
        <w:jc w:val="both"/>
        <w:rPr/>
      </w:pPr>
      <w:r>
        <w:rPr>
          <w:rFonts w:ascii="Times New Roman;sans-serif" w:hAnsi="Times New Roman;sans-serif"/>
          <w:b w:val="false"/>
          <w:color w:val="000000"/>
          <w:sz w:val="22"/>
        </w:rPr>
        <w:t>(vii)</w:t>
      </w:r>
      <w:r>
        <w:rPr>
          <w:rFonts w:ascii="Times New Roman;sans-serif" w:hAnsi="Times New Roman;sans-serif"/>
          <w:b w:val="false"/>
          <w:color w:val="000000"/>
          <w:sz w:val="22"/>
          <w:u w:val="single"/>
        </w:rPr>
        <w:t>Certain Additional Payments</w:t>
      </w:r>
      <w:r>
        <w:rPr>
          <w:rFonts w:ascii="Times New Roman;sans-serif" w:hAnsi="Times New Roman;sans-serif"/>
          <w:b w:val="false"/>
          <w:color w:val="000000"/>
          <w:sz w:val="22"/>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other compensating actions, including funding, with the consent of the Borrower and the Agent, the applicable pro rata share of Advances previously requested but not funded by the Defaulting Lender, to each of which the applicable assignee and assignor hereby irrevocably consent), to (x) pay and satisfy in full all payment liabilities then owed by such Defaulting Lender to the Agent and each other Lender hereunder (and interest accrued thereon), and (y) acquire (and fund as appropriate) its full pro rata share of all Advances in accordance with its ratable share of the Commitments. Notwithstanding the foregoing, in the event that any assignment of rights and obligations of any </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60655"/>
                <wp:effectExtent l="0" t="0" r="0" b="0"/>
                <wp:wrapNone/>
                <wp:docPr id="175" name="Frame1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57</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88" w:before="0" w:after="240"/>
        <w:jc w:val="both"/>
        <w:rPr/>
      </w:pPr>
      <w:r>
        <w:rPr>
          <w:rFonts w:ascii="Times New Roman;sans-serif" w:hAnsi="Times New Roman;sans-serif"/>
          <w:b w:val="false"/>
          <w:color w:val="000000"/>
          <w:sz w:val="22"/>
        </w:rPr>
        <w:t xml:space="preserve">Subject to acceptance and recording thereof by the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2.10, 2.13 and 8.04 with respect to facts and circumstances occurring prior to the effective date of such assignment;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Register</w:t>
      </w:r>
      <w:r>
        <w:rPr>
          <w:rFonts w:ascii="Times New Roman;sans-serif" w:hAnsi="Times New Roman;sans-serif"/>
          <w:b w:val="false"/>
          <w:color w:val="000000"/>
          <w:sz w:val="22"/>
        </w:rPr>
        <w:t>. The Agent, acting solely for this purpose as an agent of the Borrower, shall maintain at one of its offices in the United States a copy of each Assumption Agreement and each Assignment and Assumption delivered to it and a register for the recordation of the names and addresses of the Lenders, and the Commitments of, and principal amounts of the Advances owing to, each Lender pursuant to the terms hereof from time to time (the “</w:t>
      </w:r>
      <w:r>
        <w:rPr>
          <w:rFonts w:ascii="Times New Roman;sans-serif" w:hAnsi="Times New Roman;sans-serif"/>
          <w:b w:val="false"/>
          <w:color w:val="000000"/>
          <w:sz w:val="22"/>
          <w:u w:val="single"/>
        </w:rPr>
        <w:t>Register</w:t>
      </w:r>
      <w:r>
        <w:rPr>
          <w:color w:val="000000"/>
        </w:rPr>
        <w:t>”</w:t>
      </w:r>
      <w:r>
        <w:rPr>
          <w:rFonts w:ascii="Times New Roman;sans-serif" w:hAnsi="Times New Roman;sans-serif"/>
          <w:b w:val="false"/>
          <w:color w:val="000000"/>
          <w:sz w:val="22"/>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as to its Commitment, at any reasonable time and from time to time upon reasonable prior notice.</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Participations</w:t>
      </w:r>
      <w:r>
        <w:rPr>
          <w:rFonts w:ascii="Times New Roman;sans-serif" w:hAnsi="Times New Roman;sans-serif"/>
          <w:b w:val="false"/>
          <w:color w:val="000000"/>
          <w:sz w:val="22"/>
        </w:rPr>
        <w:t>. Any Lender may at any time, without the consent of, or notice to, the Borrower or the Agent, sell participations to any Person (other than a natural Person (or a holding company, investment vehicle or trust for, or owned and operated for the primary benefit of, a natural Person) or the Borrower or any of the Borrower’s Affiliates or Subsidiaries) (each, a “</w:t>
      </w:r>
      <w:r>
        <w:rPr>
          <w:rFonts w:ascii="Times New Roman;sans-serif" w:hAnsi="Times New Roman;sans-serif"/>
          <w:b w:val="false"/>
          <w:color w:val="000000"/>
          <w:sz w:val="22"/>
          <w:u w:val="single"/>
        </w:rPr>
        <w:t>Participant</w:t>
      </w:r>
      <w:r>
        <w:rPr>
          <w:color w:val="000000"/>
        </w:rPr>
        <w:t>”</w:t>
      </w:r>
      <w:r>
        <w:rPr>
          <w:rFonts w:ascii="Times New Roman;sans-serif" w:hAnsi="Times New Roman;sans-serif"/>
          <w:b w:val="false"/>
          <w:color w:val="000000"/>
          <w:sz w:val="22"/>
        </w:rPr>
        <w:t xml:space="preserve">) in all or a portion of such Lender’s rights and/or obligations under this Agreement (including all or a portion of its Commitment and/or the Advances owing to it);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(i) such Lender’s obligations under this Agreement shall remain unchanged, (ii) such Lender shall remain solely responsible to the other parties hereto for the performance of such obligations, and (iii) the Borrower, the Agent and other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agreement or instrument may provide that such Lender will not, without the consent of the Participant, agree to any amendment, modification or waiver described in first proviso of Section 8.01 that affects such Participant. The Borrower agrees that each Participant shall be entitled to the benefits of Sections 2.10 and 2.13 to the same extent as if it were a Lender and had acquired its interest by assignment pursuant to paragraph (b) of this Section;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such Participant agrees to be subject to the provisions of Section 2.19 as if it were an assignee under paragraph (b) of this Section. To the extent permitted by law, each Participant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60655"/>
                <wp:effectExtent l="0" t="0" r="0" b="0"/>
                <wp:wrapNone/>
                <wp:docPr id="176" name="Frame1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2"/>
        </w:rPr>
        <w:t xml:space="preserve">also shall be entitled to the benefits of Section 8.05 as though it were a Lender;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such Participant agrees to be subject to 2.14 as though it were a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Each Lender that sells a participation, acting solely for this purpose as a nonfiduciary agent of the Borrower, shall maintain a register on which it enters the name and address of each Participant and the principal amounts (and stated interest) of each Participant’s interest in the Advances or other obligations under this Agreement (the “</w:t>
      </w:r>
      <w:r>
        <w:rPr>
          <w:rFonts w:ascii="Times New Roman;sans-serif" w:hAnsi="Times New Roman;sans-serif"/>
          <w:b w:val="false"/>
          <w:color w:val="000000"/>
          <w:sz w:val="22"/>
          <w:u w:val="single"/>
        </w:rPr>
        <w:t>Participant Register</w:t>
      </w:r>
      <w:r>
        <w:rPr>
          <w:color w:val="000000"/>
        </w:rPr>
        <w:t>”</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Lender shall have any obligation to disclose all or any portion of the Participant Register to any Person (including the identity of any participant or any information relating to a participant’s interest in any commitments, loans or its other obligations hereunder)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Limitations upon Participant Rights</w:t>
      </w:r>
      <w:r>
        <w:rPr>
          <w:rFonts w:ascii="Times New Roman;sans-serif" w:hAnsi="Times New Roman;sans-serif"/>
          <w:b w:val="false"/>
          <w:color w:val="000000"/>
          <w:sz w:val="22"/>
        </w:rPr>
        <w:t>. A Participant shall not be entitled to receive any greater payment under Sections 2.10 and 2.13 than the applicable Lender would have been entitled to receive with respect to the participation sold to such Participant, unless the sale of the participation to such Participant is made with the Borrower’s prior written consent. A Participant organized under the laws of a jurisdiction outside the United States shall not be entitled to the benefits of Section 2.13 unless the Borrower is notified of the participation sold to such Participant and such Participant agrees, for the benefit of the Borrower, to comply with Section 2.13(e) as though it were a Lender.</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(e)</w:t>
      </w:r>
      <w:r>
        <w:rPr>
          <w:rFonts w:ascii="Times New Roman;sans-serif" w:hAnsi="Times New Roman;sans-serif"/>
          <w:b w:val="false"/>
          <w:color w:val="000000"/>
          <w:sz w:val="22"/>
          <w:u w:val="single"/>
        </w:rPr>
        <w:t>Certain Pledges</w:t>
      </w:r>
      <w:r>
        <w:rPr>
          <w:rFonts w:ascii="Times New Roman;sans-serif" w:hAnsi="Times New Roman;sans-serif"/>
          <w:b w:val="false"/>
          <w:color w:val="000000"/>
          <w:sz w:val="22"/>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8.08</w:t>
      </w:r>
      <w:r>
        <w:rPr>
          <w:rFonts w:ascii="Times New Roman;sans-serif" w:hAnsi="Times New Roman;sans-serif"/>
          <w:b w:val="false"/>
          <w:color w:val="000000"/>
          <w:sz w:val="22"/>
          <w:u w:val="single"/>
        </w:rPr>
        <w:t>Confidentiality</w:t>
      </w:r>
      <w:r>
        <w:rPr>
          <w:rFonts w:ascii="Times New Roman;sans-serif" w:hAnsi="Times New Roman;sans-serif"/>
          <w:b w:val="false"/>
          <w:color w:val="000000"/>
          <w:sz w:val="22"/>
        </w:rPr>
        <w:t xml:space="preserve">. Each of the Agent and the Lenders agrees to maintain the confidentiality of the Borrower Information (as defined below), and agrees that it shall only use such Borrower Information in connection with the transactions contemplated by this Agreement and not disclose such information other than (a) to its Affiliates and to its and its Affiliates’ Related Parties on a need to know basis that are expected to be involved in the evaluation of such information in connection with the transactions contemplated by this Agreement (it being understood that the Persons to whom such disclosure is made will be informed of the confidential nature of such Borrower Information and instructed to keep such Borrower Information confidential in accordance with the terms hereof),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Agent and the Lenders agree to the extent not prohibited by applicable law, rule, regulation or order, to inform the Borrower promptly of the disclosure thereof and to the extent practicable, prior thereto;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the Agent and the Lenders shall bear no liability for failure to provide such notice), (d) to any other party hereto, (e) in connection with the exercise of any remedies hereunder or any action or proceeding relating to this Agreement or the enforcement of rights hereunder, (f) subject to an agreement for the benefit of the Borrower containing provisions substantially the same as those of this Section, to (i) any assignee of or participant in, or any prospective assignee of or participant in, any of its rights or obligations under this Agreement or (ii) any actual or prospective party (or its managers, administrators, trustees, partners, directors, officers, employees, agents, advisors and other representatives) to any swap or derivative or similar transaction under which payments are to be made by reference to the Borrower and its obligations, this Agreement or payments hereunder or to any credit insurance provider relating to the Borrower and its obligations, (iii) any rating agency, or (iv) the CUSIP Service Bureau or any similar organization, (g) with the written consent of the Borrower or (h) to the extent such Borrower Information (x) becomes publicly available other than as a result of a breach of this Section or (y) becomes available </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60655"/>
                <wp:effectExtent l="0" t="0" r="0" b="0"/>
                <wp:wrapNone/>
                <wp:docPr id="177" name="Frame1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59</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to the Agent, any Lender or any of their respective Affiliates on a nonconfidential basis from a source other than the Borrower (unless such disclosure is known to the Agent or such Lender to have violated a confidentiality obligation). In addition, the Agent and the Lenders may disclose the existence of this Agreement and information about this Agreement to market data collectors, similar service providers to the lending industry and service providers to the Agent or any Lender in connection with the administration of this Agreement, the other Loan Documents, and the Commitments.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For purposes of this Section, “</w:t>
      </w:r>
      <w:r>
        <w:rPr>
          <w:rFonts w:ascii="Times New Roman;sans-serif" w:hAnsi="Times New Roman;sans-serif"/>
          <w:b w:val="false"/>
          <w:color w:val="000000"/>
          <w:sz w:val="22"/>
          <w:u w:val="single"/>
        </w:rPr>
        <w:t>Borrower Information</w:t>
      </w:r>
      <w:r>
        <w:rPr>
          <w:color w:val="000000"/>
        </w:rPr>
        <w:t xml:space="preserve">” </w:t>
      </w:r>
      <w:r>
        <w:rPr>
          <w:rFonts w:ascii="Times New Roman;sans-serif" w:hAnsi="Times New Roman;sans-serif"/>
          <w:b w:val="false"/>
          <w:color w:val="000000"/>
          <w:sz w:val="22"/>
        </w:rPr>
        <w:t>means all information received from the Borrower or any of its Subsidiaries relating to the Borrower or any of its Subsidiaries or any of their respective businesses, other than any such information that is available to the Agent or any Lender on a nonconfidential basis prior to disclosure by the Borrower or any of its Subsidiaries (unless such disclosure is known to the Agent or such Lender to have violated a confidentiality obligation). Any Person required to maintain the confidentiality of Borrower Information as provided in this Section shall be considered to have complied with its obligation to do so if such Person has exercised the same degree of care to maintain the confidentiality of such Borrower Information as such Person would accord to its own confidential information.</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8.09</w:t>
      </w:r>
      <w:r>
        <w:rPr>
          <w:rFonts w:ascii="Times New Roman;sans-serif" w:hAnsi="Times New Roman;sans-serif"/>
          <w:b w:val="false"/>
          <w:color w:val="000000"/>
          <w:sz w:val="22"/>
          <w:u w:val="single"/>
        </w:rPr>
        <w:t>Governing Law</w:t>
      </w:r>
      <w:r>
        <w:rPr>
          <w:rFonts w:ascii="Times New Roman;sans-serif" w:hAnsi="Times New Roman;sans-serif"/>
          <w:b w:val="false"/>
          <w:color w:val="000000"/>
          <w:sz w:val="22"/>
        </w:rPr>
        <w:t>. This Agreement and the Notes shall be governed by, and construed in accordance with, the laws of the State of New York.</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8.10</w:t>
      </w:r>
      <w:r>
        <w:rPr>
          <w:rFonts w:ascii="Times New Roman;sans-serif" w:hAnsi="Times New Roman;sans-serif"/>
          <w:b w:val="false"/>
          <w:color w:val="000000"/>
          <w:sz w:val="22"/>
          <w:u w:val="single"/>
        </w:rPr>
        <w:t>Execution in Counterparts</w:t>
      </w:r>
      <w:r>
        <w:rPr>
          <w:rFonts w:ascii="Times New Roman;sans-serif" w:hAnsi="Times New Roman;sans-serif"/>
          <w:b w:val="false"/>
          <w:color w:val="000000"/>
          <w:sz w:val="22"/>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or other electronic transmission (including a .pdf e-mail transmission) shall be effective as delivery of a manually executed counterpart of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8.11</w:t>
      </w:r>
      <w:r>
        <w:rPr>
          <w:rFonts w:ascii="Times New Roman;sans-serif" w:hAnsi="Times New Roman;sans-serif"/>
          <w:b w:val="false"/>
          <w:color w:val="000000"/>
          <w:sz w:val="22"/>
          <w:u w:val="single"/>
        </w:rPr>
        <w:t>Jurisdiction, Etc</w:t>
      </w:r>
      <w:r>
        <w:rPr>
          <w:rFonts w:ascii="Times New Roman;sans-serif" w:hAnsi="Times New Roman;sans-serif"/>
          <w:b w:val="false"/>
          <w:color w:val="000000"/>
          <w:sz w:val="22"/>
        </w:rPr>
        <w:t>. (a) Each party hereto irrevocably and unconditionally agrees that it will not commence any action, litigation or proceeding of any kind or description, whether in law or equity, whether in contract or in tort or otherwise, against any other party hereto or any Related Party of the foregoing in any way relating to this Agreement or any Note or the transactions relating hereto or thereto, in any forum other than the courts of the State of New York sitting in New York County, and of the United States District Court for the Southern District of New York sitting in New York County,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The Borrower hereby irrevocably consents to the service of process in any action or proceeding in such courts by the mailing thereof by any parties hereto by registered or certified mail, postage prepaid, to the Borrower at its address specified pursuant to Section 8.02. Each of the parties hereto agrees that a final judgment in any such action or proceeding shall be conclusive and may be enforced in other jurisdictions by suit on the judgment or in any other manner provided by law.</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78" name="Frame1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60</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8.12</w:t>
      </w:r>
      <w:r>
        <w:rPr>
          <w:rFonts w:ascii="Times New Roman;sans-serif" w:hAnsi="Times New Roman;sans-serif"/>
          <w:b w:val="false"/>
          <w:color w:val="000000"/>
          <w:sz w:val="22"/>
          <w:u w:val="single"/>
        </w:rPr>
        <w:t>Patriot Act Notice; Beneficial Ownership Regulation</w:t>
      </w:r>
      <w:r>
        <w:rPr>
          <w:rFonts w:ascii="Times New Roman;sans-serif" w:hAnsi="Times New Roman;sans-serif"/>
          <w:b w:val="false"/>
          <w:color w:val="000000"/>
          <w:sz w:val="22"/>
        </w:rPr>
        <w:t>. Each Lender and the Agent (for itself and not on behalf of any Lender) hereby notifies the Borrower that pursuant to the requirements of the Patriot Act and the Beneficial Ownership Regulation (if applicable), it is required to obtain, verify and record information that identifies the Borrower, which information includes the name and address of the Borrower and other information that will allow such Lender or the Agent, as applicable, to identify the Borrower in accordance with the Patriot Act and the Beneficial Ownership Regulation (if applicable). The Borrower shall provide, to the extent commercially reasonable, such information and take such actions as are reasonably requested by the Agent or any Lenders in order to assist the Agent and the Lenders in maintaining compliance with the Patriot Act and the Beneficial Ownership Regulation (if applicable).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8.13</w:t>
      </w:r>
      <w:r>
        <w:rPr>
          <w:rFonts w:ascii="Times New Roman;sans-serif" w:hAnsi="Times New Roman;sans-serif"/>
          <w:b w:val="false"/>
          <w:color w:val="000000"/>
          <w:sz w:val="22"/>
          <w:u w:val="single"/>
        </w:rPr>
        <w:t>Interest Rate Limitation</w:t>
      </w:r>
      <w:r>
        <w:rPr>
          <w:rFonts w:ascii="Times New Roman;sans-serif" w:hAnsi="Times New Roman;sans-serif"/>
          <w:b w:val="false"/>
          <w:color w:val="000000"/>
          <w:sz w:val="22"/>
        </w:rPr>
        <w:t>. Notwithstanding anything herein to the contrary, if at any time the interest rate applicable to any Advance or other obligation owing under this Agreement, together with all fees, charges and other amounts that are treated as interest on such Advance or other obligation under applicable law (collectively, “</w:t>
      </w:r>
      <w:r>
        <w:rPr>
          <w:rFonts w:ascii="Times New Roman;sans-serif" w:hAnsi="Times New Roman;sans-serif"/>
          <w:b w:val="false"/>
          <w:color w:val="000000"/>
          <w:sz w:val="22"/>
          <w:u w:val="single"/>
        </w:rPr>
        <w:t>charges</w:t>
      </w:r>
      <w:r>
        <w:rPr>
          <w:color w:val="000000"/>
        </w:rPr>
        <w:t>”</w:t>
      </w:r>
      <w:r>
        <w:rPr>
          <w:rFonts w:ascii="Times New Roman;sans-serif" w:hAnsi="Times New Roman;sans-serif"/>
          <w:b w:val="false"/>
          <w:color w:val="000000"/>
          <w:sz w:val="22"/>
        </w:rPr>
        <w:t>), shall exceed the maximum lawful rate (the “</w:t>
      </w:r>
      <w:r>
        <w:rPr>
          <w:rFonts w:ascii="Times New Roman;sans-serif" w:hAnsi="Times New Roman;sans-serif"/>
          <w:b w:val="false"/>
          <w:color w:val="000000"/>
          <w:sz w:val="22"/>
          <w:u w:val="single"/>
        </w:rPr>
        <w:t>Maximum Rate</w:t>
      </w:r>
      <w:r>
        <w:rPr>
          <w:color w:val="000000"/>
        </w:rPr>
        <w:t>”</w:t>
      </w:r>
      <w:r>
        <w:rPr>
          <w:rFonts w:ascii="Times New Roman;sans-serif" w:hAnsi="Times New Roman;sans-serif"/>
          <w:b w:val="false"/>
          <w:color w:val="000000"/>
          <w:sz w:val="22"/>
        </w:rPr>
        <w:t>) that may be contracted for, charged, taken, received or reserved by the Lender or other Person holding such Advance or other obligation in accordance with applicable law, the rate of interest payable in respect of such Advance or other obligation hereunder, together with all charges payable in respect thereof, shall be limited to the Maximum Rate. To the extent lawful, the interest and charges that would have been paid in respect of such Advance or other obligation but were not paid as a result of the operation of this Section 8.13 shall be cumulated and the interest and charges payable to such Lender or other Person in respect of other Advances or obligations or periods shall be increased (but not above the amount collectible at the Maximum Rate therefor) until such cumulated amount, together with interest thereon at the Federal Funds Rate for each day to the date of repayment, shall have been received by such Lender or other Person. Any amount collected by such Lender or other Person that exceeds the maximum amount collectible at the Maximum Rate shall be applied to the reduction of the principal balance of such Advance or other obligation or refunded to the Borrower so that at no time shall the interest and charges paid or payable in respect of such Advance or other obligation exceed the maximum amount collectible at the Maximum Rate.</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8.14</w:t>
      </w:r>
      <w:r>
        <w:rPr>
          <w:rFonts w:ascii="Times New Roman;sans-serif" w:hAnsi="Times New Roman;sans-serif"/>
          <w:b w:val="false"/>
          <w:color w:val="000000"/>
          <w:sz w:val="22"/>
          <w:u w:val="single"/>
        </w:rPr>
        <w:t>No Fiduciary Duty; Other Relationships</w:t>
      </w:r>
      <w:r>
        <w:rPr>
          <w:rFonts w:ascii="Times New Roman;sans-serif" w:hAnsi="Times New Roman;sans-serif"/>
          <w:b w:val="false"/>
          <w:color w:val="000000"/>
          <w:sz w:val="22"/>
        </w:rPr>
        <w:t>. The Borrower acknowledges that the Lenders have no fiduciary relationship with, or fiduciary duty to, the Borrower arising out of or in connection with this Agreement, and the relationship between each Lender and the Borrower is solely that of creditor and debtor. This Agreement does not create a joint venture among the parties hereto. No relationship created hereunder shall in any way affect the ability of the Agent and each Lender to enter into or maintain business relationships with the Borrower or any Affiliate thereof beyond the relationships specifically contemplated by this Agreement.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8.15</w:t>
      </w:r>
      <w:r>
        <w:rPr>
          <w:rFonts w:ascii="Times New Roman;sans-serif" w:hAnsi="Times New Roman;sans-serif"/>
          <w:b w:val="false"/>
          <w:color w:val="000000"/>
          <w:sz w:val="22"/>
          <w:u w:val="single"/>
        </w:rPr>
        <w:t>Electronic Execution of Assignments and Certain Other Documents</w:t>
      </w:r>
      <w:r>
        <w:rPr>
          <w:rFonts w:ascii="Times New Roman;sans-serif" w:hAnsi="Times New Roman;sans-serif"/>
          <w:b w:val="false"/>
          <w:color w:val="000000"/>
          <w:sz w:val="22"/>
        </w:rPr>
        <w:t xml:space="preserve">. The words “execute,” “execution,” “signed,” “signature,” and words of like import in or related to any document to be signed in connection with this Agreement and the transactions contemplated hereby (including without limitation Assignment and Assumptions, amendments or other modifications, any Notice of Borrowing,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that notwithstanding anything contained herein to the contrary the Agent is under no obligation to agree to accept electronic signatures in any form or in any format unless expressly agreed to by the Agent pursuant to procedures approved by it.</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8.16</w:t>
      </w:r>
      <w:r>
        <w:rPr>
          <w:rFonts w:ascii="Times New Roman;sans-serif" w:hAnsi="Times New Roman;sans-serif"/>
          <w:b w:val="false"/>
          <w:color w:val="000000"/>
          <w:sz w:val="22"/>
          <w:u w:val="single"/>
        </w:rPr>
        <w:t>Acknowledgement and Consent to Bail-In of Certain Affected Financial</w:t>
      </w:r>
      <w:r>
        <w:rPr>
          <w:color w:val="000000"/>
        </w:rPr>
        <w:t xml:space="preserve"> </w:t>
      </w:r>
      <w:r>
        <w:rPr>
          <w:rFonts w:ascii="Times New Roman;sans-serif" w:hAnsi="Times New Roman;sans-serif"/>
          <w:b w:val="false"/>
          <w:color w:val="000000"/>
          <w:sz w:val="22"/>
          <w:u w:val="single"/>
        </w:rPr>
        <w:t>Institutions</w:t>
      </w:r>
      <w:r>
        <w:rPr>
          <w:rFonts w:ascii="Times New Roman;sans-serif" w:hAnsi="Times New Roman;sans-serif"/>
          <w:b w:val="false"/>
          <w:color w:val="000000"/>
          <w:sz w:val="22"/>
        </w:rPr>
        <w:t xml:space="preserve">. Notwithstanding anything to the contrary in this Agreement or in any other agreement, arrangement or understanding among any such parties, each party hereto acknowledges that any liability of any Affected Financial Institution arising under this Agreement, to the extent such liability is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79" name="Frame1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61</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80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rPr>
        <w:t>the effects of any Bail-In Action on any such liability, including, if applicable:</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(i)a reduction in full or in part or cancellation of any such liability;</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900"/>
        <w:jc w:val="both"/>
        <w:rPr>
          <w:rFonts w:ascii="Times New Roman;sans-serif" w:hAnsi="Times New Roman;sans-serif"/>
          <w:b w:val="false"/>
          <w:color w:val="000000"/>
          <w:sz w:val="22"/>
        </w:rPr>
      </w:pPr>
      <w:r>
        <w:rPr>
          <w:rFonts w:ascii="Times New Roman;sans-serif" w:hAnsi="Times New Roman;sans-serif"/>
          <w:b w:val="false"/>
          <w:color w:val="000000"/>
          <w:sz w:val="22"/>
        </w:rPr>
        <w:t>(iii)the variation of the terms of such liability in connection with the exercise of the Write-Down and Conversion Powers of the applicable Resolution Authority.</w:t>
      </w:r>
    </w:p>
    <w:p>
      <w:pPr>
        <w:pStyle w:val="TextBody"/>
        <w:bidi w:val="0"/>
        <w:spacing w:lineRule="auto" w:line="240" w:before="0" w:after="240"/>
        <w:ind w:left="0" w:right="0" w:firstLine="1440"/>
        <w:jc w:val="both"/>
        <w:rPr/>
      </w:pPr>
      <w:r>
        <w:rPr>
          <w:rFonts w:ascii="Times New Roman;sans-serif" w:hAnsi="Times New Roman;sans-serif"/>
          <w:b w:val="false"/>
          <w:color w:val="000000"/>
          <w:sz w:val="22"/>
        </w:rPr>
        <w:t>Section 8.17</w:t>
      </w:r>
      <w:r>
        <w:rPr>
          <w:rFonts w:ascii="Times New Roman;sans-serif" w:hAnsi="Times New Roman;sans-serif"/>
          <w:b/>
          <w:color w:val="000000"/>
          <w:sz w:val="22"/>
          <w:u w:val="single"/>
        </w:rPr>
        <w:t>WAIVER OF JURY TRIAL</w:t>
      </w:r>
      <w:r>
        <w:rPr>
          <w:rFonts w:ascii="Times New Roman;sans-serif" w:hAnsi="Times New Roman;sans-serif"/>
          <w:b/>
          <w:color w:val="000000"/>
          <w:sz w:val="22"/>
        </w:rPr>
        <w:t>.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80" name="Frame1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62</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hereto have caused this Agreement to be executed by their respective officers thereunto duly authorized, as of the date first above written.</w:t>
      </w:r>
    </w:p>
    <w:p>
      <w:pPr>
        <w:pStyle w:val="TextBody"/>
        <w:bidi w:val="0"/>
        <w:spacing w:before="0" w:after="0"/>
        <w:jc w:val="both"/>
        <w:rPr/>
      </w:pPr>
      <w:r>
        <w:rPr/>
      </w:r>
    </w:p>
    <w:tbl>
      <w:tblPr>
        <w:tblW w:w="4004" w:type="dxa"/>
        <w:jc w:val="left"/>
        <w:tblInd w:w="0" w:type="dxa"/>
        <w:tblLayout w:type="fixed"/>
        <w:tblCellMar>
          <w:top w:w="28" w:type="dxa"/>
          <w:left w:w="28" w:type="dxa"/>
          <w:bottom w:w="28" w:type="dxa"/>
          <w:right w:w="28" w:type="dxa"/>
        </w:tblCellMar>
      </w:tblPr>
      <w:tblGrid>
        <w:gridCol w:w="338"/>
        <w:gridCol w:w="296"/>
        <w:gridCol w:w="296"/>
        <w:gridCol w:w="894"/>
        <w:gridCol w:w="894"/>
        <w:gridCol w:w="1286"/>
      </w:tblGrid>
      <w:tr>
        <w:trPr/>
        <w:tc>
          <w:tcPr>
            <w:tcW w:w="3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40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AUTODESK, INC.</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Janesh Moorjani</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Janesh Moorjani    </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Chief Financial Officer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31445"/>
                <wp:effectExtent l="0" t="0" r="0" b="0"/>
                <wp:wrapNone/>
                <wp:docPr id="181" name="Frame1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4880" w:type="dxa"/>
        <w:jc w:val="left"/>
        <w:tblInd w:w="0" w:type="dxa"/>
        <w:tblLayout w:type="fixed"/>
        <w:tblCellMar>
          <w:top w:w="28" w:type="dxa"/>
          <w:left w:w="28" w:type="dxa"/>
          <w:bottom w:w="28" w:type="dxa"/>
          <w:right w:w="28" w:type="dxa"/>
        </w:tblCellMar>
      </w:tblPr>
      <w:tblGrid>
        <w:gridCol w:w="499"/>
        <w:gridCol w:w="437"/>
        <w:gridCol w:w="437"/>
        <w:gridCol w:w="665"/>
        <w:gridCol w:w="665"/>
        <w:gridCol w:w="665"/>
        <w:gridCol w:w="437"/>
        <w:gridCol w:w="437"/>
        <w:gridCol w:w="638"/>
      </w:tblGrid>
      <w:tr>
        <w:trPr/>
        <w:tc>
          <w:tcPr>
            <w:tcW w:w="4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48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 as Administrative Agent</w:t>
            </w:r>
          </w:p>
        </w:tc>
      </w:tr>
      <w:tr>
        <w:trPr/>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Susan Olsen</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Susan Olsen</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4067" w:type="dxa"/>
        <w:jc w:val="left"/>
        <w:tblInd w:w="0" w:type="dxa"/>
        <w:tblLayout w:type="fixed"/>
        <w:tblCellMar>
          <w:top w:w="28" w:type="dxa"/>
          <w:left w:w="28" w:type="dxa"/>
          <w:bottom w:w="28" w:type="dxa"/>
          <w:right w:w="28" w:type="dxa"/>
        </w:tblCellMar>
      </w:tblPr>
      <w:tblGrid>
        <w:gridCol w:w="357"/>
        <w:gridCol w:w="314"/>
        <w:gridCol w:w="314"/>
        <w:gridCol w:w="665"/>
        <w:gridCol w:w="665"/>
        <w:gridCol w:w="665"/>
        <w:gridCol w:w="314"/>
        <w:gridCol w:w="314"/>
        <w:gridCol w:w="459"/>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40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CITIBANK, N.A., as a Lender</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Susan Olsen</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Susan Olsen</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31445"/>
                <wp:effectExtent l="0" t="0" r="0" b="0"/>
                <wp:wrapNone/>
                <wp:docPr id="182" name="Frame1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4434" w:type="dxa"/>
        <w:jc w:val="left"/>
        <w:tblInd w:w="0" w:type="dxa"/>
        <w:tblLayout w:type="fixed"/>
        <w:tblCellMar>
          <w:top w:w="28" w:type="dxa"/>
          <w:left w:w="28" w:type="dxa"/>
          <w:bottom w:w="28" w:type="dxa"/>
          <w:right w:w="28" w:type="dxa"/>
        </w:tblCellMar>
      </w:tblPr>
      <w:tblGrid>
        <w:gridCol w:w="421"/>
        <w:gridCol w:w="370"/>
        <w:gridCol w:w="370"/>
        <w:gridCol w:w="670"/>
        <w:gridCol w:w="670"/>
        <w:gridCol w:w="670"/>
        <w:gridCol w:w="370"/>
        <w:gridCol w:w="370"/>
        <w:gridCol w:w="523"/>
      </w:tblGrid>
      <w:tr>
        <w:trPr/>
        <w:tc>
          <w:tcPr>
            <w:tcW w:w="4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443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Bank of America, N.A., as a Lender</w:t>
            </w:r>
          </w:p>
        </w:tc>
      </w:tr>
      <w:tr>
        <w:trPr/>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James Haack</w:t>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James Haack</w:t>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31445"/>
                <wp:effectExtent l="0" t="0" r="0" b="0"/>
                <wp:wrapNone/>
                <wp:docPr id="183" name="Frame1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4342" w:type="dxa"/>
        <w:jc w:val="left"/>
        <w:tblInd w:w="0" w:type="dxa"/>
        <w:tblLayout w:type="fixed"/>
        <w:tblCellMar>
          <w:top w:w="28" w:type="dxa"/>
          <w:left w:w="28" w:type="dxa"/>
          <w:bottom w:w="28" w:type="dxa"/>
          <w:right w:w="28" w:type="dxa"/>
        </w:tblCellMar>
      </w:tblPr>
      <w:tblGrid>
        <w:gridCol w:w="333"/>
        <w:gridCol w:w="292"/>
        <w:gridCol w:w="292"/>
        <w:gridCol w:w="805"/>
        <w:gridCol w:w="805"/>
        <w:gridCol w:w="805"/>
        <w:gridCol w:w="292"/>
        <w:gridCol w:w="292"/>
        <w:gridCol w:w="426"/>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434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Lender</w:t>
            </w:r>
          </w:p>
        </w:tc>
      </w:tr>
      <w:tr>
        <w:trPr/>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Christopher Sked</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Christopher Sked</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2981" w:type="dxa"/>
        <w:jc w:val="left"/>
        <w:tblInd w:w="0" w:type="dxa"/>
        <w:tblLayout w:type="fixed"/>
        <w:tblCellMar>
          <w:top w:w="28" w:type="dxa"/>
          <w:left w:w="28" w:type="dxa"/>
          <w:bottom w:w="28" w:type="dxa"/>
          <w:right w:w="28" w:type="dxa"/>
        </w:tblCellMar>
      </w:tblPr>
      <w:tblGrid>
        <w:gridCol w:w="162"/>
        <w:gridCol w:w="143"/>
        <w:gridCol w:w="145"/>
        <w:gridCol w:w="719"/>
        <w:gridCol w:w="719"/>
        <w:gridCol w:w="72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Nicolas Doche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Nicolas Doche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31445"/>
                <wp:effectExtent l="0" t="0" r="0" b="0"/>
                <wp:wrapNone/>
                <wp:docPr id="184" name="Frame1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5897" w:type="dxa"/>
        <w:jc w:val="left"/>
        <w:tblInd w:w="0" w:type="dxa"/>
        <w:tblLayout w:type="fixed"/>
        <w:tblCellMar>
          <w:top w:w="28" w:type="dxa"/>
          <w:left w:w="28" w:type="dxa"/>
          <w:bottom w:w="28" w:type="dxa"/>
          <w:right w:w="28" w:type="dxa"/>
        </w:tblCellMar>
      </w:tblPr>
      <w:tblGrid>
        <w:gridCol w:w="561"/>
        <w:gridCol w:w="494"/>
        <w:gridCol w:w="494"/>
        <w:gridCol w:w="885"/>
        <w:gridCol w:w="885"/>
        <w:gridCol w:w="885"/>
        <w:gridCol w:w="494"/>
        <w:gridCol w:w="494"/>
        <w:gridCol w:w="705"/>
      </w:tblGrid>
      <w:tr>
        <w:trPr/>
        <w:tc>
          <w:tcPr>
            <w:tcW w:w="5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589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 as a Lender</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Michael King</w:t>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Michael King</w:t>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31445"/>
                <wp:effectExtent l="0" t="0" r="0" b="0"/>
                <wp:wrapNone/>
                <wp:docPr id="185" name="Frame1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5447" w:type="dxa"/>
        <w:jc w:val="left"/>
        <w:tblInd w:w="0" w:type="dxa"/>
        <w:tblLayout w:type="fixed"/>
        <w:tblCellMar>
          <w:top w:w="28" w:type="dxa"/>
          <w:left w:w="28" w:type="dxa"/>
          <w:bottom w:w="28" w:type="dxa"/>
          <w:right w:w="28" w:type="dxa"/>
        </w:tblCellMar>
      </w:tblPr>
      <w:tblGrid>
        <w:gridCol w:w="515"/>
        <w:gridCol w:w="452"/>
        <w:gridCol w:w="452"/>
        <w:gridCol w:w="825"/>
        <w:gridCol w:w="825"/>
        <w:gridCol w:w="825"/>
        <w:gridCol w:w="452"/>
        <w:gridCol w:w="452"/>
        <w:gridCol w:w="649"/>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544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 as a Lender</w:t>
            </w:r>
          </w:p>
        </w:tc>
      </w:tr>
      <w:tr>
        <w:trPr/>
        <w:tc>
          <w:tcPr>
            <w:tcW w:w="14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Alexander Wilson</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Alexander Wilson</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31445"/>
                <wp:effectExtent l="0" t="0" r="0" b="0"/>
                <wp:wrapNone/>
                <wp:docPr id="186" name="Frame1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5666" w:type="dxa"/>
        <w:jc w:val="left"/>
        <w:tblInd w:w="0" w:type="dxa"/>
        <w:tblLayout w:type="fixed"/>
        <w:tblCellMar>
          <w:top w:w="28" w:type="dxa"/>
          <w:left w:w="28" w:type="dxa"/>
          <w:bottom w:w="28" w:type="dxa"/>
          <w:right w:w="28" w:type="dxa"/>
        </w:tblCellMar>
      </w:tblPr>
      <w:tblGrid>
        <w:gridCol w:w="552"/>
        <w:gridCol w:w="484"/>
        <w:gridCol w:w="484"/>
        <w:gridCol w:w="825"/>
        <w:gridCol w:w="825"/>
        <w:gridCol w:w="825"/>
        <w:gridCol w:w="484"/>
        <w:gridCol w:w="484"/>
        <w:gridCol w:w="703"/>
      </w:tblGrid>
      <w:tr>
        <w:trPr/>
        <w:tc>
          <w:tcPr>
            <w:tcW w:w="55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566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JPMORGAN CHASE BANK, N.A., as a Lender</w:t>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Ryan Zimmerman</w:t>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Ryan Zimmerman</w:t>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Executive Director</w:t>
            </w:r>
          </w:p>
        </w:tc>
        <w:tc>
          <w:tcPr>
            <w:tcW w:w="1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31445"/>
                <wp:effectExtent l="0" t="0" r="0" b="0"/>
                <wp:wrapNone/>
                <wp:docPr id="187" name="Frame1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3946" w:type="dxa"/>
        <w:jc w:val="left"/>
        <w:tblInd w:w="0" w:type="dxa"/>
        <w:tblLayout w:type="fixed"/>
        <w:tblCellMar>
          <w:top w:w="28" w:type="dxa"/>
          <w:left w:w="28" w:type="dxa"/>
          <w:bottom w:w="28" w:type="dxa"/>
          <w:right w:w="28" w:type="dxa"/>
        </w:tblCellMar>
      </w:tblPr>
      <w:tblGrid>
        <w:gridCol w:w="357"/>
        <w:gridCol w:w="314"/>
        <w:gridCol w:w="314"/>
        <w:gridCol w:w="630"/>
        <w:gridCol w:w="630"/>
        <w:gridCol w:w="630"/>
        <w:gridCol w:w="314"/>
        <w:gridCol w:w="314"/>
        <w:gridCol w:w="443"/>
      </w:tblGrid>
      <w:tr>
        <w:trPr/>
        <w:tc>
          <w:tcPr>
            <w:tcW w:w="35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39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MUFG Bank, Ltd. as a Lender</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Eric Enberg</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Eric Enberg</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31445"/>
                <wp:effectExtent l="0" t="0" r="0" b="0"/>
                <wp:wrapNone/>
                <wp:docPr id="188" name="Frame1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5052" w:type="dxa"/>
        <w:jc w:val="left"/>
        <w:tblInd w:w="0" w:type="dxa"/>
        <w:tblLayout w:type="fixed"/>
        <w:tblCellMar>
          <w:top w:w="28" w:type="dxa"/>
          <w:left w:w="28" w:type="dxa"/>
          <w:bottom w:w="28" w:type="dxa"/>
          <w:right w:w="28" w:type="dxa"/>
        </w:tblCellMar>
      </w:tblPr>
      <w:tblGrid>
        <w:gridCol w:w="416"/>
        <w:gridCol w:w="366"/>
        <w:gridCol w:w="366"/>
        <w:gridCol w:w="885"/>
        <w:gridCol w:w="885"/>
        <w:gridCol w:w="885"/>
        <w:gridCol w:w="366"/>
        <w:gridCol w:w="366"/>
        <w:gridCol w:w="517"/>
      </w:tblGrid>
      <w:tr>
        <w:trPr/>
        <w:tc>
          <w:tcPr>
            <w:tcW w:w="4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50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Royal Bank of Canada, as a Lender</w:t>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Nicholas Heslip</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Nicholas Heslip</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31445"/>
                <wp:effectExtent l="0" t="0" r="0" b="0"/>
                <wp:wrapNone/>
                <wp:docPr id="189" name="Frame1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tbl>
      <w:tblPr>
        <w:tblW w:w="5276" w:type="dxa"/>
        <w:jc w:val="left"/>
        <w:tblInd w:w="0" w:type="dxa"/>
        <w:tblLayout w:type="fixed"/>
        <w:tblCellMar>
          <w:top w:w="28" w:type="dxa"/>
          <w:left w:w="28" w:type="dxa"/>
          <w:bottom w:w="28" w:type="dxa"/>
          <w:right w:w="28" w:type="dxa"/>
        </w:tblCellMar>
      </w:tblPr>
      <w:tblGrid>
        <w:gridCol w:w="529"/>
        <w:gridCol w:w="465"/>
        <w:gridCol w:w="465"/>
        <w:gridCol w:w="740"/>
        <w:gridCol w:w="740"/>
        <w:gridCol w:w="740"/>
        <w:gridCol w:w="465"/>
        <w:gridCol w:w="465"/>
        <w:gridCol w:w="667"/>
      </w:tblGrid>
      <w:tr>
        <w:trPr/>
        <w:tc>
          <w:tcPr>
            <w:tcW w:w="5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Wells Fargo Bank, National Association, as a </w:t>
            </w:r>
          </w:p>
          <w:p>
            <w:pPr>
              <w:pStyle w:val="TableContents"/>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Lender</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 Jack Stutesman</w:t>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Jack Stutesman</w:t>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Director</w:t>
            </w:r>
          </w:p>
        </w:tc>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31445"/>
                <wp:effectExtent l="0" t="0" r="0" b="0"/>
                <wp:wrapNone/>
                <wp:docPr id="190" name="Frame1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[Autodesk – Signature Page to Credit Agreement]</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u w:val="single"/>
        </w:rPr>
      </w:pPr>
      <w:r>
        <w:rPr>
          <w:rFonts w:ascii="Times New Roman;sans-serif" w:hAnsi="Times New Roman;sans-serif"/>
          <w:b/>
          <w:color w:val="000000"/>
          <w:sz w:val="22"/>
          <w:u w:val="single"/>
        </w:rPr>
        <w:t xml:space="preserve">SCHEDULE I </w:t>
        <w:br/>
        <w:t>COMMITMENTS</w:t>
      </w:r>
    </w:p>
    <w:p>
      <w:pPr>
        <w:pStyle w:val="TextBody"/>
        <w:bidi w:val="0"/>
        <w:spacing w:before="0" w:after="0"/>
        <w:jc w:val="both"/>
        <w:rPr/>
      </w:pPr>
      <w:r>
        <w:rPr/>
      </w:r>
    </w:p>
    <w:tbl>
      <w:tblPr>
        <w:tblW w:w="5821" w:type="dxa"/>
        <w:jc w:val="left"/>
        <w:tblInd w:w="0" w:type="dxa"/>
        <w:tblLayout w:type="fixed"/>
        <w:tblCellMar>
          <w:top w:w="28" w:type="dxa"/>
          <w:left w:w="28" w:type="dxa"/>
          <w:bottom w:w="28" w:type="dxa"/>
          <w:right w:w="28" w:type="dxa"/>
        </w:tblCellMar>
      </w:tblPr>
      <w:tblGrid>
        <w:gridCol w:w="1401"/>
        <w:gridCol w:w="1228"/>
        <w:gridCol w:w="1241"/>
        <w:gridCol w:w="570"/>
        <w:gridCol w:w="570"/>
        <w:gridCol w:w="811"/>
      </w:tblGrid>
      <w:tr>
        <w:trPr/>
        <w:tc>
          <w:tcPr>
            <w:tcW w:w="140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color w:val="000000"/>
                <w:sz w:val="22"/>
              </w:rPr>
            </w:pPr>
            <w:r>
              <w:rPr>
                <w:rFonts w:ascii="Times New Roman;sans-serif" w:hAnsi="Times New Roman;sans-serif"/>
                <w:b/>
                <w:color w:val="000000"/>
                <w:sz w:val="22"/>
              </w:rPr>
              <w:t>Lender</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Commitments</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Citibank, N.A.</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$212,000,000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Bank of America, N.A.</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$212,000,000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BNP Paribas</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$212,000,000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Morgan Stanley Bank, N.A.</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$212,000,000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U.S. Bank National Association</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$212,000,000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JPMorgan Chase Bank, N.A.</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MUFG Bank, Ltd.</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Royal Bank of Canada</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$110,000,000</w:t>
            </w:r>
          </w:p>
        </w:tc>
      </w:tr>
      <w:tr>
        <w:trPr/>
        <w:tc>
          <w:tcPr>
            <w:tcW w:w="38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60" w:after="283"/>
              <w:jc w:val="both"/>
              <w:rPr>
                <w:rFonts w:ascii="Times New Roman;sans-serif" w:hAnsi="Times New Roman;sans-serif"/>
                <w:b w:val="false"/>
                <w:color w:val="000000"/>
                <w:sz w:val="22"/>
              </w:rPr>
            </w:pPr>
            <w:r>
              <w:rPr>
                <w:rFonts w:ascii="Times New Roman;sans-serif" w:hAnsi="Times New Roman;sans-serif"/>
                <w:b w:val="false"/>
                <w:color w:val="000000"/>
                <w:sz w:val="22"/>
              </w:rPr>
              <w:t>Wells Fargo Bank, National Association</w:t>
            </w:r>
          </w:p>
        </w:tc>
        <w:tc>
          <w:tcPr>
            <w:tcW w:w="19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6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$110,000,000</w:t>
            </w:r>
          </w:p>
        </w:tc>
      </w:tr>
      <w:tr>
        <w:trPr/>
        <w:tc>
          <w:tcPr>
            <w:tcW w:w="38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60" w:after="283"/>
              <w:jc w:val="both"/>
              <w:rPr>
                <w:rFonts w:ascii="Times New Roman;sans-serif" w:hAnsi="Times New Roman;sans-serif"/>
                <w:b/>
                <w:color w:val="000000"/>
                <w:sz w:val="22"/>
              </w:rPr>
            </w:pPr>
            <w:r>
              <w:rPr>
                <w:rFonts w:ascii="Times New Roman;sans-serif" w:hAnsi="Times New Roman;sans-serif"/>
                <w:b/>
                <w:color w:val="000000"/>
                <w:sz w:val="22"/>
              </w:rPr>
              <w:t>Total</w:t>
            </w:r>
          </w:p>
        </w:tc>
        <w:tc>
          <w:tcPr>
            <w:tcW w:w="19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$1,500,000,000.00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EXHIBIT A - </w:t>
        <w:br/>
        <w:t>FORM OF PROMISSORY NOTE</w:t>
      </w:r>
    </w:p>
    <w:tbl>
      <w:tblPr>
        <w:tblW w:w="5848" w:type="dxa"/>
        <w:jc w:val="left"/>
        <w:tblInd w:w="0" w:type="dxa"/>
        <w:tblLayout w:type="fixed"/>
        <w:tblCellMar>
          <w:top w:w="28" w:type="dxa"/>
          <w:left w:w="28" w:type="dxa"/>
          <w:bottom w:w="28" w:type="dxa"/>
          <w:right w:w="28" w:type="dxa"/>
        </w:tblCellMar>
      </w:tblPr>
      <w:tblGrid>
        <w:gridCol w:w="886"/>
        <w:gridCol w:w="778"/>
        <w:gridCol w:w="780"/>
        <w:gridCol w:w="207"/>
        <w:gridCol w:w="207"/>
        <w:gridCol w:w="2990"/>
      </w:tblGrid>
      <w:tr>
        <w:trPr/>
        <w:tc>
          <w:tcPr>
            <w:tcW w:w="8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U.S.$_______________</w:t>
            </w:r>
          </w:p>
        </w:tc>
        <w:tc>
          <w:tcPr>
            <w:tcW w:w="3404" w:type="dxa"/>
            <w:gridSpan w:val="3"/>
            <w:tcBorders/>
            <w:tcMar>
              <w:top w:w="0" w:type="dxa"/>
              <w:left w:w="0" w:type="dxa"/>
              <w:bottom w:w="0" w:type="dxa"/>
              <w:right w:w="0" w:type="dxa"/>
            </w:tcMar>
            <w:vAlign w:val="center"/>
          </w:tcPr>
          <w:p>
            <w:pPr>
              <w:pStyle w:val="TableContents"/>
              <w:bidi w:val="0"/>
              <w:spacing w:lineRule="auto" w:line="288" w:before="0" w:after="240"/>
              <w:jc w:val="right"/>
              <w:rPr/>
            </w:pPr>
            <w:r>
              <w:rPr>
                <w:rFonts w:ascii="Times New Roman;sans-serif" w:hAnsi="Times New Roman;sans-serif"/>
                <w:b w:val="false"/>
                <w:color w:val="000000"/>
                <w:sz w:val="22"/>
              </w:rPr>
              <w:t>Dated: ________________, 20__</w:t>
            </w:r>
            <w:r>
              <w:rPr>
                <w:color w:val="000000"/>
                <w:u w:val="single"/>
              </w:rPr>
              <w:t xml:space="preserve"> </w:t>
            </w:r>
          </w:p>
        </w:tc>
      </w:tr>
    </w:tbl>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FOR VALUE RECEIVED, the undersigned, AUTODESK, INC., a Delaware corporation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HEREBY PROMISES TO PAY to</w:t>
      </w:r>
      <w:r>
        <w:rPr>
          <w:color w:val="000000"/>
          <w:u w:val="single"/>
        </w:rPr>
        <w:t xml:space="preserve">     </w:t>
      </w:r>
      <w:r>
        <w:rPr>
          <w:rFonts w:ascii="Times New Roman;sans-serif" w:hAnsi="Times New Roman;sans-serif"/>
          <w:b w:val="false"/>
          <w:color w:val="000000"/>
          <w:sz w:val="22"/>
        </w:rPr>
        <w:t>(the “</w:t>
      </w:r>
      <w:r>
        <w:rPr>
          <w:rFonts w:ascii="Times New Roman;sans-serif" w:hAnsi="Times New Roman;sans-serif"/>
          <w:b w:val="false"/>
          <w:color w:val="000000"/>
          <w:sz w:val="22"/>
          <w:u w:val="single"/>
        </w:rPr>
        <w:t>Lender</w:t>
      </w:r>
      <w:r>
        <w:rPr>
          <w:color w:val="000000"/>
        </w:rPr>
        <w:t>”</w:t>
      </w:r>
      <w:r>
        <w:rPr>
          <w:rFonts w:ascii="Times New Roman;sans-serif" w:hAnsi="Times New Roman;sans-serif"/>
          <w:b w:val="false"/>
          <w:color w:val="000000"/>
          <w:sz w:val="22"/>
        </w:rPr>
        <w:t>) for the account of its Applicable Lending Office on the Termination Date (as defined in the Credit Agreement referred to below) applicable to such Lender the principal sum of U.S.$[</w:t>
      </w:r>
      <w:r>
        <w:rPr>
          <w:rFonts w:ascii="Times New Roman;sans-serif" w:hAnsi="Times New Roman;sans-serif"/>
          <w:b w:val="false"/>
          <w:i/>
          <w:color w:val="000000"/>
          <w:sz w:val="22"/>
        </w:rPr>
        <w:t>amount of the Lender’s Commitment in figures</w:t>
      </w:r>
      <w:r>
        <w:rPr>
          <w:rFonts w:ascii="Times New Roman;sans-serif" w:hAnsi="Times New Roman;sans-serif"/>
          <w:b w:val="false"/>
          <w:color w:val="000000"/>
          <w:sz w:val="22"/>
        </w:rPr>
        <w:t>] or, if less, the aggregate principal amount of the Advances made by the Lender to the Borrower pursuant to the Credit Agreement dated as of May 8, 2025 among the Borrower, the Lender and certain other lenders parties thereto, and Citibank, N.A. as Agent for the Lender and such other lenders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the terms defined therein being used herein as therein defined) outstanding on such date.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Borrower promises to pay interest on the unpaid principal amount of each Advance from the date of such Advance until such principal amount is paid in full, at such interest rates, and payable at such times, as are specified in the Credit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Both principal and interest are payable in lawful money of the United States of America to Citibank, as Agent, at 388 Greenwich Street, New York, New York 10013, in same day funds. Each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This Promissory Note is one of the Notes referred to in, and is entitled to the benefits of, the Credit Agreement. The Credit Agreement, among other things, (i) provides for the making of Advances by the Lender to the Borrower from time to time in an aggregate amount not to exceed at any time outstanding the U.S. dollar amount first above mentioned, the indebtedness of the Borrower resulting from each such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tbl>
      <w:tblPr>
        <w:tblW w:w="1948" w:type="dxa"/>
        <w:jc w:val="left"/>
        <w:tblInd w:w="0" w:type="dxa"/>
        <w:tblLayout w:type="fixed"/>
        <w:tblCellMar>
          <w:top w:w="28" w:type="dxa"/>
          <w:left w:w="28" w:type="dxa"/>
          <w:bottom w:w="28" w:type="dxa"/>
          <w:right w:w="28" w:type="dxa"/>
        </w:tblCellMar>
      </w:tblPr>
      <w:tblGrid>
        <w:gridCol w:w="338"/>
        <w:gridCol w:w="296"/>
        <w:gridCol w:w="296"/>
        <w:gridCol w:w="296"/>
        <w:gridCol w:w="296"/>
        <w:gridCol w:w="426"/>
      </w:tblGrid>
      <w:tr>
        <w:trPr/>
        <w:tc>
          <w:tcPr>
            <w:tcW w:w="3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AUTODESK, INC.</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01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tc>
      </w:tr>
      <w:tr>
        <w:trPr/>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ADVANCES AND PAYMENTS OF PRINCIPAL</w:t>
      </w:r>
    </w:p>
    <w:tbl>
      <w:tblPr>
        <w:tblW w:w="10205" w:type="dxa"/>
        <w:jc w:val="left"/>
        <w:tblInd w:w="0" w:type="dxa"/>
        <w:tblLayout w:type="fixed"/>
        <w:tblCellMar>
          <w:top w:w="28" w:type="dxa"/>
          <w:left w:w="28" w:type="dxa"/>
          <w:bottom w:w="28" w:type="dxa"/>
          <w:right w:w="28" w:type="dxa"/>
        </w:tblCellMar>
      </w:tblPr>
      <w:tblGrid>
        <w:gridCol w:w="212"/>
        <w:gridCol w:w="186"/>
        <w:gridCol w:w="188"/>
        <w:gridCol w:w="645"/>
        <w:gridCol w:w="645"/>
        <w:gridCol w:w="647"/>
        <w:gridCol w:w="1133"/>
        <w:gridCol w:w="1133"/>
        <w:gridCol w:w="1136"/>
        <w:gridCol w:w="807"/>
        <w:gridCol w:w="807"/>
        <w:gridCol w:w="810"/>
        <w:gridCol w:w="540"/>
        <w:gridCol w:w="540"/>
        <w:gridCol w:w="77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Date</w:t>
            </w:r>
          </w:p>
        </w:tc>
        <w:tc>
          <w:tcPr>
            <w:tcW w:w="19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Amount of Advance</w:t>
            </w:r>
          </w:p>
        </w:tc>
        <w:tc>
          <w:tcPr>
            <w:tcW w:w="340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Amount of Principal Paid or Prepaid</w:t>
            </w:r>
          </w:p>
        </w:tc>
        <w:tc>
          <w:tcPr>
            <w:tcW w:w="24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Unpaid Principal Balance</w:t>
            </w:r>
          </w:p>
        </w:tc>
        <w:tc>
          <w:tcPr>
            <w:tcW w:w="185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Notation Made By</w:t>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0"/>
              <w:jc w:val="center"/>
              <w:rPr/>
            </w:pPr>
            <w:r>
              <w:rPr/>
            </w:r>
          </w:p>
        </w:tc>
      </w:tr>
      <w:tr>
        <w:trPr/>
        <w:tc>
          <w:tcPr>
            <w:tcW w:w="5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93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340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242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center"/>
              <w:rPr/>
            </w:pPr>
            <w:r>
              <w:rPr/>
            </w:r>
          </w:p>
        </w:tc>
        <w:tc>
          <w:tcPr>
            <w:tcW w:w="1856"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60655"/>
                <wp:effectExtent l="0" t="0" r="0" b="0"/>
                <wp:wrapNone/>
                <wp:docPr id="193" name="Frame1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75</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B - FORM OF NOTICE OF</w:t>
        <w:br/>
        <w:t>BORROWING</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Citibank, N.A., as Agent </w:t>
        <w:br/>
        <w:t xml:space="preserve">for the Lenders parties </w:t>
        <w:br/>
        <w:t>to the Credit Agreement</w:t>
        <w:br/>
        <w:t>referred to below</w:t>
        <w:br/>
        <w:t>One Penns Way, OPS 2/2</w:t>
        <w:br/>
        <w:t>New Castle, Delaware 19720</w:t>
        <w:br/>
        <w:t>Attention: Lending Agency</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The undersigned, Autodesk, Inc., refers to the Credit Agreement dated as of May 8, 2025 (as amended, restated, amended and restated, supplemented or otherwise modified from time to time,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the terms defined therein being used herein as therein defined), among the undersigned, certain Lenders parties thereto and Citibank, N.A., as Agent for said Lenders, and hereby gives you notice, irrevocably, pursuant to Section 2.02 of the Credit Agreement that the undersigned hereby requests a Borrowing under the Credit Agreement, and in that connection sets forth below the information relating to such Borrowing (the “</w:t>
      </w:r>
      <w:r>
        <w:rPr>
          <w:rFonts w:ascii="Times New Roman;sans-serif" w:hAnsi="Times New Roman;sans-serif"/>
          <w:b w:val="false"/>
          <w:color w:val="000000"/>
          <w:sz w:val="22"/>
          <w:u w:val="single"/>
        </w:rPr>
        <w:t>Proposed Borrowing</w:t>
      </w:r>
      <w:r>
        <w:rPr>
          <w:color w:val="000000"/>
        </w:rPr>
        <w:t>”</w:t>
      </w:r>
      <w:r>
        <w:rPr>
          <w:rFonts w:ascii="Times New Roman;sans-serif" w:hAnsi="Times New Roman;sans-serif"/>
          <w:b w:val="false"/>
          <w:color w:val="000000"/>
          <w:sz w:val="22"/>
        </w:rPr>
        <w:t>) as required by Section 2.02(a) of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    The Business Day of the Proposed Borrowing is</w:t>
      </w:r>
      <w:r>
        <w:rPr>
          <w:color w:val="000000"/>
          <w:u w:val="single"/>
        </w:rPr>
        <w:t xml:space="preserve">     </w:t>
      </w:r>
      <w:r>
        <w:rPr>
          <w:rFonts w:ascii="Times New Roman;sans-serif" w:hAnsi="Times New Roman;sans-serif"/>
          <w:b w:val="false"/>
          <w:color w:val="000000"/>
          <w:sz w:val="22"/>
        </w:rPr>
        <w:t>, 20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    The Type of Advances comprising the Proposed Borrowing is [Base Rate Advances] [SOFR Advances].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(iii)    The aggregate amount of the Proposed Borrowing is $</w:t>
      </w:r>
      <w:r>
        <w:rPr>
          <w:color w:val="000000"/>
          <w:u w:val="single"/>
        </w:rPr>
        <w:t xml:space="preserve">     </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[(iv)    The initial Interest Period for each SOFR Advance made as part of the Proposed Borrowing is</w:t>
      </w:r>
      <w:r>
        <w:rPr>
          <w:color w:val="000000"/>
          <w:u w:val="single"/>
        </w:rPr>
        <w:t xml:space="preserve">     </w:t>
      </w:r>
      <w:r>
        <w:rPr>
          <w:rFonts w:ascii="Times New Roman;sans-serif" w:hAnsi="Times New Roman;sans-serif"/>
          <w:b w:val="false"/>
          <w:color w:val="000000"/>
          <w:sz w:val="22"/>
        </w:rPr>
        <w:t>month[s].]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hereby certifies that the following statements will be true on the date of the Proposed Borrowing: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the representations and warranties contained in Section 4.01 of the Credit Agreement (except the representations and warranties set forth in subsections (e)(ii) and (f)(i) thereof) are correct in all material respects on and as of such date, immediately before and immediately after giving effect to the Proposed Borrowing and to the application of the proceeds therefrom, as though made on and as of such date (except (x) to the extent such representations and warranties specifically relate to an earlier date, in which case such representations and warranties shall have been true and correct in all material respects on and as of such earlier date and (y) such representations and warranties that are qualified by materiality or Material Adverse Effect in the text thereof shall be true and correct in all respects); and</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no event has occurred and is continuing, or would result from such Proposed Borrowing or from the application of the proceeds therefrom, that constitutes a Default.</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50520"/>
                <wp:effectExtent l="0" t="0" r="0" b="0"/>
                <wp:wrapNone/>
                <wp:docPr id="194" name="Frame1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Very truly yours, </w:t>
      </w:r>
    </w:p>
    <w:tbl>
      <w:tblPr>
        <w:tblW w:w="1948" w:type="dxa"/>
        <w:jc w:val="left"/>
        <w:tblInd w:w="0" w:type="dxa"/>
        <w:tblLayout w:type="fixed"/>
        <w:tblCellMar>
          <w:top w:w="28" w:type="dxa"/>
          <w:left w:w="28" w:type="dxa"/>
          <w:bottom w:w="28" w:type="dxa"/>
          <w:right w:w="28" w:type="dxa"/>
        </w:tblCellMar>
      </w:tblPr>
      <w:tblGrid>
        <w:gridCol w:w="338"/>
        <w:gridCol w:w="296"/>
        <w:gridCol w:w="296"/>
        <w:gridCol w:w="296"/>
        <w:gridCol w:w="296"/>
        <w:gridCol w:w="426"/>
      </w:tblGrid>
      <w:tr>
        <w:trPr/>
        <w:tc>
          <w:tcPr>
            <w:tcW w:w="3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AUTODESK, INC.</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101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tc>
      </w:tr>
      <w:tr>
        <w:trPr/>
        <w:tc>
          <w:tcPr>
            <w:tcW w:w="194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ind w:left="0" w:right="0" w:firstLine="14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-1-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60655"/>
                <wp:effectExtent l="0" t="0" r="0" b="0"/>
                <wp:wrapNone/>
                <wp:docPr id="195" name="Frame1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19.0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77</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 xml:space="preserve">EXHIBIT C - </w:t>
        <w:br/>
        <w:t>FORM OF ASSIGNMENT AND ASSUMPTION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This Assignment and Assumption (the “</w:t>
      </w:r>
      <w:r>
        <w:rPr>
          <w:rFonts w:ascii="Times New Roman;sans-serif" w:hAnsi="Times New Roman;sans-serif"/>
          <w:b w:val="false"/>
          <w:color w:val="000000"/>
          <w:sz w:val="22"/>
          <w:u w:val="single"/>
        </w:rPr>
        <w:t>Assignment and Assumption</w:t>
      </w:r>
      <w:r>
        <w:rPr>
          <w:color w:val="000000"/>
        </w:rPr>
        <w:t>”</w:t>
      </w:r>
      <w:r>
        <w:rPr>
          <w:rFonts w:ascii="Times New Roman;sans-serif" w:hAnsi="Times New Roman;sans-serif"/>
          <w:b w:val="false"/>
          <w:color w:val="000000"/>
          <w:sz w:val="22"/>
        </w:rPr>
        <w:t>) is dated as of the Effective Date set forth below and is entered into by and between [the][each]</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Assignor identified in item 1 below ([the][each, an] “</w:t>
      </w:r>
      <w:r>
        <w:rPr>
          <w:rFonts w:ascii="Times New Roman;sans-serif" w:hAnsi="Times New Roman;sans-serif"/>
          <w:b w:val="false"/>
          <w:color w:val="000000"/>
          <w:sz w:val="22"/>
          <w:u w:val="single"/>
        </w:rPr>
        <w:t>Assignor</w:t>
      </w:r>
      <w:r>
        <w:rPr>
          <w:color w:val="000000"/>
        </w:rPr>
        <w:t>”</w:t>
      </w:r>
      <w:r>
        <w:rPr>
          <w:rFonts w:ascii="Times New Roman;sans-serif" w:hAnsi="Times New Roman;sans-serif"/>
          <w:b w:val="false"/>
          <w:color w:val="000000"/>
          <w:sz w:val="22"/>
        </w:rPr>
        <w:t>) and [the][each]</w:t>
      </w:r>
      <w:r>
        <w:rPr>
          <w:rFonts w:ascii="Times New Roman;sans-serif" w:hAnsi="Times New Roman;sans-serif"/>
          <w:b w:val="false"/>
          <w:color w:val="000000"/>
          <w:sz w:val="14"/>
        </w:rPr>
        <w:t xml:space="preserve">2 </w:t>
      </w:r>
      <w:r>
        <w:rPr>
          <w:rFonts w:ascii="Times New Roman;sans-serif" w:hAnsi="Times New Roman;sans-serif"/>
          <w:b w:val="false"/>
          <w:color w:val="000000"/>
          <w:sz w:val="22"/>
        </w:rPr>
        <w:t>Assignee identified in item 2 below ([the][each, an] “</w:t>
      </w:r>
      <w:r>
        <w:rPr>
          <w:rFonts w:ascii="Times New Roman;sans-serif" w:hAnsi="Times New Roman;sans-serif"/>
          <w:b w:val="false"/>
          <w:color w:val="000000"/>
          <w:sz w:val="22"/>
          <w:u w:val="single"/>
        </w:rPr>
        <w:t>Assignee</w:t>
      </w:r>
      <w:r>
        <w:rPr>
          <w:color w:val="000000"/>
        </w:rPr>
        <w:t>”</w:t>
      </w:r>
      <w:r>
        <w:rPr>
          <w:rFonts w:ascii="Times New Roman;sans-serif" w:hAnsi="Times New Roman;sans-serif"/>
          <w:b w:val="false"/>
          <w:color w:val="000000"/>
          <w:sz w:val="22"/>
        </w:rPr>
        <w:t>). [It is understood and agreed that the rights and obligations of [the Assignors][the Assignees]</w:t>
      </w:r>
      <w:r>
        <w:rPr>
          <w:rFonts w:ascii="Times New Roman;sans-serif" w:hAnsi="Times New Roman;sans-serif"/>
          <w:b w:val="false"/>
          <w:color w:val="000000"/>
          <w:sz w:val="14"/>
        </w:rPr>
        <w:t>3</w:t>
      </w:r>
      <w:r>
        <w:rPr>
          <w:color w:val="000000"/>
        </w:rPr>
        <w:t xml:space="preserve"> </w:t>
      </w:r>
      <w:r>
        <w:rPr>
          <w:rFonts w:ascii="Times New Roman;sans-serif" w:hAnsi="Times New Roman;sans-serif"/>
          <w:b w:val="false"/>
          <w:color w:val="000000"/>
          <w:sz w:val="22"/>
        </w:rPr>
        <w:t>hereunder are several and not joint.]</w:t>
      </w:r>
      <w:r>
        <w:rPr>
          <w:rFonts w:ascii="Times New Roman;sans-serif" w:hAnsi="Times New Roman;sans-serif"/>
          <w:b w:val="false"/>
          <w:color w:val="000000"/>
          <w:sz w:val="14"/>
        </w:rPr>
        <w:t>4</w:t>
      </w:r>
      <w:r>
        <w:rPr>
          <w:color w:val="000000"/>
        </w:rPr>
        <w:t xml:space="preserve"> </w:t>
      </w:r>
      <w:r>
        <w:rPr>
          <w:rFonts w:ascii="Times New Roman;sans-serif" w:hAnsi="Times New Roman;sans-serif"/>
          <w:b w:val="false"/>
          <w:color w:val="000000"/>
          <w:sz w:val="22"/>
        </w:rPr>
        <w:t>Capitalized terms used but not defined herein shall have the meanings given to them in the Credit Agreement identified below (as amended,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receipt of a copy of which is hereby acknowledged by [the][each] Assignee. The Standard Terms and Conditions set forth in Annex 1 attached hereto are hereby agreed to and incorporated herein by reference and made a part of this Assignment and Assumption as if set forth herein in full.</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Assignor][the respective Assignors] under the respective facilities identified below,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sans-serif" w:hAnsi="Times New Roman;sans-serif"/>
          <w:b w:val="false"/>
          <w:color w:val="000000"/>
          <w:sz w:val="22"/>
          <w:u w:val="single"/>
        </w:rPr>
        <w:t>Assigned Interest</w:t>
      </w:r>
      <w:r>
        <w:rPr>
          <w:color w:val="000000"/>
        </w:rPr>
        <w:t>”</w:t>
      </w:r>
      <w:r>
        <w:rPr>
          <w:rFonts w:ascii="Times New Roman;sans-serif" w:hAnsi="Times New Roman;sans-serif"/>
          <w:b w:val="false"/>
          <w:color w:val="000000"/>
          <w:sz w:val="22"/>
        </w:rPr>
        <w:t>). Each such sale and assignment is without recourse to [the][any] Assignor and, except as expressly provided in this Assignment and Assumption, without representation or warranty by [the][any] Assignor.</w:t>
      </w:r>
    </w:p>
    <w:p>
      <w:pPr>
        <w:pStyle w:val="TextBody"/>
        <w:bidi w:val="0"/>
        <w:spacing w:lineRule="auto" w:line="288" w:before="0" w:after="20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bracketed language here and elsewhere in this form relating to the Assignor(s), if the assignment is from a single Assignor, choose the first bracketed language. If the assignment is from multiple Assignors, choose the second bracketed language.</w:t>
      </w:r>
    </w:p>
    <w:p>
      <w:pPr>
        <w:pStyle w:val="TextBody"/>
        <w:bidi w:val="0"/>
        <w:spacing w:lineRule="auto" w:line="288" w:before="0" w:after="20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For bracketed language here and elsewhere in this form relating to the Assignee(s), if the assignment is to a single Assignee, choose the first bracketed language. If the assignment is to multiple Assignees, choose the second bracketed language.</w:t>
      </w:r>
    </w:p>
    <w:p>
      <w:pPr>
        <w:pStyle w:val="TextBody"/>
        <w:bidi w:val="0"/>
        <w:spacing w:lineRule="auto" w:line="288" w:before="0" w:after="200"/>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Select as appropriate.</w:t>
      </w:r>
    </w:p>
    <w:p>
      <w:pPr>
        <w:pStyle w:val="TextBody"/>
        <w:bidi w:val="0"/>
        <w:spacing w:lineRule="auto" w:line="288" w:before="0" w:after="200"/>
        <w:jc w:val="both"/>
        <w:rPr/>
      </w:pPr>
      <w:r>
        <w:rPr>
          <w:rFonts w:ascii="Times New Roman;sans-serif" w:hAnsi="Times New Roman;sans-serif"/>
          <w:b w:val="false"/>
          <w:color w:val="000000"/>
          <w:sz w:val="13"/>
        </w:rPr>
        <w:t>4</w:t>
      </w:r>
      <w:r>
        <w:rPr>
          <w:color w:val="000000"/>
        </w:rPr>
        <w:t xml:space="preserve"> </w:t>
      </w:r>
      <w:r>
        <w:rPr>
          <w:rFonts w:ascii="Times New Roman;sans-serif" w:hAnsi="Times New Roman;sans-serif"/>
          <w:b w:val="false"/>
          <w:color w:val="000000"/>
          <w:sz w:val="20"/>
        </w:rPr>
        <w:t>Include bracketed language if there are either multiple Assignors or multiple Assignees.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-2-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9.05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864" w:type="dxa"/>
        <w:jc w:val="left"/>
        <w:tblInd w:w="0" w:type="dxa"/>
        <w:tblLayout w:type="fixed"/>
        <w:tblCellMar>
          <w:top w:w="28" w:type="dxa"/>
          <w:left w:w="28" w:type="dxa"/>
          <w:bottom w:w="28" w:type="dxa"/>
          <w:right w:w="28" w:type="dxa"/>
        </w:tblCellMar>
      </w:tblPr>
      <w:tblGrid>
        <w:gridCol w:w="609"/>
        <w:gridCol w:w="535"/>
        <w:gridCol w:w="537"/>
        <w:gridCol w:w="224"/>
        <w:gridCol w:w="224"/>
        <w:gridCol w:w="224"/>
        <w:gridCol w:w="224"/>
        <w:gridCol w:w="224"/>
        <w:gridCol w:w="224"/>
        <w:gridCol w:w="352"/>
        <w:gridCol w:w="341"/>
        <w:gridCol w:w="343"/>
        <w:gridCol w:w="272"/>
        <w:gridCol w:w="272"/>
        <w:gridCol w:w="274"/>
        <w:gridCol w:w="345"/>
        <w:gridCol w:w="109"/>
        <w:gridCol w:w="109"/>
        <w:gridCol w:w="836"/>
        <w:gridCol w:w="109"/>
        <w:gridCol w:w="109"/>
        <w:gridCol w:w="109"/>
        <w:gridCol w:w="109"/>
        <w:gridCol w:w="109"/>
        <w:gridCol w:w="460"/>
        <w:gridCol w:w="460"/>
        <w:gridCol w:w="461"/>
        <w:gridCol w:w="290"/>
        <w:gridCol w:w="290"/>
        <w:gridCol w:w="291"/>
        <w:gridCol w:w="109"/>
        <w:gridCol w:w="109"/>
        <w:gridCol w:w="1571"/>
      </w:tblGrid>
      <w:tr>
        <w:trPr/>
        <w:tc>
          <w:tcPr>
            <w:tcW w:w="6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w:t>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Assignor[s]:</w:t>
            </w:r>
          </w:p>
        </w:tc>
        <w:tc>
          <w:tcPr>
            <w:tcW w:w="161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w:t>
            </w:r>
          </w:p>
        </w:tc>
        <w:tc>
          <w:tcPr>
            <w:tcW w:w="43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2"/>
            <w:tcBorders/>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c>
          <w:tcPr>
            <w:tcW w:w="1617"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w:t>
            </w:r>
          </w:p>
        </w:tc>
        <w:tc>
          <w:tcPr>
            <w:tcW w:w="436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c>
          <w:tcPr>
            <w:tcW w:w="9183" w:type="dxa"/>
            <w:gridSpan w:val="30"/>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[Assignor [is] [is not] a Defaulting Lender]</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2.</w:t>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Assignee[s]:</w:t>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tc>
        <w:tc>
          <w:tcPr>
            <w:tcW w:w="4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12"/>
            <w:tcBorders/>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____________________________</w:t>
            </w:r>
          </w:p>
        </w:tc>
        <w:tc>
          <w:tcPr>
            <w:tcW w:w="4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3" w:type="dxa"/>
            <w:gridSpan w:val="30"/>
            <w:tcBorders/>
            <w:tcMar>
              <w:top w:w="0" w:type="dxa"/>
              <w:left w:w="0" w:type="dxa"/>
              <w:bottom w:w="0" w:type="dxa"/>
              <w:right w:w="0" w:type="dxa"/>
            </w:tcMar>
            <w:vAlign w:val="center"/>
          </w:tcPr>
          <w:p>
            <w:pPr>
              <w:pStyle w:val="TableContents"/>
              <w:bidi w:val="0"/>
              <w:spacing w:lineRule="auto" w:line="288" w:before="240" w:after="283"/>
              <w:ind w:left="0" w:right="0" w:firstLine="1440"/>
              <w:jc w:val="both"/>
              <w:rPr/>
            </w:pPr>
            <w:r>
              <w:rPr>
                <w:rFonts w:ascii="Times New Roman;sans-serif" w:hAnsi="Times New Roman;sans-serif"/>
                <w:b w:val="false"/>
                <w:color w:val="000000"/>
                <w:sz w:val="22"/>
              </w:rPr>
              <w:t>[for each Assignee, indicate [Affiliate] of [</w:t>
            </w:r>
            <w:r>
              <w:rPr>
                <w:rFonts w:ascii="Times New Roman;sans-serif" w:hAnsi="Times New Roman;sans-serif"/>
                <w:b w:val="false"/>
                <w:i/>
                <w:color w:val="000000"/>
                <w:sz w:val="22"/>
              </w:rPr>
              <w:t>identify Lender</w:t>
            </w:r>
            <w:r>
              <w:rPr>
                <w:rFonts w:ascii="Times New Roman;sans-serif" w:hAnsi="Times New Roman;sans-serif"/>
                <w:b w:val="false"/>
                <w:color w:val="000000"/>
                <w:sz w:val="22"/>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3.</w:t>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Borrower:</w:t>
            </w:r>
          </w:p>
        </w:tc>
        <w:tc>
          <w:tcPr>
            <w:tcW w:w="5985"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Autodesk, Inc.</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4.</w:t>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Agent:</w:t>
            </w:r>
          </w:p>
        </w:tc>
        <w:tc>
          <w:tcPr>
            <w:tcW w:w="5985"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Citibank, N.A., as the Agent under the Credit Agreement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5.</w:t>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Credit Agreement:</w:t>
            </w:r>
          </w:p>
        </w:tc>
        <w:tc>
          <w:tcPr>
            <w:tcW w:w="5985"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$1,500,000,000 Credit Agreement dated as of May [8], 2025 among Autodesk, Inc., the Lenders parties thereto, and Citibank, N.A., as Agent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6.</w:t>
            </w:r>
          </w:p>
        </w:tc>
        <w:tc>
          <w:tcPr>
            <w:tcW w:w="3198"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Assigned Interest[s]:</w:t>
            </w:r>
          </w:p>
        </w:tc>
        <w:tc>
          <w:tcPr>
            <w:tcW w:w="5985"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9"/>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Assignor[s]</w:t>
            </w:r>
            <w:r>
              <w:rPr>
                <w:rFonts w:ascii="Times New Roman;sans-serif" w:hAnsi="Times New Roman;sans-serif"/>
                <w:b w:val="false"/>
                <w:color w:val="000000"/>
                <w:sz w:val="14"/>
              </w:rPr>
              <w:t>5</w:t>
            </w:r>
          </w:p>
        </w:tc>
        <w:tc>
          <w:tcPr>
            <w:tcW w:w="103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Assignee[ s]</w:t>
            </w:r>
            <w:r>
              <w:rPr>
                <w:rFonts w:ascii="Times New Roman;sans-serif" w:hAnsi="Times New Roman;sans-serif"/>
                <w:b w:val="false"/>
                <w:color w:val="000000"/>
                <w:sz w:val="14"/>
              </w:rPr>
              <w:t>6</w:t>
            </w:r>
          </w:p>
        </w:tc>
        <w:tc>
          <w:tcPr>
            <w:tcW w:w="1381" w:type="dxa"/>
            <w:gridSpan w:val="6"/>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Aggregate Amount of Commitment/ Advances for all Lenders</w:t>
            </w:r>
            <w:r>
              <w:rPr>
                <w:rFonts w:ascii="Times New Roman;sans-serif" w:hAnsi="Times New Roman;sans-serif"/>
                <w:b w:val="false"/>
                <w:color w:val="000000"/>
                <w:sz w:val="14"/>
              </w:rPr>
              <w:t>7</w:t>
            </w:r>
          </w:p>
        </w:tc>
        <w:tc>
          <w:tcPr>
            <w:tcW w:w="1381" w:type="dxa"/>
            <w:gridSpan w:val="6"/>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Amount of Commitment/ Advances Assigned</w:t>
            </w:r>
          </w:p>
        </w:tc>
        <w:tc>
          <w:tcPr>
            <w:tcW w:w="138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Percentage Assigned of Commitment/ Advances</w:t>
            </w:r>
            <w:r>
              <w:rPr>
                <w:rFonts w:ascii="Times New Roman;sans-serif" w:hAnsi="Times New Roman;sans-serif"/>
                <w:b w:val="false"/>
                <w:color w:val="000000"/>
                <w:sz w:val="14"/>
              </w:rPr>
              <w:t>8</w:t>
            </w:r>
          </w:p>
        </w:tc>
        <w:tc>
          <w:tcPr>
            <w:tcW w:w="871"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CUSIP Number</w:t>
            </w:r>
          </w:p>
        </w:tc>
        <w:tc>
          <w:tcPr>
            <w:tcW w:w="178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240" w:after="283"/>
              <w:jc w:val="left"/>
              <w:rPr/>
            </w:pPr>
            <w:r>
              <w:rPr/>
            </w:r>
          </w:p>
        </w:tc>
        <w:tc>
          <w:tcPr>
            <w:tcW w:w="1036" w:type="dxa"/>
            <w:gridSpan w:val="3"/>
            <w:tcBorders>
              <w:top w:val="single" w:sz="4" w:space="0" w:color="000000"/>
              <w:left w:val="single" w:sz="4" w:space="0" w:color="000000"/>
            </w:tcBorders>
            <w:tcMar>
              <w:bottom w:w="0" w:type="dxa"/>
              <w:right w:w="0" w:type="dxa"/>
            </w:tcMar>
            <w:vAlign w:val="center"/>
          </w:tcPr>
          <w:p>
            <w:pPr>
              <w:pStyle w:val="TableContents"/>
              <w:bidi w:val="0"/>
              <w:spacing w:before="240" w:after="283"/>
              <w:jc w:val="left"/>
              <w:rPr/>
            </w:pPr>
            <w:r>
              <w:rPr/>
            </w:r>
          </w:p>
        </w:tc>
        <w:tc>
          <w:tcPr>
            <w:tcW w:w="138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240" w:after="283"/>
              <w:jc w:val="left"/>
              <w:rPr/>
            </w:pPr>
            <w:r>
              <w:rPr/>
            </w:r>
          </w:p>
        </w:tc>
        <w:tc>
          <w:tcPr>
            <w:tcW w:w="178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240" w:after="283"/>
              <w:jc w:val="left"/>
              <w:rPr/>
            </w:pPr>
            <w:r>
              <w:rPr/>
            </w:r>
          </w:p>
        </w:tc>
        <w:tc>
          <w:tcPr>
            <w:tcW w:w="1036" w:type="dxa"/>
            <w:gridSpan w:val="3"/>
            <w:tcBorders>
              <w:top w:val="single" w:sz="4" w:space="0" w:color="000000"/>
              <w:left w:val="single" w:sz="4" w:space="0" w:color="000000"/>
            </w:tcBorders>
            <w:tcMar>
              <w:bottom w:w="0" w:type="dxa"/>
              <w:right w:w="0" w:type="dxa"/>
            </w:tcMar>
            <w:vAlign w:val="center"/>
          </w:tcPr>
          <w:p>
            <w:pPr>
              <w:pStyle w:val="TableContents"/>
              <w:bidi w:val="0"/>
              <w:spacing w:before="240" w:after="283"/>
              <w:jc w:val="left"/>
              <w:rPr/>
            </w:pPr>
            <w:r>
              <w:rPr/>
            </w:r>
          </w:p>
        </w:tc>
        <w:tc>
          <w:tcPr>
            <w:tcW w:w="138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71" w:type="dxa"/>
            <w:gridSpan w:val="3"/>
            <w:tcBorders>
              <w:top w:val="single" w:sz="4" w:space="0" w:color="000000"/>
              <w:left w:val="single" w:sz="4" w:space="0" w:color="000000"/>
            </w:tcBorders>
            <w:tcMar>
              <w:bottom w:w="0" w:type="dxa"/>
              <w:right w:w="0" w:type="dxa"/>
            </w:tcMar>
            <w:vAlign w:val="center"/>
          </w:tcPr>
          <w:p>
            <w:pPr>
              <w:pStyle w:val="TableContents"/>
              <w:bidi w:val="0"/>
              <w:spacing w:before="240" w:after="283"/>
              <w:jc w:val="left"/>
              <w:rPr/>
            </w:pPr>
            <w:r>
              <w:rPr/>
            </w:r>
          </w:p>
        </w:tc>
        <w:tc>
          <w:tcPr>
            <w:tcW w:w="178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5" w:type="dxa"/>
            <w:gridSpan w:val="9"/>
            <w:tcBorders>
              <w:top w:val="single" w:sz="4" w:space="0" w:color="000000"/>
              <w:left w:val="single" w:sz="4" w:space="0" w:color="000000"/>
            </w:tcBorders>
            <w:tcMar>
              <w:bottom w:w="0" w:type="dxa"/>
              <w:right w:w="0" w:type="dxa"/>
            </w:tcMar>
            <w:vAlign w:val="center"/>
          </w:tcPr>
          <w:p>
            <w:pPr>
              <w:pStyle w:val="TableContents"/>
              <w:bidi w:val="0"/>
              <w:spacing w:before="240" w:after="283"/>
              <w:jc w:val="left"/>
              <w:rPr/>
            </w:pPr>
            <w:r>
              <w:rPr/>
            </w:r>
          </w:p>
        </w:tc>
        <w:tc>
          <w:tcPr>
            <w:tcW w:w="103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240" w:after="283"/>
              <w:jc w:val="left"/>
              <w:rPr/>
            </w:pPr>
            <w:r>
              <w:rPr/>
            </w:r>
          </w:p>
        </w:tc>
        <w:tc>
          <w:tcPr>
            <w:tcW w:w="138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1"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240" w:after="283"/>
              <w:jc w:val="left"/>
              <w:rPr/>
            </w:pPr>
            <w:r>
              <w:rPr/>
            </w:r>
          </w:p>
        </w:tc>
        <w:tc>
          <w:tcPr>
            <w:tcW w:w="178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[7.</w:t>
            </w:r>
          </w:p>
        </w:tc>
        <w:tc>
          <w:tcPr>
            <w:tcW w:w="170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 Date:</w:t>
            </w:r>
          </w:p>
        </w:tc>
        <w:tc>
          <w:tcPr>
            <w:tcW w:w="5014"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88" w:before="240" w:after="283"/>
              <w:jc w:val="left"/>
              <w:rPr/>
            </w:pPr>
            <w:r>
              <w:rPr>
                <w:rFonts w:ascii="Times New Roman;sans-serif" w:hAnsi="Times New Roman;sans-serif"/>
                <w:b w:val="false"/>
                <w:color w:val="000000"/>
                <w:sz w:val="22"/>
              </w:rPr>
              <w:t>________________]</w:t>
            </w:r>
            <w:r>
              <w:rPr>
                <w:rFonts w:ascii="Times New Roman;sans-serif" w:hAnsi="Times New Roman;sans-serif"/>
                <w:b w:val="false"/>
                <w:color w:val="000000"/>
                <w:sz w:val="14"/>
              </w:rPr>
              <w:t>9</w:t>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        </w:t>
      </w:r>
      <w:r>
        <w:rPr>
          <w:rFonts w:ascii="Times New Roman;sans-serif" w:hAnsi="Times New Roman;sans-serif"/>
          <w:b w:val="false"/>
          <w:color w:val="000000"/>
          <w:sz w:val="22"/>
        </w:rPr>
        <w:t>]</w:t>
      </w:r>
      <w:r>
        <w:rPr>
          <w:rFonts w:ascii="Times New Roman;sans-serif" w:hAnsi="Times New Roman;sans-serif"/>
          <w:b w:val="false"/>
          <w:color w:val="000000"/>
          <w:sz w:val="14"/>
        </w:rPr>
        <w:t>10</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[Page break]</w:t>
      </w:r>
    </w:p>
    <w:p>
      <w:pPr>
        <w:pStyle w:val="TextBody"/>
        <w:bidi w:val="0"/>
        <w:spacing w:lineRule="auto" w:line="288" w:before="0" w:after="200"/>
        <w:jc w:val="both"/>
        <w:rPr/>
      </w:pPr>
      <w:r>
        <w:rPr>
          <w:rFonts w:ascii="Times New Roman;sans-serif" w:hAnsi="Times New Roman;sans-serif"/>
          <w:b w:val="false"/>
          <w:color w:val="000000"/>
          <w:sz w:val="13"/>
        </w:rPr>
        <w:t>5</w:t>
      </w:r>
      <w:r>
        <w:rPr>
          <w:color w:val="000000"/>
        </w:rPr>
        <w:t xml:space="preserve"> </w:t>
      </w:r>
      <w:r>
        <w:rPr>
          <w:rFonts w:ascii="Times New Roman;sans-serif" w:hAnsi="Times New Roman;sans-serif"/>
          <w:b w:val="false"/>
          <w:color w:val="000000"/>
          <w:sz w:val="20"/>
        </w:rPr>
        <w:t>List each Assignor, as appropriate.</w:t>
      </w:r>
    </w:p>
    <w:p>
      <w:pPr>
        <w:pStyle w:val="TextBody"/>
        <w:bidi w:val="0"/>
        <w:spacing w:lineRule="auto" w:line="288" w:before="0" w:after="200"/>
        <w:jc w:val="both"/>
        <w:rPr/>
      </w:pPr>
      <w:r>
        <w:rPr>
          <w:rFonts w:ascii="Times New Roman;sans-serif" w:hAnsi="Times New Roman;sans-serif"/>
          <w:b w:val="false"/>
          <w:color w:val="000000"/>
          <w:sz w:val="13"/>
        </w:rPr>
        <w:t>6</w:t>
      </w:r>
      <w:r>
        <w:rPr>
          <w:color w:val="000000"/>
        </w:rPr>
        <w:t xml:space="preserve"> </w:t>
      </w:r>
      <w:r>
        <w:rPr>
          <w:rFonts w:ascii="Times New Roman;sans-serif" w:hAnsi="Times New Roman;sans-serif"/>
          <w:b w:val="false"/>
          <w:color w:val="000000"/>
          <w:sz w:val="20"/>
        </w:rPr>
        <w:t>List each Assignee, as appropriate.</w:t>
      </w:r>
    </w:p>
    <w:p>
      <w:pPr>
        <w:pStyle w:val="TextBody"/>
        <w:bidi w:val="0"/>
        <w:spacing w:lineRule="auto" w:line="288" w:before="0" w:after="200"/>
        <w:jc w:val="both"/>
        <w:rPr/>
      </w:pPr>
      <w:r>
        <w:rPr>
          <w:rFonts w:ascii="Times New Roman;sans-serif" w:hAnsi="Times New Roman;sans-serif"/>
          <w:b w:val="false"/>
          <w:color w:val="000000"/>
          <w:sz w:val="13"/>
        </w:rPr>
        <w:t>7</w:t>
      </w:r>
      <w:r>
        <w:rPr>
          <w:color w:val="000000"/>
        </w:rPr>
        <w:t xml:space="preserve"> </w:t>
      </w:r>
      <w:r>
        <w:rPr>
          <w:rFonts w:ascii="Times New Roman;sans-serif" w:hAnsi="Times New Roman;sans-serif"/>
          <w:b w:val="false"/>
          <w:color w:val="000000"/>
          <w:sz w:val="20"/>
        </w:rPr>
        <w:t>Amount to be adjusted by the counterparties to take into account any payments or prepayments made between the Trade Date and the Effective Date.</w:t>
      </w:r>
    </w:p>
    <w:p>
      <w:pPr>
        <w:pStyle w:val="TextBody"/>
        <w:bidi w:val="0"/>
        <w:spacing w:lineRule="auto" w:line="288" w:before="0" w:after="200"/>
        <w:jc w:val="both"/>
        <w:rPr/>
      </w:pPr>
      <w:r>
        <w:rPr>
          <w:rFonts w:ascii="Times New Roman;sans-serif" w:hAnsi="Times New Roman;sans-serif"/>
          <w:b w:val="false"/>
          <w:color w:val="000000"/>
          <w:sz w:val="13"/>
        </w:rPr>
        <w:t>8</w:t>
      </w:r>
      <w:r>
        <w:rPr>
          <w:color w:val="000000"/>
        </w:rPr>
        <w:t xml:space="preserve"> </w:t>
      </w:r>
      <w:r>
        <w:rPr>
          <w:rFonts w:ascii="Times New Roman;sans-serif" w:hAnsi="Times New Roman;sans-serif"/>
          <w:b w:val="false"/>
          <w:color w:val="000000"/>
          <w:sz w:val="20"/>
        </w:rPr>
        <w:t>Set forth, to at least 9 decimals, as a percentage of the Commitment/Advance of all Lenders thereunder.</w:t>
      </w:r>
    </w:p>
    <w:p>
      <w:pPr>
        <w:pStyle w:val="TextBody"/>
        <w:bidi w:val="0"/>
        <w:spacing w:lineRule="auto" w:line="288" w:before="0" w:after="200"/>
        <w:jc w:val="both"/>
        <w:rPr/>
      </w:pPr>
      <w:r>
        <w:rPr>
          <w:rFonts w:ascii="Times New Roman;sans-serif" w:hAnsi="Times New Roman;sans-serif"/>
          <w:b w:val="false"/>
          <w:color w:val="000000"/>
          <w:sz w:val="13"/>
        </w:rPr>
        <w:t>9</w:t>
      </w:r>
      <w:r>
        <w:rPr>
          <w:color w:val="000000"/>
        </w:rPr>
        <w:t xml:space="preserve"> </w:t>
      </w:r>
      <w:r>
        <w:rPr>
          <w:rFonts w:ascii="Times New Roman;sans-serif" w:hAnsi="Times New Roman;sans-serif"/>
          <w:b w:val="false"/>
          <w:color w:val="000000"/>
          <w:sz w:val="20"/>
        </w:rPr>
        <w:t>To be completed if the Assignor(s) and the Assignee(s) intend that the minimum assignment amount is to be determined as of the Trade Date.</w:t>
      </w:r>
    </w:p>
    <w:p>
      <w:pPr>
        <w:pStyle w:val="TextBody"/>
        <w:bidi w:val="0"/>
        <w:spacing w:lineRule="auto" w:line="288" w:before="0" w:after="200"/>
        <w:jc w:val="both"/>
        <w:rPr/>
      </w:pPr>
      <w:r>
        <w:rPr>
          <w:rFonts w:ascii="Times New Roman;sans-serif" w:hAnsi="Times New Roman;sans-serif"/>
          <w:b w:val="false"/>
          <w:color w:val="000000"/>
          <w:sz w:val="13"/>
        </w:rPr>
        <w:t>10</w:t>
      </w:r>
      <w:r>
        <w:rPr>
          <w:color w:val="000000"/>
        </w:rPr>
        <w:t xml:space="preserve"> </w:t>
      </w:r>
      <w:r>
        <w:rPr>
          <w:rFonts w:ascii="Times New Roman;sans-serif" w:hAnsi="Times New Roman;sans-serif"/>
          <w:b w:val="false"/>
          <w:color w:val="000000"/>
          <w:sz w:val="20"/>
        </w:rPr>
        <w:t>To be completed if the Assignor(s) and the Assignee(s) intend that the minimum assignment amount is to be determined as of the Trade Date.</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-3-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60655"/>
                <wp:effectExtent l="0" t="0" r="0" b="0"/>
                <wp:wrapNone/>
                <wp:docPr id="197" name="Frame1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19.0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-2-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Effective Date:    _____________ ___, 20___ [TO BE INSERTED BY AGENT AND WHICH SHALL BE THE EFFECTIVE DATE OF RECORDATION OF TRANSFER IN THE REGISTER THEREFOR.]</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The terms set forth in this Assignment and Assumption are hereby agreed to:</w:t>
      </w:r>
    </w:p>
    <w:tbl>
      <w:tblPr>
        <w:tblW w:w="4754" w:type="dxa"/>
        <w:jc w:val="left"/>
        <w:tblInd w:w="0" w:type="dxa"/>
        <w:tblLayout w:type="fixed"/>
        <w:tblCellMar>
          <w:top w:w="28" w:type="dxa"/>
          <w:left w:w="28" w:type="dxa"/>
          <w:bottom w:w="28" w:type="dxa"/>
          <w:right w:w="28" w:type="dxa"/>
        </w:tblCellMar>
      </w:tblPr>
      <w:tblGrid>
        <w:gridCol w:w="824"/>
        <w:gridCol w:w="724"/>
        <w:gridCol w:w="724"/>
        <w:gridCol w:w="724"/>
        <w:gridCol w:w="724"/>
        <w:gridCol w:w="1034"/>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ASSIGNOR[S]</w:t>
            </w:r>
            <w:r>
              <w:rPr>
                <w:rFonts w:ascii="Times New Roman;sans-serif" w:hAnsi="Times New Roman;sans-serif"/>
                <w:b w:val="false"/>
                <w:color w:val="000000"/>
                <w:sz w:val="14"/>
                <w:u w:val="single"/>
              </w:rPr>
              <w:t>11</w:t>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jc w:val="left"/>
        <w:rPr/>
      </w:pPr>
      <w:r>
        <w:rPr/>
      </w:r>
    </w:p>
    <w:tbl>
      <w:tblPr>
        <w:tblW w:w="4754" w:type="dxa"/>
        <w:jc w:val="left"/>
        <w:tblInd w:w="0" w:type="dxa"/>
        <w:tblLayout w:type="fixed"/>
        <w:tblCellMar>
          <w:top w:w="28" w:type="dxa"/>
          <w:left w:w="28" w:type="dxa"/>
          <w:bottom w:w="28" w:type="dxa"/>
          <w:right w:w="28" w:type="dxa"/>
        </w:tblCellMar>
      </w:tblPr>
      <w:tblGrid>
        <w:gridCol w:w="824"/>
        <w:gridCol w:w="725"/>
        <w:gridCol w:w="725"/>
        <w:gridCol w:w="725"/>
        <w:gridCol w:w="725"/>
        <w:gridCol w:w="1030"/>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ASSIGNOR]</w:t>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jc w:val="left"/>
        <w:rPr/>
      </w:pPr>
      <w:r>
        <w:rPr/>
      </w:r>
    </w:p>
    <w:tbl>
      <w:tblPr>
        <w:tblW w:w="4755" w:type="dxa"/>
        <w:jc w:val="left"/>
        <w:tblInd w:w="0" w:type="dxa"/>
        <w:tblLayout w:type="fixed"/>
        <w:tblCellMar>
          <w:top w:w="28" w:type="dxa"/>
          <w:left w:w="28" w:type="dxa"/>
          <w:bottom w:w="28" w:type="dxa"/>
          <w:right w:w="28" w:type="dxa"/>
        </w:tblCellMar>
      </w:tblPr>
      <w:tblGrid>
        <w:gridCol w:w="823"/>
        <w:gridCol w:w="723"/>
        <w:gridCol w:w="723"/>
        <w:gridCol w:w="723"/>
        <w:gridCol w:w="723"/>
        <w:gridCol w:w="1040"/>
      </w:tblGrid>
      <w:tr>
        <w:trPr/>
        <w:tc>
          <w:tcPr>
            <w:tcW w:w="8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47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ASSIGNEE[S]</w:t>
            </w:r>
            <w:r>
              <w:rPr>
                <w:rFonts w:ascii="Times New Roman;sans-serif" w:hAnsi="Times New Roman;sans-serif"/>
                <w:b w:val="false"/>
                <w:color w:val="000000"/>
                <w:sz w:val="14"/>
                <w:u w:val="single"/>
              </w:rPr>
              <w:t>12</w:t>
            </w:r>
          </w:p>
        </w:tc>
      </w:tr>
      <w:tr>
        <w:trPr/>
        <w:tc>
          <w:tcPr>
            <w:tcW w:w="47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ind w:left="0" w:right="0" w:firstLine="1440"/>
        <w:jc w:val="left"/>
        <w:rPr/>
      </w:pPr>
      <w:r>
        <w:rPr/>
      </w:r>
    </w:p>
    <w:tbl>
      <w:tblPr>
        <w:tblW w:w="4754" w:type="dxa"/>
        <w:jc w:val="left"/>
        <w:tblInd w:w="0" w:type="dxa"/>
        <w:tblLayout w:type="fixed"/>
        <w:tblCellMar>
          <w:top w:w="28" w:type="dxa"/>
          <w:left w:w="28" w:type="dxa"/>
          <w:bottom w:w="28" w:type="dxa"/>
          <w:right w:w="28" w:type="dxa"/>
        </w:tblCellMar>
      </w:tblPr>
      <w:tblGrid>
        <w:gridCol w:w="823"/>
        <w:gridCol w:w="725"/>
        <w:gridCol w:w="725"/>
        <w:gridCol w:w="725"/>
        <w:gridCol w:w="725"/>
        <w:gridCol w:w="1031"/>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 OF ASSIGNEE]</w:t>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lineRule="auto" w:line="288" w:before="0" w:after="240"/>
        <w:jc w:val="both"/>
        <w:rPr/>
      </w:pPr>
      <w:r>
        <w:rPr>
          <w:rFonts w:ascii="Times New Roman;sans-serif" w:hAnsi="Times New Roman;sans-serif"/>
          <w:b w:val="false"/>
          <w:color w:val="000000"/>
          <w:sz w:val="22"/>
        </w:rPr>
        <w:t>[Consented to and]</w:t>
      </w:r>
      <w:r>
        <w:rPr>
          <w:rFonts w:ascii="Times New Roman;sans-serif" w:hAnsi="Times New Roman;sans-serif"/>
          <w:b w:val="false"/>
          <w:color w:val="000000"/>
          <w:sz w:val="14"/>
        </w:rPr>
        <w:t>13</w:t>
      </w:r>
      <w:r>
        <w:rPr>
          <w:color w:val="000000"/>
        </w:rPr>
        <w:t xml:space="preserve"> </w:t>
      </w:r>
      <w:r>
        <w:rPr>
          <w:rFonts w:ascii="Times New Roman;sans-serif" w:hAnsi="Times New Roman;sans-serif"/>
          <w:b w:val="false"/>
          <w:color w:val="000000"/>
          <w:sz w:val="22"/>
        </w:rPr>
        <w:t xml:space="preserve">Accepted: </w:t>
      </w:r>
    </w:p>
    <w:p>
      <w:pPr>
        <w:pStyle w:val="TextBody"/>
        <w:bidi w:val="0"/>
        <w:spacing w:lineRule="auto" w:line="288" w:before="0" w:after="200"/>
        <w:jc w:val="both"/>
        <w:rPr/>
      </w:pPr>
      <w:r>
        <w:rPr>
          <w:rFonts w:ascii="Times New Roman;sans-serif" w:hAnsi="Times New Roman;sans-serif"/>
          <w:b w:val="false"/>
          <w:color w:val="000000"/>
          <w:sz w:val="13"/>
        </w:rPr>
        <w:t>11</w:t>
      </w:r>
      <w:r>
        <w:rPr>
          <w:color w:val="000000"/>
        </w:rPr>
        <w:t xml:space="preserve"> </w:t>
      </w:r>
      <w:r>
        <w:rPr>
          <w:rFonts w:ascii="Times New Roman;sans-serif" w:hAnsi="Times New Roman;sans-serif"/>
          <w:b w:val="false"/>
          <w:color w:val="000000"/>
          <w:sz w:val="20"/>
        </w:rPr>
        <w:t>Add additional signature blocks as needed. Include both Fund/Pension Plan and manager making the trade (if applicable).</w:t>
      </w:r>
    </w:p>
    <w:p>
      <w:pPr>
        <w:pStyle w:val="TextBody"/>
        <w:bidi w:val="0"/>
        <w:spacing w:lineRule="auto" w:line="288" w:before="0" w:after="200"/>
        <w:jc w:val="both"/>
        <w:rPr/>
      </w:pPr>
      <w:r>
        <w:rPr>
          <w:rFonts w:ascii="Times New Roman;sans-serif" w:hAnsi="Times New Roman;sans-serif"/>
          <w:b w:val="false"/>
          <w:color w:val="000000"/>
          <w:sz w:val="13"/>
        </w:rPr>
        <w:t>12</w:t>
      </w:r>
      <w:r>
        <w:rPr>
          <w:color w:val="000000"/>
        </w:rPr>
        <w:t xml:space="preserve"> </w:t>
      </w:r>
      <w:r>
        <w:rPr>
          <w:rFonts w:ascii="Times New Roman;sans-serif" w:hAnsi="Times New Roman;sans-serif"/>
          <w:b w:val="false"/>
          <w:color w:val="000000"/>
          <w:sz w:val="20"/>
        </w:rPr>
        <w:t>Add additional signature blocks as needed. Include both Fund/Pension Plan and manager making the trade (if applicable).</w:t>
      </w:r>
    </w:p>
    <w:p>
      <w:pPr>
        <w:pStyle w:val="TextBody"/>
        <w:bidi w:val="0"/>
        <w:spacing w:lineRule="auto" w:line="288" w:before="0" w:after="200"/>
        <w:jc w:val="both"/>
        <w:rPr/>
      </w:pPr>
      <w:r>
        <w:rPr>
          <w:rFonts w:ascii="Times New Roman;sans-serif" w:hAnsi="Times New Roman;sans-serif"/>
          <w:b w:val="false"/>
          <w:color w:val="000000"/>
          <w:sz w:val="13"/>
        </w:rPr>
        <w:t>13</w:t>
      </w:r>
      <w:r>
        <w:rPr>
          <w:color w:val="000000"/>
        </w:rPr>
        <w:t xml:space="preserve"> </w:t>
      </w:r>
      <w:r>
        <w:rPr>
          <w:rFonts w:ascii="Times New Roman;sans-serif" w:hAnsi="Times New Roman;sans-serif"/>
          <w:b w:val="false"/>
          <w:color w:val="000000"/>
          <w:sz w:val="20"/>
        </w:rPr>
        <w:t>To be added only if the consent of the Agent is required by the terms of the Credit Agreement.</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-4-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60655"/>
                <wp:effectExtent l="0" t="0" r="0" b="0"/>
                <wp:wrapNone/>
                <wp:docPr id="198" name="Frame1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19.0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-3- </w:t>
                      </w:r>
                    </w:p>
                  </w:txbxContent>
                </v:textbox>
                <w10:wrap type="none"/>
              </v:rect>
            </w:pict>
          </mc:Fallback>
        </mc:AlternateContent>
      </w:r>
    </w:p>
    <w:tbl>
      <w:tblPr>
        <w:tblW w:w="4754" w:type="dxa"/>
        <w:jc w:val="left"/>
        <w:tblInd w:w="0" w:type="dxa"/>
        <w:tblLayout w:type="fixed"/>
        <w:tblCellMar>
          <w:top w:w="28" w:type="dxa"/>
          <w:left w:w="28" w:type="dxa"/>
          <w:bottom w:w="28" w:type="dxa"/>
          <w:right w:w="28" w:type="dxa"/>
        </w:tblCellMar>
      </w:tblPr>
      <w:tblGrid>
        <w:gridCol w:w="822"/>
        <w:gridCol w:w="725"/>
        <w:gridCol w:w="725"/>
        <w:gridCol w:w="725"/>
        <w:gridCol w:w="725"/>
        <w:gridCol w:w="1032"/>
      </w:tblGrid>
      <w:tr>
        <w:trPr/>
        <w:tc>
          <w:tcPr>
            <w:tcW w:w="8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4754" w:type="dxa"/>
            <w:gridSpan w:val="6"/>
            <w:tcBorders/>
            <w:tcMar>
              <w:top w:w="0" w:type="dxa"/>
              <w:left w:w="0" w:type="dxa"/>
              <w:bottom w:w="0" w:type="dxa"/>
              <w:right w:w="0" w:type="dxa"/>
            </w:tcMar>
            <w:vAlign w:val="center"/>
          </w:tcPr>
          <w:p>
            <w:pPr>
              <w:pStyle w:val="TableContents"/>
              <w:bidi w:val="0"/>
              <w:spacing w:lineRule="auto" w:line="288" w:before="0" w:after="48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[NAME OF AGENT], as</w:t>
              <w:br/>
              <w:t>Agent</w:t>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lineRule="auto" w:line="288" w:before="0" w:after="240"/>
        <w:jc w:val="both"/>
        <w:rPr/>
      </w:pPr>
      <w:r>
        <w:rPr>
          <w:rFonts w:ascii="Times New Roman;sans-serif" w:hAnsi="Times New Roman;sans-serif"/>
          <w:b w:val="false"/>
          <w:color w:val="000000"/>
          <w:sz w:val="22"/>
        </w:rPr>
        <w:t>[Consented to:]</w:t>
      </w:r>
      <w:r>
        <w:rPr>
          <w:rFonts w:ascii="Times New Roman;sans-serif" w:hAnsi="Times New Roman;sans-serif"/>
          <w:b w:val="false"/>
          <w:color w:val="000000"/>
          <w:sz w:val="14"/>
        </w:rPr>
        <w:t>14</w:t>
      </w:r>
    </w:p>
    <w:tbl>
      <w:tblPr>
        <w:tblW w:w="4754" w:type="dxa"/>
        <w:jc w:val="left"/>
        <w:tblInd w:w="0" w:type="dxa"/>
        <w:tblLayout w:type="fixed"/>
        <w:tblCellMar>
          <w:top w:w="28" w:type="dxa"/>
          <w:left w:w="28" w:type="dxa"/>
          <w:bottom w:w="28" w:type="dxa"/>
          <w:right w:w="28" w:type="dxa"/>
        </w:tblCellMar>
      </w:tblPr>
      <w:tblGrid>
        <w:gridCol w:w="822"/>
        <w:gridCol w:w="725"/>
        <w:gridCol w:w="725"/>
        <w:gridCol w:w="725"/>
        <w:gridCol w:w="725"/>
        <w:gridCol w:w="1032"/>
      </w:tblGrid>
      <w:tr>
        <w:trPr/>
        <w:tc>
          <w:tcPr>
            <w:tcW w:w="8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4754" w:type="dxa"/>
            <w:gridSpan w:val="6"/>
            <w:tcBorders/>
            <w:tcMar>
              <w:top w:w="0" w:type="dxa"/>
              <w:left w:w="0" w:type="dxa"/>
              <w:bottom w:w="0" w:type="dxa"/>
              <w:right w:w="0" w:type="dxa"/>
            </w:tcMar>
            <w:vAlign w:val="center"/>
          </w:tcPr>
          <w:p>
            <w:pPr>
              <w:pStyle w:val="TableContents"/>
              <w:bidi w:val="0"/>
              <w:spacing w:lineRule="auto" w:line="288" w:before="0" w:after="48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[NAME OF AGENT], as</w:t>
              <w:br/>
              <w:t>Agent</w:t>
            </w:r>
          </w:p>
        </w:tc>
      </w:tr>
      <w:tr>
        <w:trPr/>
        <w:tc>
          <w:tcPr>
            <w:tcW w:w="4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jc w:val="both"/>
        <w:rPr/>
      </w:pPr>
      <w:r>
        <w:rPr/>
      </w:r>
    </w:p>
    <w:tbl>
      <w:tblPr>
        <w:tblW w:w="4751" w:type="dxa"/>
        <w:jc w:val="left"/>
        <w:tblInd w:w="0" w:type="dxa"/>
        <w:tblLayout w:type="fixed"/>
        <w:tblCellMar>
          <w:top w:w="28" w:type="dxa"/>
          <w:left w:w="28" w:type="dxa"/>
          <w:bottom w:w="28" w:type="dxa"/>
          <w:right w:w="28" w:type="dxa"/>
        </w:tblCellMar>
      </w:tblPr>
      <w:tblGrid>
        <w:gridCol w:w="823"/>
        <w:gridCol w:w="721"/>
        <w:gridCol w:w="721"/>
        <w:gridCol w:w="721"/>
        <w:gridCol w:w="721"/>
        <w:gridCol w:w="1044"/>
      </w:tblGrid>
      <w:tr>
        <w:trPr/>
        <w:tc>
          <w:tcPr>
            <w:tcW w:w="82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4751" w:type="dxa"/>
            <w:gridSpan w:val="6"/>
            <w:tcBorders/>
            <w:tcMar>
              <w:top w:w="0" w:type="dxa"/>
              <w:left w:w="0" w:type="dxa"/>
              <w:bottom w:w="0" w:type="dxa"/>
              <w:right w:w="0" w:type="dxa"/>
            </w:tcMar>
            <w:vAlign w:val="center"/>
          </w:tcPr>
          <w:p>
            <w:pPr>
              <w:pStyle w:val="TableContents"/>
              <w:bidi w:val="0"/>
              <w:spacing w:lineRule="auto" w:line="288" w:before="0" w:after="480"/>
              <w:ind w:left="0" w:right="0" w:hanging="180"/>
              <w:jc w:val="left"/>
              <w:rPr>
                <w:rFonts w:ascii="Times New Roman;sans-serif" w:hAnsi="Times New Roman;sans-serif"/>
                <w:b w:val="false"/>
                <w:color w:val="000000"/>
                <w:sz w:val="22"/>
              </w:rPr>
            </w:pPr>
            <w:r>
              <w:rPr>
                <w:rFonts w:ascii="Times New Roman;sans-serif" w:hAnsi="Times New Roman;sans-serif"/>
                <w:b w:val="false"/>
                <w:color w:val="000000"/>
                <w:sz w:val="22"/>
              </w:rPr>
              <w:t>[NAME OF RELEVANT PARTY]</w:t>
            </w:r>
          </w:p>
        </w:tc>
      </w:tr>
      <w:tr>
        <w:trPr/>
        <w:tc>
          <w:tcPr>
            <w:tcW w:w="47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___________________________________</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bl>
    <w:p>
      <w:pPr>
        <w:pStyle w:val="TextBody"/>
        <w:bidi w:val="0"/>
        <w:spacing w:before="0" w:after="240"/>
        <w:jc w:val="both"/>
        <w:rPr/>
      </w:pPr>
      <w:r>
        <w:rPr/>
      </w:r>
    </w:p>
    <w:p>
      <w:pPr>
        <w:pStyle w:val="TextBody"/>
        <w:bidi w:val="0"/>
        <w:spacing w:before="0" w:after="0"/>
        <w:jc w:val="both"/>
        <w:rPr/>
      </w:pPr>
      <w:r>
        <w:rPr/>
      </w:r>
    </w:p>
    <w:p>
      <w:pPr>
        <w:pStyle w:val="TextBody"/>
        <w:bidi w:val="0"/>
        <w:spacing w:lineRule="auto" w:line="288" w:before="0" w:after="200"/>
        <w:jc w:val="both"/>
        <w:rPr/>
      </w:pPr>
      <w:r>
        <w:rPr>
          <w:rFonts w:ascii="Times New Roman;sans-serif" w:hAnsi="Times New Roman;sans-serif"/>
          <w:b w:val="false"/>
          <w:color w:val="000000"/>
          <w:sz w:val="13"/>
        </w:rPr>
        <w:t>14</w:t>
      </w:r>
      <w:r>
        <w:rPr>
          <w:color w:val="000000"/>
        </w:rPr>
        <w:t xml:space="preserve"> </w:t>
      </w:r>
      <w:r>
        <w:rPr>
          <w:rFonts w:ascii="Times New Roman;sans-serif" w:hAnsi="Times New Roman;sans-serif"/>
          <w:b w:val="false"/>
          <w:color w:val="000000"/>
          <w:sz w:val="20"/>
        </w:rPr>
        <w:t>To be added only if the consent of the Borrower is required by the terms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ANNEX 1</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60655"/>
                <wp:effectExtent l="0" t="0" r="0" b="0"/>
                <wp:wrapNone/>
                <wp:docPr id="199" name="Frame1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35.2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-4- </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Autodesk, Inc. Credit Agreement dated as of [ ], 2025 </w:t>
        <w:br/>
        <w:br/>
        <w:t>STANDARD TERMS AND CONDITIONS FOR</w:t>
        <w:br/>
        <w:t>ASSIGNMENT AND ASSUMPTION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1.    </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1.1    </w:t>
      </w:r>
      <w:r>
        <w:rPr>
          <w:rFonts w:ascii="Times New Roman;sans-serif" w:hAnsi="Times New Roman;sans-serif"/>
          <w:b w:val="false"/>
          <w:color w:val="000000"/>
          <w:sz w:val="22"/>
          <w:u w:val="single"/>
        </w:rPr>
        <w:t>Assignor[s]</w:t>
      </w:r>
      <w:r>
        <w:rPr>
          <w:rFonts w:ascii="Times New Roman;sans-serif" w:hAnsi="Times New Roman;sans-serif"/>
          <w:b w:val="false"/>
          <w:color w:val="000000"/>
          <w:sz w:val="22"/>
        </w:rPr>
        <w:t>.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or the Parent Company or Subsidiary of a Defaulting Lender; and (b) assumes no responsibility with respect to (i) any statements, warranties or representations made in or in connection with the Credit Agreement, (ii) the execution, legality, validity, enforceability, genuineness, sufficiency or value of the Credit Agreement, (iii) the financial condition of the Borrower, any of its Subsidiaries or Affiliates or any other Person obligated in respect of the Credit Agreement, or (iv) the performance or observance by the Borrower, any of its Subsidiaries or Affiliates or any other Person of any of their respective obligations under the Credit Agreement.</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1.2. Assignee[s].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Section 8.07(b)(iii), (v) and (vi) of the Credit Agreement (subject to such consents, if any, as may be required under Section 8.07(b)(iii)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5.01(i) thereof, as applicable, and such other documents and information as it deems appropriate to make its own credit analysis and decision to enter into this Assignment and Assumption and to purchase [the][such] Assigned Interest, (vi) it has, independently and without reliance upon the Agent or any other Lender and based on such documents and information as it has deemed appropriate, made its own credit analysis and decision to enter into this Assignment and Assumption and to purchase [the][such] Assigned Interest, and (vii) if it is organized under the laws of a jurisdiction outside of the United States, attached to the Assignment and Assumption is any documentation required to be delivered by it pursuant to the terms of the Credit Agreement, duly completed and executed by [the][such] Assignee; and (b) agrees that (i) it will, independently and without reliance on the Agent, [the][any] Assignor or any other Lender, and based on such documents and information as it shall deem appropriate at the time, continue to make its own credit decisions in taking or not taking action under the Credit Agreement, and (ii) it will perform in accordance with their terms all of the obligations which by the terms of the Credit Agreement are required to be performed by it as a Lender.</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2.    </w:t>
      </w:r>
      <w:r>
        <w:rPr>
          <w:rFonts w:ascii="Times New Roman;sans-serif" w:hAnsi="Times New Roman;sans-serif"/>
          <w:b w:val="false"/>
          <w:color w:val="000000"/>
          <w:sz w:val="22"/>
          <w:u w:val="single"/>
        </w:rPr>
        <w:t>Payments</w:t>
      </w:r>
      <w:r>
        <w:rPr>
          <w:rFonts w:ascii="Times New Roman;sans-serif" w:hAnsi="Times New Roman;sans-serif"/>
          <w:b w:val="false"/>
          <w:color w:val="000000"/>
          <w:sz w:val="22"/>
        </w:rPr>
        <w:t xml:space="preserve">. From and after the Effective Date, the Agent shall make all payments in respect of [the][each] Assigned Interest (including payments of principal, interest, fees and other amounts) to [the][the relevant] Assignee whether such amounts have accrued prior to, on or after the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Effective Date. The Assignor[s] and the Assignee[s] shall make all appropriate adjustments in payments by the Agent for periods prior to the Effective Date or with respect to the making of this assignment directly between themselves.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3.    </w:t>
      </w:r>
      <w:r>
        <w:rPr>
          <w:rFonts w:ascii="Times New Roman;sans-serif" w:hAnsi="Times New Roman;sans-serif"/>
          <w:b w:val="false"/>
          <w:color w:val="000000"/>
          <w:sz w:val="22"/>
          <w:u w:val="single"/>
        </w:rPr>
        <w:t>General Provisions</w:t>
      </w:r>
      <w:r>
        <w:rPr>
          <w:rFonts w:ascii="Times New Roman;sans-serif" w:hAnsi="Times New Roman;sans-serif"/>
          <w:b w:val="false"/>
          <w:color w:val="000000"/>
          <w:sz w:val="22"/>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electronic transmission (including a .pdf email transmission) shall be effective as delivery of a manually executed counterpart of this Assignment and Assumption. This Assignment and Assumption shall be governed by, and construed in accordance with, the law of the State of New York.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60655"/>
                <wp:effectExtent l="0" t="0" r="0" b="0"/>
                <wp:wrapNone/>
                <wp:docPr id="201" name="Frame2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-6- </w:t>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D-1</w:t>
      </w:r>
    </w:p>
    <w:p>
      <w:pPr>
        <w:pStyle w:val="TextBody"/>
        <w:bidi w:val="0"/>
        <w:spacing w:lineRule="auto" w:line="288" w:before="0" w:after="240"/>
        <w:jc w:val="center"/>
        <w:rPr/>
      </w:pPr>
      <w:r>
        <w:rPr>
          <w:rFonts w:ascii="Times New Roman;sans-serif" w:hAnsi="Times New Roman;sans-serif"/>
          <w:b/>
          <w:color w:val="000000"/>
          <w:sz w:val="22"/>
        </w:rPr>
        <w:t>[FORM OF]</w:t>
        <w:br/>
        <w:br/>
        <w:t>U.S. TAX COMPLIANCE CERTIFICATE</w:t>
      </w:r>
      <w:r>
        <w:rPr>
          <w:rFonts w:ascii="Times New Roman;sans-serif" w:hAnsi="Times New Roman;sans-serif"/>
          <w:b w:val="false"/>
          <w:color w:val="000000"/>
          <w:sz w:val="22"/>
        </w:rPr>
        <w:br/>
      </w:r>
      <w:r>
        <w:rPr>
          <w:rFonts w:ascii="Times New Roman;sans-serif" w:hAnsi="Times New Roman;sans-serif"/>
          <w:b/>
          <w:color w:val="000000"/>
          <w:sz w:val="22"/>
        </w:rPr>
        <w:t>(For Foreign Lenders That Are Not Partnerships For U.S. Federal Income Tax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Reference is hereby made to the Credit Agreement dated as of May 8, 2025 (as amended,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Autodesk, Inc., each lender from time to time party thereto and Citibank, N.A., as administrative agent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for said lenders.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provisions of Section 2.13 of the Credit Agreement, the undersigned hereby certifies that (i) it is the sole record and beneficial owner of the Advance(s) (as well as any Note(s) evidencing such Advance(s)) in respect of which it is providing this certificate, (ii) it is not a bank within the meaning of Section 881(c)(3)(A) of the Internal Revenue Code, (iii) it is not a ten percent shareholder of any Borrower within the meaning of Section 871(h)(3)(B) of the Internal Revenue Code and (iv) it is not a controlled foreign corporation related to any Borrower as described in Section 881(c)(3)(C) of the Internal Revenue Code.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Agent and the Borrowers with a certificate of its non-U.S. Person status on IRS Form W-8BEN-E. By executing this certificate, the undersigned agrees that (1) if the information provided on this certificate changes, the undersigned shall promptly so inform the Borrowers and the Agent, and (2) the undersigned shall have at all times furnished the Borrowers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bidi w:val="0"/>
        <w:spacing w:before="0" w:after="240"/>
        <w:ind w:left="0" w:right="0" w:firstLine="1440"/>
        <w:jc w:val="both"/>
        <w:rPr/>
      </w:pPr>
      <w:r>
        <w:rPr/>
      </w:r>
    </w:p>
    <w:tbl>
      <w:tblPr>
        <w:tblW w:w="2698" w:type="dxa"/>
        <w:jc w:val="left"/>
        <w:tblInd w:w="0" w:type="dxa"/>
        <w:tblLayout w:type="fixed"/>
        <w:tblCellMar>
          <w:top w:w="28" w:type="dxa"/>
          <w:left w:w="28" w:type="dxa"/>
          <w:bottom w:w="28" w:type="dxa"/>
          <w:right w:w="28" w:type="dxa"/>
        </w:tblCellMar>
      </w:tblPr>
      <w:tblGrid>
        <w:gridCol w:w="259"/>
        <w:gridCol w:w="183"/>
        <w:gridCol w:w="172"/>
        <w:gridCol w:w="145"/>
        <w:gridCol w:w="145"/>
        <w:gridCol w:w="145"/>
        <w:gridCol w:w="145"/>
        <w:gridCol w:w="145"/>
        <w:gridCol w:w="145"/>
        <w:gridCol w:w="145"/>
        <w:gridCol w:w="145"/>
        <w:gridCol w:w="145"/>
        <w:gridCol w:w="227"/>
        <w:gridCol w:w="227"/>
        <w:gridCol w:w="325"/>
      </w:tblGrid>
      <w:tr>
        <w:trPr/>
        <w:tc>
          <w:tcPr>
            <w:tcW w:w="2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698"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OF LENDER]</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84"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43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20 [ ]</w:t>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D-2</w:t>
      </w:r>
    </w:p>
    <w:p>
      <w:pPr>
        <w:pStyle w:val="TextBody"/>
        <w:bidi w:val="0"/>
        <w:spacing w:lineRule="auto" w:line="288" w:before="0" w:after="240"/>
        <w:jc w:val="center"/>
        <w:rPr/>
      </w:pPr>
      <w:r>
        <w:rPr>
          <w:rFonts w:ascii="Times New Roman;sans-serif" w:hAnsi="Times New Roman;sans-serif"/>
          <w:b/>
          <w:color w:val="000000"/>
          <w:sz w:val="22"/>
        </w:rPr>
        <w:t>[FORM OF]</w:t>
        <w:br/>
        <w:br/>
        <w:t>U.S. TAX COMPLIANCE CERTIFICATE</w:t>
      </w:r>
      <w:r>
        <w:rPr>
          <w:rFonts w:ascii="Times New Roman;sans-serif" w:hAnsi="Times New Roman;sans-serif"/>
          <w:b w:val="false"/>
          <w:color w:val="000000"/>
          <w:sz w:val="22"/>
        </w:rPr>
        <w:br/>
      </w:r>
      <w:r>
        <w:rPr>
          <w:rFonts w:ascii="Times New Roman;sans-serif" w:hAnsi="Times New Roman;sans-serif"/>
          <w:b/>
          <w:color w:val="000000"/>
          <w:sz w:val="22"/>
        </w:rPr>
        <w:t>(For Foreign Participants That Are Not Partnerships For U.S. Federal Income Tax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Reference is hereby made to the Credit Agreement dated as of May 8, 2025 (as amended,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Autodesk, Inc., each lender from time to time party thereto and Citibank, N.A., as administrative agent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for said lenders.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provisions of Section 2.13 of the Credit Agreement, the undersigned hereby certifies that (i) it is the sole record and beneficial owner of the participation in respect of which it is providing this certificate, (ii) it is not a bank within the meaning of Section 881(c)(3)(A) of the Internal Revenue Code, (iii) it is not a ten percent shareholder of any Borrower within the meaning of Section 871(h)(3)(B) of the Internal Revenue Code, and (iv) it is not a controlled foreign corporation related to any Borrower as described in Section 881(c)(3)(C) of the Internal Revenue Code.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a certificate of its non-U.S. Person status on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bidi w:val="0"/>
        <w:spacing w:before="0" w:after="240"/>
        <w:ind w:left="0" w:right="0" w:firstLine="1440"/>
        <w:jc w:val="both"/>
        <w:rPr/>
      </w:pPr>
      <w:r>
        <w:rPr/>
      </w:r>
    </w:p>
    <w:tbl>
      <w:tblPr>
        <w:tblW w:w="3032" w:type="dxa"/>
        <w:jc w:val="left"/>
        <w:tblInd w:w="0" w:type="dxa"/>
        <w:tblLayout w:type="fixed"/>
        <w:tblCellMar>
          <w:top w:w="28" w:type="dxa"/>
          <w:left w:w="28" w:type="dxa"/>
          <w:bottom w:w="28" w:type="dxa"/>
          <w:right w:w="28" w:type="dxa"/>
        </w:tblCellMar>
      </w:tblPr>
      <w:tblGrid>
        <w:gridCol w:w="223"/>
        <w:gridCol w:w="196"/>
        <w:gridCol w:w="196"/>
        <w:gridCol w:w="182"/>
        <w:gridCol w:w="182"/>
        <w:gridCol w:w="182"/>
        <w:gridCol w:w="182"/>
        <w:gridCol w:w="182"/>
        <w:gridCol w:w="182"/>
        <w:gridCol w:w="182"/>
        <w:gridCol w:w="182"/>
        <w:gridCol w:w="182"/>
        <w:gridCol w:w="228"/>
        <w:gridCol w:w="228"/>
        <w:gridCol w:w="323"/>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03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5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20 [ ]</w:t>
            </w:r>
          </w:p>
        </w:tc>
      </w:tr>
    </w:tbl>
    <w:p>
      <w:pPr>
        <w:pStyle w:val="TextBody"/>
        <w:bidi w:val="0"/>
        <w:spacing w:before="0" w:after="240"/>
        <w:ind w:left="0" w:right="0" w:firstLine="14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D-3</w:t>
      </w:r>
    </w:p>
    <w:p>
      <w:pPr>
        <w:pStyle w:val="TextBody"/>
        <w:bidi w:val="0"/>
        <w:spacing w:lineRule="auto" w:line="288" w:before="0" w:after="240"/>
        <w:jc w:val="center"/>
        <w:rPr/>
      </w:pPr>
      <w:r>
        <w:rPr>
          <w:rFonts w:ascii="Times New Roman;sans-serif" w:hAnsi="Times New Roman;sans-serif"/>
          <w:b/>
          <w:color w:val="000000"/>
          <w:sz w:val="22"/>
        </w:rPr>
        <w:t>[FORM OF]</w:t>
        <w:br/>
        <w:t>U.S. TAX COMPLIANCE CERTIFICATE</w:t>
      </w:r>
      <w:r>
        <w:rPr>
          <w:rFonts w:ascii="Times New Roman;sans-serif" w:hAnsi="Times New Roman;sans-serif"/>
          <w:b w:val="false"/>
          <w:color w:val="000000"/>
          <w:sz w:val="22"/>
        </w:rPr>
        <w:br/>
      </w:r>
      <w:r>
        <w:rPr>
          <w:rFonts w:ascii="Times New Roman;sans-serif" w:hAnsi="Times New Roman;sans-serif"/>
          <w:b/>
          <w:color w:val="000000"/>
          <w:sz w:val="22"/>
        </w:rPr>
        <w:t>(For Foreign Participants That Are Partnerships For U.S. Federal Income Tax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Reference is hereby made to the Credit Agreement dated as of May 8, 2025 (as amended,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Autodesk, Inc., each lender from time to time party thereto and Citibank, N.A., as administrative agent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for said lenders.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provisions of Section 2.13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Internal Revenue Code,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(iv) none of its direct or indirect partners/members is a ten percent shareholder of any Borrower within the meaning of Section 871(h)(3)(B) of the Internal Revenue Code and (v) none of its direct or indirect partners/members is a controlled foreign corporation related to any Borrower as described in Section 881(c)(3)(C) of the Internal Revenue Code.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its participating Lender with IRS Form W-8IMY accompanied by one of the following forms from each of its partners/members that is claiming the portfolio interest exemption: (i) an IRS Form W-8BEN-E or (ii) an IRS Form W-8IMY accompanied by an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bidi w:val="0"/>
        <w:spacing w:before="0" w:after="240"/>
        <w:ind w:left="0" w:right="0" w:firstLine="1440"/>
        <w:jc w:val="both"/>
        <w:rPr/>
      </w:pPr>
      <w:r>
        <w:rPr/>
      </w:r>
    </w:p>
    <w:tbl>
      <w:tblPr>
        <w:tblW w:w="3032" w:type="dxa"/>
        <w:jc w:val="left"/>
        <w:tblInd w:w="0" w:type="dxa"/>
        <w:tblLayout w:type="fixed"/>
        <w:tblCellMar>
          <w:top w:w="28" w:type="dxa"/>
          <w:left w:w="28" w:type="dxa"/>
          <w:bottom w:w="28" w:type="dxa"/>
          <w:right w:w="28" w:type="dxa"/>
        </w:tblCellMar>
      </w:tblPr>
      <w:tblGrid>
        <w:gridCol w:w="223"/>
        <w:gridCol w:w="196"/>
        <w:gridCol w:w="196"/>
        <w:gridCol w:w="182"/>
        <w:gridCol w:w="182"/>
        <w:gridCol w:w="182"/>
        <w:gridCol w:w="182"/>
        <w:gridCol w:w="182"/>
        <w:gridCol w:w="182"/>
        <w:gridCol w:w="182"/>
        <w:gridCol w:w="182"/>
        <w:gridCol w:w="182"/>
        <w:gridCol w:w="228"/>
        <w:gridCol w:w="228"/>
        <w:gridCol w:w="323"/>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3032"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OF PARTICIPANT]</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17"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5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20 [ ]</w:t>
            </w:r>
          </w:p>
        </w:tc>
      </w:tr>
    </w:tbl>
    <w:p>
      <w:pPr>
        <w:pStyle w:val="TextBody"/>
        <w:bidi w:val="0"/>
        <w:spacing w:before="0" w:after="240"/>
        <w:ind w:left="0" w:right="0" w:firstLine="144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2"/>
        </w:rPr>
      </w:pPr>
      <w:r>
        <w:rPr>
          <w:rFonts w:ascii="Times New Roman;sans-serif" w:hAnsi="Times New Roman;sans-serif"/>
          <w:b/>
          <w:color w:val="000000"/>
          <w:sz w:val="22"/>
        </w:rPr>
        <w:t>EXHIBIT D-4</w:t>
      </w:r>
    </w:p>
    <w:p>
      <w:pPr>
        <w:pStyle w:val="TextBody"/>
        <w:bidi w:val="0"/>
        <w:spacing w:lineRule="auto" w:line="288" w:before="0" w:after="240"/>
        <w:jc w:val="center"/>
        <w:rPr/>
      </w:pPr>
      <w:r>
        <w:rPr>
          <w:rFonts w:ascii="Times New Roman;sans-serif" w:hAnsi="Times New Roman;sans-serif"/>
          <w:b/>
          <w:color w:val="000000"/>
          <w:sz w:val="22"/>
        </w:rPr>
        <w:t>[FORM OF]</w:t>
        <w:br/>
        <w:t>U.S. TAX COMPLIANCE CERTIFICATE</w:t>
      </w:r>
      <w:r>
        <w:rPr>
          <w:rFonts w:ascii="Times New Roman;sans-serif" w:hAnsi="Times New Roman;sans-serif"/>
          <w:b w:val="false"/>
          <w:color w:val="000000"/>
          <w:sz w:val="22"/>
        </w:rPr>
        <w:br/>
      </w:r>
      <w:r>
        <w:rPr>
          <w:rFonts w:ascii="Times New Roman;sans-serif" w:hAnsi="Times New Roman;sans-serif"/>
          <w:b/>
          <w:color w:val="000000"/>
          <w:sz w:val="22"/>
        </w:rPr>
        <w:t>(For Foreign Lenders That Are Partnerships For U.S. Federal Income Tax Purposes)</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Reference is hereby made to the Credit Agreement dated as of May 8, 2025 (as amended, supplemented or otherwise modified from time to time, the “</w:t>
      </w:r>
      <w:r>
        <w:rPr>
          <w:rFonts w:ascii="Times New Roman;sans-serif" w:hAnsi="Times New Roman;sans-serif"/>
          <w:b w:val="false"/>
          <w:color w:val="000000"/>
          <w:sz w:val="22"/>
          <w:u w:val="single"/>
        </w:rPr>
        <w:t>Credit</w:t>
      </w:r>
      <w:r>
        <w:rPr>
          <w:color w:val="000000"/>
        </w:rPr>
        <w:t xml:space="preserve"> </w:t>
      </w:r>
      <w:r>
        <w:rPr>
          <w:rFonts w:ascii="Times New Roman;sans-serif" w:hAnsi="Times New Roman;sans-serif"/>
          <w:b w:val="false"/>
          <w:color w:val="000000"/>
          <w:sz w:val="22"/>
          <w:u w:val="single"/>
        </w:rPr>
        <w:t>Agreement</w:t>
      </w:r>
      <w:r>
        <w:rPr>
          <w:color w:val="000000"/>
        </w:rPr>
        <w:t>”</w:t>
      </w:r>
      <w:r>
        <w:rPr>
          <w:rFonts w:ascii="Times New Roman;sans-serif" w:hAnsi="Times New Roman;sans-serif"/>
          <w:b w:val="false"/>
          <w:color w:val="000000"/>
          <w:sz w:val="22"/>
        </w:rPr>
        <w:t>), among Autodesk, Inc., each lender from time to time party thereto and Citibank, N.A., as administrative agent (the “</w:t>
      </w:r>
      <w:r>
        <w:rPr>
          <w:rFonts w:ascii="Times New Roman;sans-serif" w:hAnsi="Times New Roman;sans-serif"/>
          <w:b w:val="false"/>
          <w:color w:val="000000"/>
          <w:sz w:val="22"/>
          <w:u w:val="single"/>
        </w:rPr>
        <w:t>Agent</w:t>
      </w:r>
      <w:r>
        <w:rPr>
          <w:color w:val="000000"/>
        </w:rPr>
        <w:t>”</w:t>
      </w:r>
      <w:r>
        <w:rPr>
          <w:rFonts w:ascii="Times New Roman;sans-serif" w:hAnsi="Times New Roman;sans-serif"/>
          <w:b w:val="false"/>
          <w:color w:val="000000"/>
          <w:sz w:val="22"/>
        </w:rPr>
        <w:t>) for said lenders.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provisions of Section 2.13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Advance(s) (as well as any Note(s) evidencing such Advance(s)), (iii) with respect to the extension of credit pursuant to the Credit Agreement, neither the undersigned nor any of its direct or indirect partners/members is a bank extending credit pursuant to a loan agreement entered into in the ordinary course of its trade or business within the meaning of Section 881(c)(3)(A) of the Internal Revenue Code, (iv) none of its direct or indirect partners/members is a ten percent shareholder of any Borrower within the meaning of Section 871(h)(3)(B) of the Internal Revenue Code and (v) none of its direct or indirect partners/members is a controlled foreign corporation related to any Borrower as described in Section 881(c)(3)(C) of the Internal Revenue Code.</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undersigned has furnished the Agent and the Borrowers with IRS Form W-8IMY accompanied by one of the following forms from each of its partners/members that is claiming the portfolio interest exemption: (i) an IRS Form W-8BEN-E or (ii) an IRS Form W-8IMY accompanied by an IRS Form W-8BEN-E from each of such partner’s/member’s beneficial owners that is claiming the portfolio interest exemption. By executing this certificate, the undersigned agrees that (1) if the information provided on this certificate changes, the undersigned shall promptly so inform the Borrowers and the Agent, and (2) the undersigned shall have at all times furnished the Borrowers and the Agent with a properly completed and currently effective certificate in either the calendar year in which each payment is to be made to the undersigned, or in either of the two calendar years preceding such payments.</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Unless otherwise defined herein, terms defined in the Credit Agreement and used herein shall have the meanings given to them in the Credit Agreement.</w:t>
      </w:r>
    </w:p>
    <w:p>
      <w:pPr>
        <w:pStyle w:val="TextBody"/>
        <w:bidi w:val="0"/>
        <w:spacing w:before="0" w:after="0"/>
        <w:jc w:val="both"/>
        <w:rPr/>
      </w:pPr>
      <w:r>
        <w:rPr/>
      </w:r>
    </w:p>
    <w:tbl>
      <w:tblPr>
        <w:tblW w:w="2698" w:type="dxa"/>
        <w:jc w:val="left"/>
        <w:tblInd w:w="0" w:type="dxa"/>
        <w:tblLayout w:type="fixed"/>
        <w:tblCellMar>
          <w:top w:w="28" w:type="dxa"/>
          <w:left w:w="28" w:type="dxa"/>
          <w:bottom w:w="28" w:type="dxa"/>
          <w:right w:w="28" w:type="dxa"/>
        </w:tblCellMar>
      </w:tblPr>
      <w:tblGrid>
        <w:gridCol w:w="259"/>
        <w:gridCol w:w="183"/>
        <w:gridCol w:w="172"/>
        <w:gridCol w:w="145"/>
        <w:gridCol w:w="145"/>
        <w:gridCol w:w="145"/>
        <w:gridCol w:w="145"/>
        <w:gridCol w:w="145"/>
        <w:gridCol w:w="145"/>
        <w:gridCol w:w="145"/>
        <w:gridCol w:w="145"/>
        <w:gridCol w:w="145"/>
        <w:gridCol w:w="227"/>
        <w:gridCol w:w="227"/>
        <w:gridCol w:w="325"/>
      </w:tblGrid>
      <w:tr>
        <w:trPr/>
        <w:tc>
          <w:tcPr>
            <w:tcW w:w="2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698"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OF LENDER]</w:t>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084" w:type="dxa"/>
            <w:gridSpan w:val="1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Name: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Title:    </w:t>
            </w:r>
          </w:p>
        </w:tc>
      </w:tr>
      <w:tr>
        <w:trPr/>
        <w:tc>
          <w:tcPr>
            <w:tcW w:w="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43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20 [ ]</w:t>
            </w:r>
          </w:p>
        </w:tc>
      </w:tr>
    </w:tbl>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Anagnost, certify that: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Autodesk,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29, 2025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ANAGNOST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Janesh Moorjani, certify that: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report on Form 10-Q of Autodesk, Inc.;</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29, 2025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18"/>
              </w:rPr>
            </w:pPr>
            <w:r>
              <w:rPr>
                <w:rFonts w:ascii="Times New Roman;sans-serif" w:hAnsi="Times New Roman;sans-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 Vice President and Chief Financial Officer</w:t>
              <w:b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AND CHIEF FINANCIAL OFFICER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before="100" w:after="100"/>
        <w:ind w:left="0" w:right="0" w:firstLine="360"/>
        <w:jc w:val="left"/>
        <w:rPr/>
      </w:pPr>
      <w:r>
        <w:rPr/>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I, Andrew Anagnost, certify, pursuant to 18 U.S.C. Section 1350, as adopted pursuant to Section 906 of the Sarbanes-Oxley Act of 2002, that the Quarterly Report of Autodesk, Inc. on Form 10-Q for the quarterly period ended April 30, 2025, fully complies with the requirements of Section 13(a) or 15(d) of the Securities Exchange Act of 1934 and that information contained in such Form 10-Q fairly presents in all material respects the financial condition and results of operations of Autodesk, Inc.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29, 2025 </w:t>
      </w:r>
    </w:p>
    <w:tbl>
      <w:tblPr>
        <w:tblW w:w="3371" w:type="dxa"/>
        <w:jc w:val="right"/>
        <w:tblInd w:w="0" w:type="dxa"/>
        <w:tblLayout w:type="fixed"/>
        <w:tblCellMar>
          <w:top w:w="28" w:type="dxa"/>
          <w:left w:w="28" w:type="dxa"/>
          <w:bottom w:w="28" w:type="dxa"/>
          <w:right w:w="28" w:type="dxa"/>
        </w:tblCellMar>
      </w:tblPr>
      <w:tblGrid>
        <w:gridCol w:w="124"/>
        <w:gridCol w:w="109"/>
        <w:gridCol w:w="109"/>
        <w:gridCol w:w="886"/>
        <w:gridCol w:w="886"/>
        <w:gridCol w:w="12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ANAGNOST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Andrew Anagnost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Executive Officer)</w:t>
            </w:r>
          </w:p>
        </w:tc>
      </w:tr>
    </w:tbl>
    <w:p>
      <w:pPr>
        <w:pStyle w:val="TextBody"/>
        <w:bidi w:val="0"/>
        <w:spacing w:before="0" w:after="0"/>
        <w:jc w:val="right"/>
        <w:rPr/>
      </w:pPr>
      <w:r>
        <w:rPr/>
      </w:r>
    </w:p>
    <w:p>
      <w:pPr>
        <w:pStyle w:val="TextBody"/>
        <w:bidi w:val="0"/>
        <w:spacing w:lineRule="auto" w:line="288" w:before="100" w:after="1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my knowledge, I, Janesh Moorjani, certify, pursuant to 18 U.S.C. Section 1350, as adopted pursuant to Section 906 of the Sarbanes-Oxley Act of 2002, that the Quarterly Report of Autodesk, Inc. on Form 10-Q for the quarterly period ended April 30, 2025, fully complies with the requirements of Section 13(a) or 15(d) of the Securities Exchange Act of 1934 and that information contained in such Form 10-Q fairly presents in all material respects the financial condition and results of operations of Autodesk, Inc.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29, 2025 </w:t>
      </w:r>
    </w:p>
    <w:tbl>
      <w:tblPr>
        <w:tblW w:w="4497" w:type="dxa"/>
        <w:jc w:val="right"/>
        <w:tblInd w:w="0" w:type="dxa"/>
        <w:tblLayout w:type="fixed"/>
        <w:tblCellMar>
          <w:top w:w="28" w:type="dxa"/>
          <w:left w:w="28" w:type="dxa"/>
          <w:bottom w:w="28" w:type="dxa"/>
          <w:right w:w="28" w:type="dxa"/>
        </w:tblCellMar>
      </w:tblPr>
      <w:tblGrid>
        <w:gridCol w:w="124"/>
        <w:gridCol w:w="109"/>
        <w:gridCol w:w="109"/>
        <w:gridCol w:w="1216"/>
        <w:gridCol w:w="1216"/>
        <w:gridCol w:w="17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Janesh Moorjani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69397/000076939725000051/adsk-starboardsettlementag.htm" TargetMode="External"/><Relationship Id="rId3" Type="http://schemas.openxmlformats.org/officeDocument/2006/relationships/hyperlink" Target="https://www.sec.gov/Archives/edgar/data/769397/000076939725000051/adsk-starboardsettlementag.htm" TargetMode="External"/><Relationship Id="rId4" Type="http://schemas.openxmlformats.org/officeDocument/2006/relationships/hyperlink" Target="https://www.sec.gov/Archives/edgar/data/769397/000076939725000051/adsk-starboardsettlementag.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142</Pages>
  <Words>108015</Words>
  <Characters>588186</Characters>
  <CharactersWithSpaces>694263</CharactersWithSpaces>
  <Paragraphs>4608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