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 of Report (Date of earliest event reported)</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November 25, 2025</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Autodesk,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317" w:lineRule="exact"/>
        <w:rPr>
          <w:sz w:val="24"/>
          <w:szCs w:val="24"/>
          <w:color w:val="auto"/>
        </w:rPr>
      </w:pPr>
    </w:p>
    <w:tbl>
      <w:tblPr>
        <w:tblLayout w:type="fixed"/>
        <w:tblInd w:w="440" w:type="dxa"/>
        <w:tblCellMar>
          <w:top w:w="0" w:type="dxa"/>
          <w:left w:w="0" w:type="dxa"/>
          <w:bottom w:w="0" w:type="dxa"/>
          <w:right w:w="0" w:type="dxa"/>
        </w:tblCellMar>
      </w:tblPr>
      <w:tr>
        <w:trPr>
          <w:trHeight w:val="195"/>
        </w:trPr>
        <w:tc>
          <w:tcPr>
            <w:tcW w:w="8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1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000-14338</w:t>
            </w:r>
          </w:p>
        </w:tc>
        <w:tc>
          <w:tcPr>
            <w:tcW w:w="2200" w:type="dxa"/>
            <w:vAlign w:val="bottom"/>
          </w:tcPr>
          <w:p>
            <w:pPr>
              <w:spacing w:after="0"/>
              <w:rPr>
                <w:sz w:val="17"/>
                <w:szCs w:val="17"/>
                <w:color w:val="auto"/>
              </w:rPr>
            </w:pPr>
          </w:p>
        </w:tc>
        <w:tc>
          <w:tcPr>
            <w:tcW w:w="1740" w:type="dxa"/>
            <w:vAlign w:val="bottom"/>
            <w:gridSpan w:val="3"/>
          </w:tcPr>
          <w:p>
            <w:pPr>
              <w:jc w:val="center"/>
              <w:ind w:left="394"/>
              <w:spacing w:after="0"/>
              <w:rPr>
                <w:sz w:val="20"/>
                <w:szCs w:val="20"/>
                <w:color w:val="auto"/>
              </w:rPr>
            </w:pPr>
            <w:r>
              <w:rPr>
                <w:rFonts w:ascii="Times New Roman" w:cs="Times New Roman" w:eastAsia="Times New Roman" w:hAnsi="Times New Roman"/>
                <w:sz w:val="17"/>
                <w:szCs w:val="17"/>
                <w:b w:val="1"/>
                <w:bCs w:val="1"/>
                <w:color w:val="auto"/>
                <w:w w:val="99"/>
              </w:rPr>
              <w:t>94-2819853</w:t>
            </w:r>
          </w:p>
        </w:tc>
      </w:tr>
      <w:tr>
        <w:trPr>
          <w:trHeight w:val="20"/>
        </w:trPr>
        <w:tc>
          <w:tcPr>
            <w:tcW w:w="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6"/>
        </w:trPr>
        <w:tc>
          <w:tcPr>
            <w:tcW w:w="2960" w:type="dxa"/>
            <w:vAlign w:val="bottom"/>
            <w:gridSpan w:val="3"/>
          </w:tcPr>
          <w:p>
            <w:pPr>
              <w:jc w:val="center"/>
              <w:ind w:right="560"/>
              <w:spacing w:after="0" w:line="186"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980" w:type="dxa"/>
            <w:vAlign w:val="bottom"/>
          </w:tcPr>
          <w:p>
            <w:pPr>
              <w:spacing w:after="0"/>
              <w:rPr>
                <w:sz w:val="16"/>
                <w:szCs w:val="16"/>
                <w:color w:val="auto"/>
              </w:rPr>
            </w:pPr>
          </w:p>
        </w:tc>
        <w:tc>
          <w:tcPr>
            <w:tcW w:w="3520" w:type="dxa"/>
            <w:vAlign w:val="bottom"/>
            <w:gridSpan w:val="3"/>
          </w:tcPr>
          <w:p>
            <w:pPr>
              <w:jc w:val="center"/>
              <w:ind w:right="1620"/>
              <w:spacing w:after="0" w:line="186" w:lineRule="exact"/>
              <w:rPr>
                <w:sz w:val="20"/>
                <w:szCs w:val="20"/>
                <w:color w:val="auto"/>
              </w:rPr>
            </w:pPr>
            <w:r>
              <w:rPr>
                <w:rFonts w:ascii="Times New Roman" w:cs="Times New Roman" w:eastAsia="Times New Roman" w:hAnsi="Times New Roman"/>
                <w:sz w:val="17"/>
                <w:szCs w:val="17"/>
                <w:color w:val="auto"/>
              </w:rPr>
              <w:t>(Commission File Number)</w:t>
            </w:r>
          </w:p>
        </w:tc>
        <w:tc>
          <w:tcPr>
            <w:tcW w:w="1740" w:type="dxa"/>
            <w:vAlign w:val="bottom"/>
            <w:gridSpan w:val="3"/>
          </w:tcPr>
          <w:p>
            <w:pPr>
              <w:jc w:val="center"/>
              <w:ind w:left="394"/>
              <w:spacing w:after="0" w:line="186" w:lineRule="exact"/>
              <w:rPr>
                <w:sz w:val="20"/>
                <w:szCs w:val="20"/>
                <w:color w:val="auto"/>
              </w:rPr>
            </w:pPr>
            <w:r>
              <w:rPr>
                <w:rFonts w:ascii="Times New Roman" w:cs="Times New Roman" w:eastAsia="Times New Roman" w:hAnsi="Times New Roman"/>
                <w:sz w:val="17"/>
                <w:szCs w:val="17"/>
                <w:color w:val="auto"/>
              </w:rPr>
              <w:t>(IRS Employer</w:t>
            </w:r>
          </w:p>
        </w:tc>
      </w:tr>
      <w:tr>
        <w:trPr>
          <w:trHeight w:val="223"/>
        </w:trPr>
        <w:tc>
          <w:tcPr>
            <w:tcW w:w="2960" w:type="dxa"/>
            <w:vAlign w:val="bottom"/>
            <w:gridSpan w:val="3"/>
          </w:tcPr>
          <w:p>
            <w:pPr>
              <w:jc w:val="center"/>
              <w:ind w:right="540"/>
              <w:spacing w:after="0"/>
              <w:rPr>
                <w:sz w:val="20"/>
                <w:szCs w:val="20"/>
                <w:color w:val="auto"/>
              </w:rPr>
            </w:pPr>
            <w:r>
              <w:rPr>
                <w:rFonts w:ascii="Times New Roman" w:cs="Times New Roman" w:eastAsia="Times New Roman" w:hAnsi="Times New Roman"/>
                <w:sz w:val="17"/>
                <w:szCs w:val="17"/>
                <w:color w:val="auto"/>
              </w:rPr>
              <w:t>incorporation)</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740" w:type="dxa"/>
            <w:vAlign w:val="bottom"/>
            <w:gridSpan w:val="3"/>
          </w:tcPr>
          <w:p>
            <w:pPr>
              <w:jc w:val="center"/>
              <w:ind w:left="374"/>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543"/>
        </w:trPr>
        <w:tc>
          <w:tcPr>
            <w:tcW w:w="296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One Market Street, Ste. 400</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296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San Francisco,</w:t>
            </w:r>
          </w:p>
        </w:tc>
        <w:tc>
          <w:tcPr>
            <w:tcW w:w="98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w w:val="99"/>
              </w:rPr>
              <w:t>California</w:t>
            </w:r>
          </w:p>
        </w:tc>
        <w:tc>
          <w:tcPr>
            <w:tcW w:w="1320" w:type="dxa"/>
            <w:vAlign w:val="bottom"/>
            <w:gridSpan w:val="2"/>
          </w:tcPr>
          <w:p>
            <w:pPr>
              <w:ind w:left="540"/>
              <w:spacing w:after="0"/>
              <w:rPr>
                <w:sz w:val="20"/>
                <w:szCs w:val="20"/>
                <w:color w:val="auto"/>
              </w:rPr>
            </w:pPr>
            <w:r>
              <w:rPr>
                <w:rFonts w:ascii="Times New Roman" w:cs="Times New Roman" w:eastAsia="Times New Roman" w:hAnsi="Times New Roman"/>
                <w:sz w:val="17"/>
                <w:szCs w:val="17"/>
                <w:b w:val="1"/>
                <w:bCs w:val="1"/>
                <w:color w:val="auto"/>
              </w:rPr>
              <w:t>94105</w:t>
            </w:r>
          </w:p>
        </w:tc>
        <w:tc>
          <w:tcPr>
            <w:tcW w:w="2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296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980" w:type="dxa"/>
            <w:vAlign w:val="bottom"/>
          </w:tcPr>
          <w:p>
            <w:pPr>
              <w:spacing w:after="0"/>
              <w:rPr>
                <w:sz w:val="19"/>
                <w:szCs w:val="19"/>
                <w:color w:val="auto"/>
              </w:rPr>
            </w:pPr>
          </w:p>
        </w:tc>
        <w:tc>
          <w:tcPr>
            <w:tcW w:w="3520" w:type="dxa"/>
            <w:vAlign w:val="bottom"/>
            <w:gridSpan w:val="3"/>
          </w:tcPr>
          <w:p>
            <w:pPr>
              <w:ind w:left="540"/>
              <w:spacing w:after="0"/>
              <w:rPr>
                <w:sz w:val="20"/>
                <w:szCs w:val="20"/>
                <w:color w:val="auto"/>
              </w:rPr>
            </w:pPr>
            <w:r>
              <w:rPr>
                <w:rFonts w:ascii="Times New Roman" w:cs="Times New Roman" w:eastAsia="Times New Roman" w:hAnsi="Times New Roman"/>
                <w:sz w:val="17"/>
                <w:szCs w:val="17"/>
                <w:color w:val="auto"/>
              </w:rPr>
              <w:t>(Zip Code)</w:t>
            </w: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705"/>
        </w:trPr>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20" w:type="dxa"/>
            <w:vAlign w:val="bottom"/>
            <w:gridSpan w:val="3"/>
          </w:tcPr>
          <w:p>
            <w:pPr>
              <w:jc w:val="right"/>
              <w:ind w:right="1740"/>
              <w:spacing w:after="0"/>
              <w:rPr>
                <w:sz w:val="20"/>
                <w:szCs w:val="20"/>
                <w:color w:val="auto"/>
              </w:rPr>
            </w:pPr>
            <w:r>
              <w:rPr>
                <w:rFonts w:ascii="Times New Roman" w:cs="Times New Roman" w:eastAsia="Times New Roman" w:hAnsi="Times New Roman"/>
                <w:sz w:val="17"/>
                <w:szCs w:val="17"/>
                <w:b w:val="1"/>
                <w:bCs w:val="1"/>
                <w:color w:val="auto"/>
              </w:rPr>
              <w:t>(415) 507-5000</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500" w:type="dxa"/>
            <w:vAlign w:val="bottom"/>
            <w:gridSpan w:val="4"/>
          </w:tcPr>
          <w:p>
            <w:pPr>
              <w:jc w:val="center"/>
              <w:ind w:right="6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c>
          <w:tcPr>
            <w:tcW w:w="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17" w:lineRule="exact"/>
        <w:rPr>
          <w:sz w:val="24"/>
          <w:szCs w:val="24"/>
          <w:color w:val="auto"/>
        </w:rPr>
      </w:pPr>
    </w:p>
    <w:p>
      <w:pPr>
        <w:ind w:right="460"/>
        <w:spacing w:after="0" w:line="260"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Written communications pursuant to Rule 425 under the Securities Act (17 CFR 230.425)</w:t>
      </w:r>
    </w:p>
    <w:p>
      <w:pPr>
        <w:spacing w:after="0" w:line="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Soliciting material pursuant to Rule 14a-12 under the Exchange Act (17 CFR 240.14a-12)</w:t>
      </w:r>
    </w:p>
    <w:p>
      <w:pPr>
        <w:spacing w:after="0" w:line="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Pre-commencement communications pursuant to Rule 14d-2(b) under the Exchange Act (17 CFR 240.14d-2(b))</w:t>
      </w:r>
    </w:p>
    <w:p>
      <w:pPr>
        <w:spacing w:after="0" w:line="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Pre-commencement communications pursuant to Rule 13e-4(c) under the Exchange Act (17 CFR 240.13e-4(c))</w:t>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ectPr>
          <w:pgSz w:w="11900" w:h="16838" w:orient="portrait"/>
          <w:cols w:equalWidth="0" w:num="1">
            <w:col w:w="11240"/>
          </w:cols>
          <w:pgMar w:left="320" w:top="980" w:right="339" w:bottom="1440" w:gutter="0" w:footer="0" w:header="0"/>
        </w:sectPr>
      </w:pPr>
    </w:p>
    <w:p>
      <w:pPr>
        <w:spacing w:after="0" w:line="136"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2" w:lineRule="exact"/>
        <w:rPr>
          <w:sz w:val="24"/>
          <w:szCs w:val="24"/>
          <w:color w:val="auto"/>
        </w:rPr>
      </w:pPr>
    </w:p>
    <w:p>
      <w:pPr>
        <w:sectPr>
          <w:pgSz w:w="11900" w:h="16838" w:orient="portrait"/>
          <w:cols w:equalWidth="0" w:num="3">
            <w:col w:w="3400" w:space="720"/>
            <w:col w:w="2060" w:space="720"/>
            <w:col w:w="4340"/>
          </w:cols>
          <w:pgMar w:left="320" w:top="980" w:right="33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7"/>
          <w:szCs w:val="17"/>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ADSK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Nasdaq Global Select Market</w:t>
      </w:r>
    </w:p>
    <w:p>
      <w:pPr>
        <w:spacing w:after="0" w:line="149" w:lineRule="exact"/>
        <w:rPr>
          <w:sz w:val="24"/>
          <w:szCs w:val="24"/>
          <w:color w:val="auto"/>
        </w:rPr>
      </w:pPr>
    </w:p>
    <w:p>
      <w:pPr>
        <w:sectPr>
          <w:pgSz w:w="11900" w:h="16838" w:orient="portrait"/>
          <w:cols w:equalWidth="0" w:num="3">
            <w:col w:w="3840" w:space="720"/>
            <w:col w:w="2040" w:space="720"/>
            <w:col w:w="3920"/>
          </w:cols>
          <w:pgMar w:left="320" w:top="980" w:right="339" w:bottom="1440" w:gutter="0" w:footer="0" w:header="0"/>
          <w:type w:val="continuous"/>
        </w:sectPr>
      </w:pPr>
    </w:p>
    <w:p>
      <w:pPr>
        <w:spacing w:after="0" w:line="397"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jc w:val="right"/>
        <w:spacing w:after="0" w:line="196" w:lineRule="exact"/>
        <w:rPr>
          <w:sz w:val="20"/>
          <w:szCs w:val="20"/>
          <w:color w:val="auto"/>
        </w:rPr>
      </w:pPr>
      <w:r>
        <w:rPr>
          <w:rFonts w:ascii="Times New Roman" w:cs="Times New Roman" w:eastAsia="Times New Roman" w:hAnsi="Times New Roman"/>
          <w:sz w:val="17"/>
          <w:szCs w:val="17"/>
          <w:color w:val="auto"/>
        </w:rPr>
        <w:t>Emerging growth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611505</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1" w:name="page2"/>
    <w:bookmarkEnd w:id="1"/>
    <w:p>
      <w:pPr>
        <w:spacing w:after="0" w:line="397"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635000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2.02. Results of Operations and Financial Condition.</w:t>
      </w:r>
    </w:p>
    <w:p>
      <w:pPr>
        <w:spacing w:after="0" w:line="221"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7"/>
          <w:szCs w:val="17"/>
          <w:color w:val="auto"/>
        </w:rPr>
        <w:t>On November 25, 2025, Autodesk, Inc. (“Autodesk” or the “Company”) issued a press release reporting financial results for the third fiscal quarter ended October 31, 2025. The press release is furnished herewith as Exhibit 99.1 and is incorporated herein by reference.</w:t>
      </w:r>
    </w:p>
    <w:p>
      <w:pPr>
        <w:spacing w:after="0" w:line="15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Key Performance Metrics</w:t>
      </w:r>
    </w:p>
    <w:p>
      <w:pPr>
        <w:spacing w:after="0" w:line="24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order to help better understand Autodesk’s financial performance, Autodesk uses several key performance metrics including billings, recurring revenue, and net revenue retention rate (“NR3”). These metrics are key performance metrics and should be viewed independently of revenue and deferred revenue as these metrics are not intended to be combined with those items. Autodesk uses these metrics to monitor the strength of its recurring business. Autodesk believes these metrics are useful to investors because they can help in monitoring the long-term health of Autodesk’s business. Autodesk’s determination and presentation of these metrics may differ from that of other companies. The presentation of these metrics is meant to be considered in addition to, not as a substitute for or in isolation from, Autodesk financial measures prepared in accordance with GAAP.</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Non-GAAP Financial Measures</w:t>
      </w:r>
    </w:p>
    <w:p>
      <w:pPr>
        <w:spacing w:after="0" w:line="2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To supplement Autodesk’s condensed consolidated financial statements presented on a GAAP basis, the press release furnished herewith as Exhibit 99.1 provides investors with certain non-GAAP measures, including but not limited to historical non-GAAP net earnings and historical and future non-GAAP net earnings per diluted share. For Autodesk’s internal budgeting and resource allocation process and as a means to evaluate period-to-period comparisons, Autodesk uses non-GAAP measures to supplement its condensed consolidated financial statements presented on a GAAP basis. These non-GAAP measures do not include certain items that may have a material impact upon Autodesk’s reported financial results. Autodesk uses non-GAAP measures in making operating decisions because Autodesk believes those measures provide meaningful supplemental information for management regarding the Company's earning potential and performance by excluding certain expenses and charges that may not be indicative of the Company’s core business operating results. For the reasons set forth below, Autodesk believes that these non-GAAP financial measures are useful to investors both because (1) they allow for greater transparency with respect to key metrics used by management in its financial and operational decision-making and (2) they are used by Autodesk’s institutional investors and the analyst community to help them analyze the health of the Company's business. This allows investors and others to better understand and evaluate Autodesk’s operating results and future prospects in the same manner as management, compare financial results across accounting periods and to those of peer companies, and to better understand the long-term performance of its core business. Autodesk also uses some of these measures for purposes of determining company-wide incentive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described above, Autodesk may exclude the following items, as applicable, from its non-GAAP measures:</w:t>
      </w:r>
    </w:p>
    <w:p>
      <w:pPr>
        <w:spacing w:after="0" w:line="213" w:lineRule="exact"/>
        <w:rPr>
          <w:sz w:val="20"/>
          <w:szCs w:val="20"/>
          <w:color w:val="auto"/>
        </w:rPr>
      </w:pPr>
    </w:p>
    <w:p>
      <w:pPr>
        <w:ind w:right="80"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Stock-based compensation expenses. </w:t>
      </w:r>
      <w:r>
        <w:rPr>
          <w:rFonts w:ascii="Times New Roman" w:cs="Times New Roman" w:eastAsia="Times New Roman" w:hAnsi="Times New Roman"/>
          <w:sz w:val="17"/>
          <w:szCs w:val="17"/>
          <w:color w:val="auto"/>
        </w:rPr>
        <w:t>Autodesk excludes stock-based compensation expenses from its non-GAAP measures primarily because they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non-cash 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Autodesk believes that excluding stock-based compensation expenses allows investors to make meaningful comparisons between its recurring core business operating results and those of other companies.</w:t>
      </w:r>
    </w:p>
    <w:p>
      <w:pPr>
        <w:spacing w:after="0" w:line="171" w:lineRule="exact"/>
        <w:rPr>
          <w:sz w:val="20"/>
          <w:szCs w:val="20"/>
          <w:color w:val="auto"/>
        </w:rPr>
      </w:pPr>
    </w:p>
    <w:p>
      <w:pPr>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Amortization of developed technologies and purchased intangibles. </w:t>
      </w:r>
      <w:r>
        <w:rPr>
          <w:rFonts w:ascii="Times New Roman" w:cs="Times New Roman" w:eastAsia="Times New Roman" w:hAnsi="Times New Roman"/>
          <w:sz w:val="17"/>
          <w:szCs w:val="17"/>
          <w:color w:val="auto"/>
        </w:rPr>
        <w:t>Autodesk incurs amortization of acquisition-related developed technology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purchased intangibles in connection with acquisitions of certain businesses and technologies. Amortization of developed technologies and purchased intangibles is inconsistent in amount and frequency and is significantly affected by the timing and size of Autodesk's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Autodesk's future period revenues as well. Amortization of developed technologies and purchased intangible assets will recur in future periods.</w:t>
      </w:r>
    </w:p>
    <w:p>
      <w:pPr>
        <w:spacing w:after="0" w:line="194" w:lineRule="exact"/>
        <w:rPr>
          <w:sz w:val="20"/>
          <w:szCs w:val="20"/>
          <w:color w:val="auto"/>
        </w:rPr>
      </w:pPr>
    </w:p>
    <w:p>
      <w:pPr>
        <w:jc w:val="both"/>
        <w:ind w:right="320"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Restructuring, other exit costs, and facility reductions. </w:t>
      </w:r>
      <w:r>
        <w:rPr>
          <w:rFonts w:ascii="Times New Roman" w:cs="Times New Roman" w:eastAsia="Times New Roman" w:hAnsi="Times New Roman"/>
          <w:sz w:val="17"/>
          <w:szCs w:val="17"/>
          <w:color w:val="auto"/>
        </w:rPr>
        <w:t>These expenses are associated with realigning Autodesk's business strategies based on current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economic conditions. In connection with these restructuring actions or other exit actions, Autodesk recognizes costs related to termination benefits for former employees whose positions were eliminated, the reduction of facilities,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527685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125" w:right="399" w:bottom="1440" w:gutter="0" w:footer="0" w:header="0"/>
        </w:sectPr>
      </w:pPr>
    </w:p>
    <w:bookmarkStart w:id="3" w:name="page4"/>
    <w:bookmarkEnd w:id="3"/>
    <w:p>
      <w:pPr>
        <w:ind w:right="200"/>
        <w:spacing w:after="0" w:line="287" w:lineRule="auto"/>
        <w:rPr>
          <w:sz w:val="20"/>
          <w:szCs w:val="20"/>
          <w:color w:val="auto"/>
        </w:rPr>
      </w:pPr>
      <w:r>
        <w:rPr>
          <w:rFonts w:ascii="Times New Roman" w:cs="Times New Roman" w:eastAsia="Times New Roman" w:hAnsi="Times New Roman"/>
          <w:sz w:val="17"/>
          <w:szCs w:val="17"/>
          <w:color w:val="auto"/>
        </w:rPr>
        <w:t>cancellation of certain contracts. Autodesk excludes these charges because these expenses are not reflective of ongoing business and operating results. Autodesk believes it is useful for investors to understand the effects of these items on its total operating expenses.</w:t>
      </w:r>
    </w:p>
    <w:p>
      <w:pPr>
        <w:spacing w:after="0" w:line="173" w:lineRule="exact"/>
        <w:rPr>
          <w:sz w:val="20"/>
          <w:szCs w:val="20"/>
          <w:color w:val="auto"/>
        </w:rPr>
      </w:pPr>
    </w:p>
    <w:p>
      <w:pPr>
        <w:ind w:right="20"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Acquisition-related costs. </w:t>
      </w:r>
      <w:r>
        <w:rPr>
          <w:rFonts w:ascii="Times New Roman" w:cs="Times New Roman" w:eastAsia="Times New Roman" w:hAnsi="Times New Roman"/>
          <w:sz w:val="17"/>
          <w:szCs w:val="17"/>
          <w:color w:val="auto"/>
        </w:rPr>
        <w:t>Autodesk excludes certain acquisition-related costs, including due diligence costs, professional fees in connection with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acquisition, certain financing costs, and certain integration-related expenses. These expenses are unpredictable, and dependent on factors that may be outside of Autodesk's control and unrelated to the continuing operations of the acquired business or Autodesk. In addition, the size and complexity of an acquisition, which often drives the magnitude of acquisition-related costs, may not be indicative of such future costs. Autodesk believes excluding acquisition-related costs facilitates the comparison of its financial results to the Autodesk's historical operating results and to other companies in its industry.</w:t>
      </w:r>
    </w:p>
    <w:p>
      <w:pPr>
        <w:spacing w:after="0" w:line="196" w:lineRule="exact"/>
        <w:rPr>
          <w:sz w:val="20"/>
          <w:szCs w:val="20"/>
          <w:color w:val="auto"/>
        </w:rPr>
      </w:pPr>
    </w:p>
    <w:p>
      <w:pPr>
        <w:ind w:right="20"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Loss (gain) on strategic investments and dispositions. </w:t>
      </w:r>
      <w:r>
        <w:rPr>
          <w:rFonts w:ascii="Times New Roman" w:cs="Times New Roman" w:eastAsia="Times New Roman" w:hAnsi="Times New Roman"/>
          <w:sz w:val="17"/>
          <w:szCs w:val="17"/>
          <w:color w:val="auto"/>
        </w:rPr>
        <w:t>Autodesk excludes gains and losses related to its strategic investments and dispositions of strategic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investments, purchased intangibles, and businesses from its non-GAAP measures primarily because management finds it useful to exclude these variable gains and losses on these investments and dispositions in assessing Autodesk's financial results. Included in these amounts are non-cash unrealized gains and losses, dividends received, realized gains and losses on the sales or losses on the impairment of these investments, and gain and loss on dispositions. Autodesk believes excluding these items is useful to investors because these excluded items do not correlate to the underlying performance of its business and these losses or gains were incurred in connection with strategic investments and dispositions which do not occur regularly.</w:t>
      </w:r>
    </w:p>
    <w:p>
      <w:pPr>
        <w:spacing w:after="0" w:line="194" w:lineRule="exact"/>
        <w:rPr>
          <w:sz w:val="20"/>
          <w:szCs w:val="20"/>
          <w:color w:val="auto"/>
        </w:rPr>
      </w:pPr>
    </w:p>
    <w:p>
      <w:pPr>
        <w:ind w:right="40"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Income tax adjustments. </w:t>
      </w:r>
      <w:r>
        <w:rPr>
          <w:rFonts w:ascii="Times New Roman" w:cs="Times New Roman" w:eastAsia="Times New Roman" w:hAnsi="Times New Roman"/>
          <w:sz w:val="17"/>
          <w:szCs w:val="17"/>
          <w:color w:val="auto"/>
        </w:rPr>
        <w:t>The income tax effects that are excluded from the non-GAAP measures relate to the tax impact on the difference between GAAP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non-GAAP expenses, primarily due to stock-based compensation, amortization of purchased intangibles, and restructuring, other exit costs, and facility reductions for GAAP and non-GAAP measures. We remove GAAP discrete tax items, including changes in valuation allowance, from the non-GAAP measure of net income (loss). The non-GAAP tax provision is based on a projected long-term annual non-GAAP effective tax rate. Management believes the income tax adjustments assist investors in understanding the tax provision and the effective tax rate related to ongoing operations. We believe the exclusion of the discrete tax items provides investors with useful supplemental information about our operational performance.</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There are limitations in using non-GAAP financial measures because non-GAAP financial measures are not prepared in accordance with GAAP and may be different from non-GAAP financial measures used by other companies. The non-GAAP financial measures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Autodesk compensates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Autodesk urges investors to review the reconciliation of its non-GAAP financial measures to the comparable GAAP financial measures included in Exhibit 99.1 and not to rely on any single financial measure to evaluate its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7.01. Regulation FD Disclosures.</w:t>
      </w:r>
    </w:p>
    <w:p>
      <w:pPr>
        <w:spacing w:after="0" w:line="24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On November 25, 2025, Autodesk posted supplemental investor materials on its investors.autodesk.com website. Autodesk uses its investors.autodesk.com website as a means of disclosing material non-public information, announcing upcoming investor conferences and for complying with its disclosure obligations under Regulation FD. Accordingly, investors should monitor Autodesk’s investor relations website in addition to following Autodesk’s press releases, SEC filings and public conference calls and webcasts.</w:t>
      </w:r>
    </w:p>
    <w:p>
      <w:pPr>
        <w:spacing w:after="0" w:line="19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 Exhibits.</w:t>
      </w: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80"/>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560" w:type="dxa"/>
            <w:vAlign w:val="bottom"/>
          </w:tcPr>
          <w:p>
            <w:pPr>
              <w:spacing w:after="0"/>
              <w:rPr>
                <w:sz w:val="24"/>
                <w:szCs w:val="24"/>
                <w:color w:val="auto"/>
              </w:rPr>
            </w:pPr>
          </w:p>
        </w:tc>
        <w:tc>
          <w:tcPr>
            <w:tcW w:w="30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Press release dated as of November 25, 2025</w:t>
            </w:r>
          </w:p>
        </w:tc>
      </w:tr>
    </w:tbl>
    <w:p>
      <w:pPr>
        <w:spacing w:after="0" w:line="22" w:lineRule="exact"/>
        <w:rPr>
          <w:sz w:val="20"/>
          <w:szCs w:val="20"/>
          <w:color w:val="auto"/>
        </w:rPr>
      </w:pPr>
    </w:p>
    <w:p>
      <w:pPr>
        <w:ind w:left="1420" w:hanging="1400"/>
        <w:spacing w:after="0"/>
        <w:tabs>
          <w:tab w:leader="none" w:pos="14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12529"/>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610235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b w:val="1"/>
          <w:bCs w:val="1"/>
          <w:color w:val="auto"/>
        </w:rPr>
        <w:t>AUTODESK, INC.</w:t>
      </w:r>
    </w:p>
    <w:p>
      <w:pPr>
        <w:spacing w:after="0" w:line="247"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7"/>
          <w:szCs w:val="17"/>
          <w:color w:val="auto"/>
        </w:rPr>
        <w:t>/s/ JANESH MOORJANI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33807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80740" cy="8255"/>
                    </a:xfrm>
                    <a:prstGeom prst="rect">
                      <a:avLst/>
                    </a:prstGeom>
                    <a:noFill/>
                  </pic:spPr>
                </pic:pic>
              </a:graphicData>
            </a:graphic>
          </wp:anchor>
        </w:drawing>
      </w:r>
    </w:p>
    <w:p>
      <w:pPr>
        <w:spacing w:after="0" w:line="172"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5"/>
          <w:szCs w:val="15"/>
          <w:b w:val="1"/>
          <w:bCs w:val="1"/>
          <w:color w:val="auto"/>
        </w:rPr>
        <w:t>Janesh Moorjani</w:t>
      </w:r>
    </w:p>
    <w:p>
      <w:pPr>
        <w:spacing w:after="0" w:line="3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5"/>
          <w:szCs w:val="15"/>
          <w:b w:val="1"/>
          <w:bCs w:val="1"/>
          <w:color w:val="auto"/>
        </w:rPr>
        <w:t>Executive Vice President and Chief Financial Officer</w:t>
      </w:r>
    </w:p>
    <w:p>
      <w:pPr>
        <w:spacing w:after="0" w:line="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5"/>
          <w:szCs w:val="15"/>
          <w:b w:val="1"/>
          <w:bCs w:val="1"/>
          <w:color w:val="auto"/>
        </w:rPr>
        <w:t>(Principal Financial Officer and Principal Accounting Officer)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25, 2025</w:t>
      </w:r>
    </w:p>
    <w:p>
      <w:pPr>
        <w:sectPr>
          <w:pgSz w:w="11900" w:h="16838" w:orient="portrait"/>
          <w:cols w:equalWidth="0" w:num="1">
            <w:col w:w="11240"/>
          </w:cols>
          <w:pgMar w:left="320" w:top="1125" w:right="339"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color w:val="auto"/>
        </w:rPr>
        <w:t>AUTODESK, INC. ANNOUNCES FISCAL 2026 THIRD QUARTER RESULTS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Third quarter revenue grew 18 percent as reported, and on a constant currency basis, to $1.85 billion</w:t>
      </w:r>
    </w:p>
    <w:p>
      <w:pPr>
        <w:spacing w:after="0" w:line="200" w:lineRule="exact"/>
        <w:rPr>
          <w:sz w:val="20"/>
          <w:szCs w:val="20"/>
          <w:color w:val="auto"/>
        </w:rPr>
      </w:pPr>
    </w:p>
    <w:p>
      <w:pPr>
        <w:spacing w:after="0" w:line="254" w:lineRule="exact"/>
        <w:rPr>
          <w:sz w:val="20"/>
          <w:szCs w:val="20"/>
          <w:color w:val="auto"/>
        </w:rPr>
      </w:pPr>
    </w:p>
    <w:p>
      <w:pPr>
        <w:ind w:right="220"/>
        <w:spacing w:after="0" w:line="274" w:lineRule="auto"/>
        <w:rPr>
          <w:sz w:val="20"/>
          <w:szCs w:val="20"/>
          <w:color w:val="auto"/>
        </w:rPr>
      </w:pPr>
      <w:r>
        <w:rPr>
          <w:rFonts w:ascii="Arial" w:cs="Arial" w:eastAsia="Arial" w:hAnsi="Arial"/>
          <w:sz w:val="19"/>
          <w:szCs w:val="19"/>
          <w:b w:val="1"/>
          <w:bCs w:val="1"/>
          <w:color w:val="auto"/>
        </w:rPr>
        <w:t>SAN FRANCISCO, NOVEMBER 25, 2025</w:t>
      </w:r>
      <w:r>
        <w:rPr>
          <w:rFonts w:ascii="Arial" w:cs="Arial" w:eastAsia="Arial" w:hAnsi="Arial"/>
          <w:sz w:val="19"/>
          <w:szCs w:val="19"/>
          <w:color w:val="auto"/>
        </w:rPr>
        <w:t>-- Autodesk, Inc. (NASDAQ: ADSK) today reported financial results for the third quarter of</w:t>
      </w:r>
      <w:r>
        <w:rPr>
          <w:rFonts w:ascii="Arial" w:cs="Arial" w:eastAsia="Arial" w:hAnsi="Arial"/>
          <w:sz w:val="19"/>
          <w:szCs w:val="19"/>
          <w:b w:val="1"/>
          <w:bCs w:val="1"/>
          <w:color w:val="auto"/>
        </w:rPr>
        <w:t xml:space="preserve"> </w:t>
      </w:r>
      <w:r>
        <w:rPr>
          <w:rFonts w:ascii="Arial" w:cs="Arial" w:eastAsia="Arial" w:hAnsi="Arial"/>
          <w:sz w:val="19"/>
          <w:szCs w:val="19"/>
          <w:color w:val="auto"/>
        </w:rPr>
        <w:t>fiscal 2026, ended October 31, 2025.</w:t>
      </w:r>
    </w:p>
    <w:p>
      <w:pPr>
        <w:spacing w:after="0" w:line="184" w:lineRule="exact"/>
        <w:rPr>
          <w:sz w:val="20"/>
          <w:szCs w:val="20"/>
          <w:color w:val="auto"/>
        </w:rPr>
      </w:pPr>
    </w:p>
    <w:p>
      <w:pPr>
        <w:ind w:right="180"/>
        <w:spacing w:after="0" w:line="242" w:lineRule="auto"/>
        <w:rPr>
          <w:sz w:val="20"/>
          <w:szCs w:val="20"/>
          <w:color w:val="auto"/>
        </w:rPr>
      </w:pPr>
      <w:r>
        <w:rPr>
          <w:rFonts w:ascii="Arial" w:cs="Arial" w:eastAsia="Arial" w:hAnsi="Arial"/>
          <w:sz w:val="19"/>
          <w:szCs w:val="19"/>
          <w:color w:val="auto"/>
        </w:rPr>
        <w:t>“We're defining the AI revolution for design and make, empowering customers with new task, workflow and system automations, and capturing shared value through subscription, consumption, and outcomes-based business models that blend human and machine capabilities," said Andrew Anagnost, Autodesk president and CEO. "Autodesk is building the future and creating long-term value for our customers, the industries that shape the world, and shareholders.”</w:t>
      </w:r>
    </w:p>
    <w:p>
      <w:pPr>
        <w:spacing w:after="0" w:line="189" w:lineRule="exact"/>
        <w:rPr>
          <w:sz w:val="20"/>
          <w:szCs w:val="20"/>
          <w:color w:val="auto"/>
        </w:rPr>
      </w:pPr>
    </w:p>
    <w:p>
      <w:pPr>
        <w:ind w:right="40"/>
        <w:spacing w:after="0" w:line="247" w:lineRule="auto"/>
        <w:rPr>
          <w:sz w:val="20"/>
          <w:szCs w:val="20"/>
          <w:color w:val="auto"/>
        </w:rPr>
      </w:pPr>
      <w:r>
        <w:rPr>
          <w:rFonts w:ascii="Arial" w:cs="Arial" w:eastAsia="Arial" w:hAnsi="Arial"/>
          <w:sz w:val="19"/>
          <w:szCs w:val="19"/>
          <w:color w:val="auto"/>
        </w:rPr>
        <w:t>“We delivered another strong quarter, highlighted by outperformance in AECO. Up-front revenue, the Autodesk Store, and billings linearity all exceeded expectations,” said Janesh Moorjani, Autodesk CFO. “The macroeconomic environment has been broadly stable though uncertainty remains elevated, and we have so far successfully executed our sales and marketing optimization plan. We are raising our full-year guidance to reflect the current momentum of the business.”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Third Quarter Fiscal 2026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ind w:left="20"/>
              <w:spacing w:after="0"/>
              <w:rPr>
                <w:sz w:val="20"/>
                <w:szCs w:val="20"/>
                <w:color w:val="auto"/>
              </w:rPr>
            </w:pPr>
            <w:r>
              <w:rPr>
                <w:rFonts w:ascii="Arial" w:cs="Arial" w:eastAsia="Arial" w:hAnsi="Arial"/>
                <w:sz w:val="12"/>
                <w:szCs w:val="12"/>
                <w:i w:val="1"/>
                <w:iCs w:val="1"/>
                <w:color w:val="auto"/>
              </w:rPr>
              <w:t>(In millions, except percentages and per share amounts)</w:t>
            </w:r>
          </w:p>
        </w:tc>
        <w:tc>
          <w:tcPr>
            <w:tcW w:w="400" w:type="dxa"/>
            <w:vAlign w:val="bottom"/>
          </w:tcPr>
          <w:p>
            <w:pPr>
              <w:spacing w:after="0"/>
              <w:rPr>
                <w:sz w:val="16"/>
                <w:szCs w:val="16"/>
                <w:color w:val="auto"/>
              </w:rPr>
            </w:pPr>
          </w:p>
        </w:tc>
        <w:tc>
          <w:tcPr>
            <w:tcW w:w="1660" w:type="dxa"/>
            <w:vAlign w:val="bottom"/>
            <w:gridSpan w:val="2"/>
          </w:tcPr>
          <w:p>
            <w:pPr>
              <w:ind w:left="300"/>
              <w:spacing w:after="0"/>
              <w:rPr>
                <w:sz w:val="20"/>
                <w:szCs w:val="20"/>
                <w:color w:val="auto"/>
              </w:rPr>
            </w:pPr>
            <w:r>
              <w:rPr>
                <w:rFonts w:ascii="Arial" w:cs="Arial" w:eastAsia="Arial" w:hAnsi="Arial"/>
                <w:sz w:val="14"/>
                <w:szCs w:val="14"/>
                <w:b w:val="1"/>
                <w:bCs w:val="1"/>
                <w:color w:val="auto"/>
              </w:rPr>
              <w:t>Q3 FY26</w:t>
            </w:r>
          </w:p>
        </w:tc>
        <w:tc>
          <w:tcPr>
            <w:tcW w:w="260" w:type="dxa"/>
            <w:vAlign w:val="bottom"/>
          </w:tcPr>
          <w:p>
            <w:pPr>
              <w:spacing w:after="0"/>
              <w:rPr>
                <w:sz w:val="16"/>
                <w:szCs w:val="16"/>
                <w:color w:val="auto"/>
              </w:rPr>
            </w:pPr>
          </w:p>
        </w:tc>
        <w:tc>
          <w:tcPr>
            <w:tcW w:w="1380" w:type="dxa"/>
            <w:vAlign w:val="bottom"/>
          </w:tcPr>
          <w:p>
            <w:pPr>
              <w:jc w:val="right"/>
              <w:ind w:right="336"/>
              <w:spacing w:after="0"/>
              <w:rPr>
                <w:sz w:val="20"/>
                <w:szCs w:val="20"/>
                <w:color w:val="auto"/>
              </w:rPr>
            </w:pPr>
            <w:r>
              <w:rPr>
                <w:rFonts w:ascii="Arial" w:cs="Arial" w:eastAsia="Arial" w:hAnsi="Arial"/>
                <w:sz w:val="14"/>
                <w:szCs w:val="14"/>
                <w:b w:val="1"/>
                <w:bCs w:val="1"/>
                <w:color w:val="auto"/>
              </w:rPr>
              <w:t>YoY Change</w:t>
            </w:r>
          </w:p>
        </w:tc>
      </w:tr>
      <w:tr>
        <w:trPr>
          <w:trHeight w:val="213"/>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Billings</w:t>
            </w: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56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rPr>
              <w:t>1,855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21 %</w:t>
            </w:r>
          </w:p>
        </w:tc>
      </w:tr>
      <w:tr>
        <w:trPr>
          <w:trHeight w:val="219"/>
        </w:trPr>
        <w:tc>
          <w:tcPr>
            <w:tcW w:w="7540" w:type="dxa"/>
            <w:vAlign w:val="bottom"/>
          </w:tcPr>
          <w:p>
            <w:pPr>
              <w:ind w:left="20"/>
              <w:spacing w:after="0"/>
              <w:rPr>
                <w:sz w:val="20"/>
                <w:szCs w:val="20"/>
                <w:color w:val="auto"/>
              </w:rPr>
            </w:pPr>
            <w:r>
              <w:rPr>
                <w:rFonts w:ascii="Arial" w:cs="Arial" w:eastAsia="Arial" w:hAnsi="Arial"/>
                <w:sz w:val="17"/>
                <w:szCs w:val="17"/>
                <w:color w:val="auto"/>
              </w:rPr>
              <w:t>Revenue</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ind w:right="156"/>
              <w:spacing w:after="0"/>
              <w:rPr>
                <w:sz w:val="20"/>
                <w:szCs w:val="20"/>
                <w:color w:val="auto"/>
              </w:rPr>
            </w:pPr>
            <w:r>
              <w:rPr>
                <w:rFonts w:ascii="Arial" w:cs="Arial" w:eastAsia="Arial" w:hAnsi="Arial"/>
                <w:sz w:val="17"/>
                <w:szCs w:val="17"/>
                <w:color w:val="auto"/>
              </w:rPr>
              <w:t>1,853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18 %</w:t>
            </w: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Operating Margin</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ppt</w:t>
            </w:r>
          </w:p>
        </w:tc>
      </w:tr>
      <w:tr>
        <w:trPr>
          <w:trHeight w:val="219"/>
        </w:trPr>
        <w:tc>
          <w:tcPr>
            <w:tcW w:w="7540" w:type="dxa"/>
            <w:vAlign w:val="bottom"/>
          </w:tcPr>
          <w:p>
            <w:pPr>
              <w:ind w:left="20"/>
              <w:spacing w:after="0"/>
              <w:rPr>
                <w:sz w:val="20"/>
                <w:szCs w:val="20"/>
                <w:color w:val="auto"/>
              </w:rPr>
            </w:pPr>
            <w:r>
              <w:rPr>
                <w:rFonts w:ascii="Arial" w:cs="Arial" w:eastAsia="Arial" w:hAnsi="Arial"/>
                <w:sz w:val="17"/>
                <w:szCs w:val="17"/>
                <w:color w:val="auto"/>
              </w:rPr>
              <w:t>Non-GAAP Operating Margin</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38 %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 ppt</w:t>
            </w: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EPS</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0.33</w:t>
            </w:r>
          </w:p>
        </w:tc>
      </w:tr>
      <w:tr>
        <w:trPr>
          <w:trHeight w:val="219"/>
        </w:trPr>
        <w:tc>
          <w:tcPr>
            <w:tcW w:w="7540" w:type="dxa"/>
            <w:vAlign w:val="bottom"/>
          </w:tcPr>
          <w:p>
            <w:pPr>
              <w:ind w:left="20"/>
              <w:spacing w:after="0"/>
              <w:rPr>
                <w:sz w:val="20"/>
                <w:szCs w:val="20"/>
                <w:color w:val="auto"/>
              </w:rPr>
            </w:pPr>
            <w:r>
              <w:rPr>
                <w:rFonts w:ascii="Arial" w:cs="Arial" w:eastAsia="Arial" w:hAnsi="Arial"/>
                <w:sz w:val="17"/>
                <w:szCs w:val="17"/>
                <w:color w:val="auto"/>
              </w:rPr>
              <w:t>Non-GAAP EPS</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ind w:right="156"/>
              <w:spacing w:after="0"/>
              <w:rPr>
                <w:sz w:val="20"/>
                <w:szCs w:val="20"/>
                <w:color w:val="auto"/>
              </w:rPr>
            </w:pPr>
            <w:r>
              <w:rPr>
                <w:rFonts w:ascii="Arial" w:cs="Arial" w:eastAsia="Arial" w:hAnsi="Arial"/>
                <w:sz w:val="17"/>
                <w:szCs w:val="17"/>
                <w:color w:val="auto"/>
              </w:rPr>
              <w:t>2.67</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136"/>
              <w:spacing w:after="0"/>
              <w:rPr>
                <w:sz w:val="20"/>
                <w:szCs w:val="20"/>
                <w:color w:val="auto"/>
              </w:rPr>
            </w:pPr>
            <w:r>
              <w:rPr>
                <w:rFonts w:ascii="Arial" w:cs="Arial" w:eastAsia="Arial" w:hAnsi="Arial"/>
                <w:sz w:val="17"/>
                <w:szCs w:val="17"/>
                <w:color w:val="auto"/>
              </w:rPr>
              <w:t>0.50</w:t>
            </w:r>
          </w:p>
        </w:tc>
      </w:tr>
      <w:tr>
        <w:trPr>
          <w:trHeight w:val="219"/>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from operating activities</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rPr>
              <w:t>439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110 %</w:t>
            </w:r>
          </w:p>
        </w:tc>
      </w:tr>
      <w:tr>
        <w:trPr>
          <w:trHeight w:val="226"/>
        </w:trPr>
        <w:tc>
          <w:tcPr>
            <w:tcW w:w="7540" w:type="dxa"/>
            <w:vAlign w:val="bottom"/>
          </w:tcPr>
          <w:p>
            <w:pPr>
              <w:ind w:left="20"/>
              <w:spacing w:after="0"/>
              <w:rPr>
                <w:sz w:val="20"/>
                <w:szCs w:val="20"/>
                <w:color w:val="auto"/>
              </w:rPr>
            </w:pPr>
            <w:r>
              <w:rPr>
                <w:rFonts w:ascii="Arial" w:cs="Arial" w:eastAsia="Arial" w:hAnsi="Arial"/>
                <w:sz w:val="17"/>
                <w:szCs w:val="17"/>
                <w:color w:val="auto"/>
              </w:rPr>
              <w:t>Free cash flow</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ind w:right="156"/>
              <w:spacing w:after="0"/>
              <w:rPr>
                <w:sz w:val="20"/>
                <w:szCs w:val="20"/>
                <w:color w:val="auto"/>
              </w:rPr>
            </w:pPr>
            <w:r>
              <w:rPr>
                <w:rFonts w:ascii="Arial" w:cs="Arial" w:eastAsia="Arial" w:hAnsi="Arial"/>
                <w:sz w:val="17"/>
                <w:szCs w:val="17"/>
                <w:color w:val="auto"/>
              </w:rPr>
              <w:t>430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116 %</w:t>
            </w:r>
          </w:p>
        </w:tc>
      </w:tr>
    </w:tbl>
    <w:p>
      <w:pPr>
        <w:spacing w:after="0" w:line="36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Net Revenue by Product Type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YoY Change</w:t>
            </w:r>
          </w:p>
        </w:tc>
        <w:tc>
          <w:tcPr>
            <w:tcW w:w="120" w:type="dxa"/>
            <w:vAlign w:val="bottom"/>
            <w:vMerge w:val="restart"/>
          </w:tcPr>
          <w:p>
            <w:pPr>
              <w:spacing w:after="0"/>
              <w:rPr>
                <w:sz w:val="14"/>
                <w:szCs w:val="14"/>
                <w:color w:val="auto"/>
              </w:rPr>
            </w:pPr>
          </w:p>
        </w:tc>
        <w:tc>
          <w:tcPr>
            <w:tcW w:w="1960" w:type="dxa"/>
            <w:vAlign w:val="bottom"/>
          </w:tcPr>
          <w:p>
            <w:pPr>
              <w:jc w:val="right"/>
              <w:ind w:right="101"/>
              <w:spacing w:after="0"/>
              <w:rPr>
                <w:sz w:val="20"/>
                <w:szCs w:val="20"/>
                <w:color w:val="auto"/>
              </w:rPr>
            </w:pPr>
            <w:r>
              <w:rPr>
                <w:rFonts w:ascii="Arial" w:cs="Arial" w:eastAsia="Arial" w:hAnsi="Arial"/>
                <w:sz w:val="14"/>
                <w:szCs w:val="14"/>
                <w:b w:val="1"/>
                <w:bCs w:val="1"/>
                <w:color w:val="auto"/>
              </w:rPr>
              <w:t>YoY Change in Constant</w:t>
            </w:r>
          </w:p>
        </w:tc>
        <w:tc>
          <w:tcPr>
            <w:tcW w:w="0" w:type="dxa"/>
            <w:vAlign w:val="bottom"/>
          </w:tcPr>
          <w:p>
            <w:pPr>
              <w:spacing w:after="0"/>
              <w:rPr>
                <w:sz w:val="1"/>
                <w:szCs w:val="1"/>
                <w:color w:val="auto"/>
              </w:rPr>
            </w:pPr>
          </w:p>
        </w:tc>
      </w:tr>
      <w:tr>
        <w:trPr>
          <w:trHeight w:val="177"/>
        </w:trPr>
        <w:tc>
          <w:tcPr>
            <w:tcW w:w="5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9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85"/>
        </w:trPr>
        <w:tc>
          <w:tcPr>
            <w:tcW w:w="5360" w:type="dxa"/>
            <w:vAlign w:val="bottom"/>
          </w:tcPr>
          <w:p>
            <w:pPr>
              <w:ind w:left="20"/>
              <w:spacing w:after="0"/>
              <w:rPr>
                <w:sz w:val="20"/>
                <w:szCs w:val="20"/>
                <w:color w:val="auto"/>
              </w:rPr>
            </w:pPr>
            <w:r>
              <w:rPr>
                <w:rFonts w:ascii="Arial" w:cs="Arial" w:eastAsia="Arial" w:hAnsi="Arial"/>
                <w:sz w:val="12"/>
                <w:szCs w:val="12"/>
                <w:i w:val="1"/>
                <w:iCs w:val="1"/>
                <w:color w:val="auto"/>
              </w:rPr>
              <w:t>(In millions, except percentages)</w:t>
            </w:r>
          </w:p>
        </w:tc>
        <w:tc>
          <w:tcPr>
            <w:tcW w:w="400" w:type="dxa"/>
            <w:vAlign w:val="bottom"/>
          </w:tcPr>
          <w:p>
            <w:pPr>
              <w:spacing w:after="0"/>
              <w:rPr>
                <w:sz w:val="16"/>
                <w:szCs w:val="16"/>
                <w:color w:val="auto"/>
              </w:rPr>
            </w:pPr>
          </w:p>
        </w:tc>
        <w:tc>
          <w:tcPr>
            <w:tcW w:w="1500" w:type="dxa"/>
            <w:vAlign w:val="bottom"/>
          </w:tcPr>
          <w:p>
            <w:pPr>
              <w:jc w:val="right"/>
              <w:ind w:right="598"/>
              <w:spacing w:after="0"/>
              <w:rPr>
                <w:sz w:val="20"/>
                <w:szCs w:val="20"/>
                <w:color w:val="auto"/>
              </w:rPr>
            </w:pPr>
            <w:r>
              <w:rPr>
                <w:rFonts w:ascii="Arial" w:cs="Arial" w:eastAsia="Arial" w:hAnsi="Arial"/>
                <w:sz w:val="14"/>
                <w:szCs w:val="14"/>
                <w:b w:val="1"/>
                <w:bCs w:val="1"/>
                <w:color w:val="auto"/>
              </w:rPr>
              <w:t>Q3 FY26</w:t>
            </w:r>
          </w:p>
        </w:tc>
        <w:tc>
          <w:tcPr>
            <w:tcW w:w="1900" w:type="dxa"/>
            <w:vAlign w:val="bottom"/>
            <w:gridSpan w:val="2"/>
          </w:tcPr>
          <w:p>
            <w:pPr>
              <w:jc w:val="right"/>
              <w:ind w:right="84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960" w:type="dxa"/>
            <w:vAlign w:val="bottom"/>
          </w:tcPr>
          <w:p>
            <w:pPr>
              <w:jc w:val="right"/>
              <w:ind w:right="92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Design</w:t>
            </w:r>
          </w:p>
        </w:tc>
        <w:tc>
          <w:tcPr>
            <w:tcW w:w="40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1,537</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19 %</w:t>
            </w:r>
          </w:p>
        </w:tc>
        <w:tc>
          <w:tcPr>
            <w:tcW w:w="1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19"/>
        </w:trPr>
        <w:tc>
          <w:tcPr>
            <w:tcW w:w="5360" w:type="dxa"/>
            <w:vAlign w:val="bottom"/>
          </w:tcPr>
          <w:p>
            <w:pPr>
              <w:ind w:left="20"/>
              <w:spacing w:after="0"/>
              <w:rPr>
                <w:sz w:val="20"/>
                <w:szCs w:val="20"/>
                <w:color w:val="auto"/>
              </w:rPr>
            </w:pPr>
            <w:r>
              <w:rPr>
                <w:rFonts w:ascii="Arial" w:cs="Arial" w:eastAsia="Arial" w:hAnsi="Arial"/>
                <w:sz w:val="17"/>
                <w:szCs w:val="17"/>
                <w:color w:val="auto"/>
              </w:rPr>
              <w:t>Make</w:t>
            </w: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205</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20 %</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20 %</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7 %</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rPr>
                <w:sz w:val="20"/>
                <w:szCs w:val="20"/>
                <w:color w:val="auto"/>
              </w:rPr>
            </w:pPr>
            <w:r>
              <w:rPr>
                <w:rFonts w:ascii="Arial" w:cs="Arial" w:eastAsia="Arial" w:hAnsi="Arial"/>
                <w:sz w:val="17"/>
                <w:szCs w:val="17"/>
                <w:color w:val="auto"/>
              </w:rPr>
              <w:t>Total Net Revenue</w:t>
            </w: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1,853</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18 %</w:t>
            </w: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18 %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Net Revenue by Geographic Area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vMerge w:val="restart"/>
          </w:tcPr>
          <w:p>
            <w:pPr>
              <w:jc w:val="right"/>
              <w:ind w:right="403"/>
              <w:spacing w:after="0"/>
              <w:rPr>
                <w:sz w:val="20"/>
                <w:szCs w:val="20"/>
                <w:color w:val="auto"/>
              </w:rPr>
            </w:pPr>
            <w:r>
              <w:rPr>
                <w:rFonts w:ascii="Arial" w:cs="Arial" w:eastAsia="Arial" w:hAnsi="Arial"/>
                <w:sz w:val="14"/>
                <w:szCs w:val="14"/>
                <w:b w:val="1"/>
                <w:bCs w:val="1"/>
                <w:color w:val="auto"/>
              </w:rPr>
              <w:t>YoY Change</w:t>
            </w:r>
          </w:p>
        </w:tc>
        <w:tc>
          <w:tcPr>
            <w:tcW w:w="100" w:type="dxa"/>
            <w:vAlign w:val="bottom"/>
            <w:vMerge w:val="restart"/>
          </w:tcPr>
          <w:p>
            <w:pPr>
              <w:spacing w:after="0"/>
              <w:rPr>
                <w:sz w:val="14"/>
                <w:szCs w:val="14"/>
                <w:color w:val="auto"/>
              </w:rPr>
            </w:pPr>
          </w:p>
        </w:tc>
        <w:tc>
          <w:tcPr>
            <w:tcW w:w="2000" w:type="dxa"/>
            <w:vAlign w:val="bottom"/>
          </w:tcPr>
          <w:p>
            <w:pPr>
              <w:jc w:val="right"/>
              <w:ind w:right="121"/>
              <w:spacing w:after="0"/>
              <w:rPr>
                <w:sz w:val="20"/>
                <w:szCs w:val="20"/>
                <w:color w:val="auto"/>
              </w:rPr>
            </w:pPr>
            <w:r>
              <w:rPr>
                <w:rFonts w:ascii="Arial" w:cs="Arial" w:eastAsia="Arial" w:hAnsi="Arial"/>
                <w:sz w:val="14"/>
                <w:szCs w:val="14"/>
                <w:b w:val="1"/>
                <w:bCs w:val="1"/>
                <w:color w:val="auto"/>
              </w:rPr>
              <w:t>YoY Change in Constant</w:t>
            </w:r>
          </w:p>
        </w:tc>
        <w:tc>
          <w:tcPr>
            <w:tcW w:w="0" w:type="dxa"/>
            <w:vAlign w:val="bottom"/>
          </w:tcPr>
          <w:p>
            <w:pPr>
              <w:spacing w:after="0"/>
              <w:rPr>
                <w:sz w:val="1"/>
                <w:szCs w:val="1"/>
                <w:color w:val="auto"/>
              </w:rPr>
            </w:pPr>
          </w:p>
        </w:tc>
      </w:tr>
      <w:tr>
        <w:trPr>
          <w:trHeight w:val="177"/>
        </w:trPr>
        <w:tc>
          <w:tcPr>
            <w:tcW w:w="5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85"/>
        </w:trPr>
        <w:tc>
          <w:tcPr>
            <w:tcW w:w="5460" w:type="dxa"/>
            <w:vAlign w:val="bottom"/>
          </w:tcPr>
          <w:p>
            <w:pPr>
              <w:ind w:left="20"/>
              <w:spacing w:after="0"/>
              <w:rPr>
                <w:sz w:val="20"/>
                <w:szCs w:val="20"/>
                <w:color w:val="auto"/>
              </w:rPr>
            </w:pPr>
            <w:r>
              <w:rPr>
                <w:rFonts w:ascii="Arial" w:cs="Arial" w:eastAsia="Arial" w:hAnsi="Arial"/>
                <w:sz w:val="12"/>
                <w:szCs w:val="12"/>
                <w:i w:val="1"/>
                <w:iCs w:val="1"/>
                <w:color w:val="auto"/>
              </w:rPr>
              <w:t>(In millions, except percentages)</w:t>
            </w:r>
          </w:p>
        </w:tc>
        <w:tc>
          <w:tcPr>
            <w:tcW w:w="120" w:type="dxa"/>
            <w:vAlign w:val="bottom"/>
          </w:tcPr>
          <w:p>
            <w:pPr>
              <w:spacing w:after="0"/>
              <w:rPr>
                <w:sz w:val="16"/>
                <w:szCs w:val="16"/>
                <w:color w:val="auto"/>
              </w:rPr>
            </w:pPr>
          </w:p>
        </w:tc>
        <w:tc>
          <w:tcPr>
            <w:tcW w:w="1700" w:type="dxa"/>
            <w:vAlign w:val="bottom"/>
          </w:tcPr>
          <w:p>
            <w:pPr>
              <w:jc w:val="right"/>
              <w:ind w:right="557"/>
              <w:spacing w:after="0"/>
              <w:rPr>
                <w:sz w:val="20"/>
                <w:szCs w:val="20"/>
                <w:color w:val="auto"/>
              </w:rPr>
            </w:pPr>
            <w:r>
              <w:rPr>
                <w:rFonts w:ascii="Arial" w:cs="Arial" w:eastAsia="Arial" w:hAnsi="Arial"/>
                <w:sz w:val="14"/>
                <w:szCs w:val="14"/>
                <w:b w:val="1"/>
                <w:bCs w:val="1"/>
                <w:color w:val="auto"/>
              </w:rPr>
              <w:t>Q3 FY26</w:t>
            </w:r>
          </w:p>
        </w:tc>
        <w:tc>
          <w:tcPr>
            <w:tcW w:w="1860" w:type="dxa"/>
            <w:vAlign w:val="bottom"/>
            <w:gridSpan w:val="2"/>
          </w:tcPr>
          <w:p>
            <w:pPr>
              <w:jc w:val="right"/>
              <w:ind w:right="8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0" w:type="dxa"/>
            <w:vAlign w:val="bottom"/>
          </w:tcPr>
          <w:p>
            <w:pPr>
              <w:jc w:val="right"/>
              <w:ind w:right="94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Arial" w:cs="Arial" w:eastAsia="Arial" w:hAnsi="Arial"/>
                <w:sz w:val="17"/>
                <w:szCs w:val="17"/>
                <w:color w:val="auto"/>
              </w:rPr>
              <w:t>EMEA</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715</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23 %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APAC</w:t>
            </w:r>
          </w:p>
        </w:tc>
        <w:tc>
          <w:tcPr>
            <w:tcW w:w="1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0" w:type="dxa"/>
            <w:vAlign w:val="bottom"/>
          </w:tcPr>
          <w:p>
            <w:pPr>
              <w:spacing w:after="0"/>
              <w:rPr>
                <w:sz w:val="1"/>
                <w:szCs w:val="1"/>
                <w:color w:val="auto"/>
              </w:rPr>
            </w:pPr>
          </w:p>
        </w:tc>
      </w:tr>
      <w:tr>
        <w:trPr>
          <w:trHeight w:val="212"/>
        </w:trPr>
        <w:tc>
          <w:tcPr>
            <w:tcW w:w="5460" w:type="dxa"/>
            <w:vAlign w:val="bottom"/>
          </w:tcPr>
          <w:p>
            <w:pPr>
              <w:ind w:left="20"/>
              <w:spacing w:after="0"/>
              <w:rPr>
                <w:sz w:val="20"/>
                <w:szCs w:val="20"/>
                <w:color w:val="auto"/>
              </w:rPr>
            </w:pPr>
            <w:r>
              <w:rPr>
                <w:rFonts w:ascii="Arial" w:cs="Arial" w:eastAsia="Arial" w:hAnsi="Arial"/>
                <w:sz w:val="17"/>
                <w:szCs w:val="17"/>
                <w:color w:val="auto"/>
              </w:rPr>
              <w:t>Total Net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1,853</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18 %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ind w:right="1517"/>
              <w:spacing w:after="0"/>
              <w:rPr>
                <w:sz w:val="20"/>
                <w:szCs w:val="20"/>
                <w:color w:val="auto"/>
              </w:rPr>
            </w:pPr>
            <w:r>
              <w:rPr>
                <w:rFonts w:ascii="Arial" w:cs="Arial" w:eastAsia="Arial" w:hAnsi="Arial"/>
                <w:sz w:val="17"/>
                <w:szCs w:val="17"/>
                <w:color w:val="auto"/>
                <w:w w:val="84"/>
              </w:rPr>
              <w:t>1</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2" w:right="339" w:bottom="1440" w:gutter="0" w:footer="0" w:header="0"/>
        </w:sectPr>
      </w:pPr>
    </w:p>
    <w:bookmarkStart w:id="6" w:name="page7"/>
    <w:bookmarkEnd w:id="6"/>
    <w:p>
      <w:pPr>
        <w:spacing w:after="0"/>
        <w:rPr>
          <w:sz w:val="20"/>
          <w:szCs w:val="20"/>
          <w:color w:val="auto"/>
        </w:rPr>
      </w:pPr>
      <w:r>
        <w:rPr>
          <w:rFonts w:ascii="Arial" w:cs="Arial" w:eastAsia="Arial" w:hAnsi="Arial"/>
          <w:sz w:val="19"/>
          <w:szCs w:val="19"/>
          <w:i w:val="1"/>
          <w:iCs w:val="1"/>
          <w:color w:val="auto"/>
        </w:rPr>
        <w:t>Net Revenue by Product Family</w:t>
      </w:r>
    </w:p>
    <w:p>
      <w:pPr>
        <w:spacing w:after="0" w:line="244"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color w:val="auto"/>
        </w:rPr>
        <w:t>Our product offerings are focused in four primary product families: Architecture, Engineering, Construction, and Operations ("AECO"), AutoCAD and AutoCAD LT, Manufacturing ("MFG"), and Media and Entertainment ("M&amp;E").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vMerge w:val="restart"/>
          </w:tcPr>
          <w:p>
            <w:pPr>
              <w:jc w:val="right"/>
              <w:ind w:right="403"/>
              <w:spacing w:after="0"/>
              <w:rPr>
                <w:sz w:val="20"/>
                <w:szCs w:val="20"/>
                <w:color w:val="auto"/>
              </w:rPr>
            </w:pPr>
            <w:r>
              <w:rPr>
                <w:rFonts w:ascii="Arial" w:cs="Arial" w:eastAsia="Arial" w:hAnsi="Arial"/>
                <w:sz w:val="14"/>
                <w:szCs w:val="14"/>
                <w:b w:val="1"/>
                <w:bCs w:val="1"/>
                <w:color w:val="auto"/>
              </w:rPr>
              <w:t>YoY Change</w:t>
            </w:r>
          </w:p>
        </w:tc>
        <w:tc>
          <w:tcPr>
            <w:tcW w:w="100" w:type="dxa"/>
            <w:vAlign w:val="bottom"/>
            <w:vMerge w:val="restart"/>
          </w:tcPr>
          <w:p>
            <w:pPr>
              <w:spacing w:after="0"/>
              <w:rPr>
                <w:sz w:val="14"/>
                <w:szCs w:val="14"/>
                <w:color w:val="auto"/>
              </w:rPr>
            </w:pPr>
          </w:p>
        </w:tc>
        <w:tc>
          <w:tcPr>
            <w:tcW w:w="2000" w:type="dxa"/>
            <w:vAlign w:val="bottom"/>
          </w:tcPr>
          <w:p>
            <w:pPr>
              <w:jc w:val="right"/>
              <w:ind w:right="120"/>
              <w:spacing w:after="0"/>
              <w:rPr>
                <w:sz w:val="20"/>
                <w:szCs w:val="20"/>
                <w:color w:val="auto"/>
              </w:rPr>
            </w:pPr>
            <w:r>
              <w:rPr>
                <w:rFonts w:ascii="Arial" w:cs="Arial" w:eastAsia="Arial" w:hAnsi="Arial"/>
                <w:sz w:val="14"/>
                <w:szCs w:val="14"/>
                <w:b w:val="1"/>
                <w:bCs w:val="1"/>
                <w:color w:val="auto"/>
              </w:rPr>
              <w:t>YoY Change in Constant</w:t>
            </w:r>
          </w:p>
        </w:tc>
        <w:tc>
          <w:tcPr>
            <w:tcW w:w="0" w:type="dxa"/>
            <w:vAlign w:val="bottom"/>
          </w:tcPr>
          <w:p>
            <w:pPr>
              <w:spacing w:after="0"/>
              <w:rPr>
                <w:sz w:val="1"/>
                <w:szCs w:val="1"/>
                <w:color w:val="auto"/>
              </w:rPr>
            </w:pPr>
          </w:p>
        </w:tc>
      </w:tr>
      <w:tr>
        <w:trPr>
          <w:trHeight w:val="180"/>
        </w:trPr>
        <w:tc>
          <w:tcPr>
            <w:tcW w:w="5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185"/>
        </w:trPr>
        <w:tc>
          <w:tcPr>
            <w:tcW w:w="5460" w:type="dxa"/>
            <w:vAlign w:val="bottom"/>
          </w:tcPr>
          <w:p>
            <w:pPr>
              <w:ind w:left="20"/>
              <w:spacing w:after="0"/>
              <w:rPr>
                <w:sz w:val="20"/>
                <w:szCs w:val="20"/>
                <w:color w:val="auto"/>
              </w:rPr>
            </w:pPr>
            <w:r>
              <w:rPr>
                <w:rFonts w:ascii="Arial" w:cs="Arial" w:eastAsia="Arial" w:hAnsi="Arial"/>
                <w:sz w:val="12"/>
                <w:szCs w:val="12"/>
                <w:i w:val="1"/>
                <w:iCs w:val="1"/>
                <w:color w:val="auto"/>
              </w:rPr>
              <w:t>(In millions, except percentages)</w:t>
            </w:r>
          </w:p>
        </w:tc>
        <w:tc>
          <w:tcPr>
            <w:tcW w:w="360" w:type="dxa"/>
            <w:vAlign w:val="bottom"/>
          </w:tcPr>
          <w:p>
            <w:pPr>
              <w:spacing w:after="0"/>
              <w:rPr>
                <w:sz w:val="16"/>
                <w:szCs w:val="16"/>
                <w:color w:val="auto"/>
              </w:rPr>
            </w:pPr>
          </w:p>
        </w:tc>
        <w:tc>
          <w:tcPr>
            <w:tcW w:w="1460" w:type="dxa"/>
            <w:vAlign w:val="bottom"/>
          </w:tcPr>
          <w:p>
            <w:pPr>
              <w:jc w:val="right"/>
              <w:ind w:right="557"/>
              <w:spacing w:after="0"/>
              <w:rPr>
                <w:sz w:val="20"/>
                <w:szCs w:val="20"/>
                <w:color w:val="auto"/>
              </w:rPr>
            </w:pPr>
            <w:r>
              <w:rPr>
                <w:rFonts w:ascii="Arial" w:cs="Arial" w:eastAsia="Arial" w:hAnsi="Arial"/>
                <w:sz w:val="14"/>
                <w:szCs w:val="14"/>
                <w:b w:val="1"/>
                <w:bCs w:val="1"/>
                <w:color w:val="auto"/>
              </w:rPr>
              <w:t>Q3 FY26</w:t>
            </w:r>
          </w:p>
        </w:tc>
        <w:tc>
          <w:tcPr>
            <w:tcW w:w="1860" w:type="dxa"/>
            <w:vAlign w:val="bottom"/>
            <w:gridSpan w:val="2"/>
          </w:tcPr>
          <w:p>
            <w:pPr>
              <w:jc w:val="right"/>
              <w:ind w:right="82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0" w:type="dxa"/>
            <w:vAlign w:val="bottom"/>
          </w:tcPr>
          <w:p>
            <w:pPr>
              <w:jc w:val="right"/>
              <w:ind w:right="9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AECO</w:t>
            </w:r>
          </w:p>
        </w:tc>
        <w:tc>
          <w:tcPr>
            <w:tcW w:w="360" w:type="dxa"/>
            <w:vAlign w:val="bottom"/>
            <w:tcBorders>
              <w:top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921</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1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Arial" w:cs="Arial" w:eastAsia="Arial" w:hAnsi="Arial"/>
                <w:sz w:val="17"/>
                <w:szCs w:val="17"/>
                <w:color w:val="auto"/>
              </w:rPr>
              <w:t>AutoCAD and AutoCAD LT</w:t>
            </w: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458</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15 %</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MFG</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Arial" w:cs="Arial" w:eastAsia="Arial" w:hAnsi="Arial"/>
                <w:sz w:val="17"/>
                <w:szCs w:val="17"/>
                <w:color w:val="auto"/>
              </w:rPr>
              <w:t>M&amp;E</w:t>
            </w: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86</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4 %</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3 %</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0" w:type="dxa"/>
            <w:vAlign w:val="bottom"/>
          </w:tcPr>
          <w:p>
            <w:pPr>
              <w:spacing w:after="0"/>
              <w:rPr>
                <w:sz w:val="1"/>
                <w:szCs w:val="1"/>
                <w:color w:val="auto"/>
              </w:rPr>
            </w:pPr>
          </w:p>
        </w:tc>
      </w:tr>
      <w:tr>
        <w:trPr>
          <w:trHeight w:val="212"/>
        </w:trPr>
        <w:tc>
          <w:tcPr>
            <w:tcW w:w="5460" w:type="dxa"/>
            <w:vAlign w:val="bottom"/>
          </w:tcPr>
          <w:p>
            <w:pPr>
              <w:ind w:left="20"/>
              <w:spacing w:after="0"/>
              <w:rPr>
                <w:sz w:val="20"/>
                <w:szCs w:val="20"/>
                <w:color w:val="auto"/>
              </w:rPr>
            </w:pPr>
            <w:r>
              <w:rPr>
                <w:rFonts w:ascii="Arial" w:cs="Arial" w:eastAsia="Arial" w:hAnsi="Arial"/>
                <w:sz w:val="17"/>
                <w:szCs w:val="17"/>
                <w:color w:val="auto"/>
              </w:rPr>
              <w:t>Total Net Revenue</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1,853</w:t>
            </w:r>
          </w:p>
        </w:tc>
        <w:tc>
          <w:tcPr>
            <w:tcW w:w="1860" w:type="dxa"/>
            <w:vAlign w:val="bottom"/>
            <w:gridSpan w:val="2"/>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18 %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Remaining Performance Obligations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millions, except percentages)</w:t>
            </w: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Q3 FY26</w:t>
            </w:r>
          </w:p>
        </w:tc>
        <w:tc>
          <w:tcPr>
            <w:tcW w:w="15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YoY Change</w:t>
            </w: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3,846</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r>
      <w:tr>
        <w:trPr>
          <w:trHeight w:val="219"/>
        </w:trPr>
        <w:tc>
          <w:tcPr>
            <w:tcW w:w="7860" w:type="dxa"/>
            <w:vAlign w:val="bottom"/>
          </w:tcPr>
          <w:p>
            <w:pPr>
              <w:ind w:left="20"/>
              <w:spacing w:after="0"/>
              <w:rPr>
                <w:sz w:val="20"/>
                <w:szCs w:val="20"/>
                <w:color w:val="auto"/>
              </w:rPr>
            </w:pPr>
            <w:r>
              <w:rPr>
                <w:rFonts w:ascii="Arial" w:cs="Arial" w:eastAsia="Arial" w:hAnsi="Arial"/>
                <w:sz w:val="17"/>
                <w:szCs w:val="17"/>
                <w:color w:val="auto"/>
              </w:rPr>
              <w:t>Unbilled deferred revenue</w:t>
            </w:r>
          </w:p>
        </w:tc>
        <w:tc>
          <w:tcPr>
            <w:tcW w:w="320" w:type="dxa"/>
            <w:vAlign w:val="bottom"/>
          </w:tcPr>
          <w:p>
            <w:pPr>
              <w:spacing w:after="0"/>
              <w:rPr>
                <w:sz w:val="19"/>
                <w:szCs w:val="19"/>
                <w:color w:val="auto"/>
              </w:rPr>
            </w:pPr>
          </w:p>
        </w:tc>
        <w:tc>
          <w:tcPr>
            <w:tcW w:w="1540" w:type="dxa"/>
            <w:vAlign w:val="bottom"/>
          </w:tcPr>
          <w:p>
            <w:pPr>
              <w:jc w:val="right"/>
              <w:ind w:right="198"/>
              <w:spacing w:after="0"/>
              <w:rPr>
                <w:sz w:val="20"/>
                <w:szCs w:val="20"/>
                <w:color w:val="auto"/>
              </w:rPr>
            </w:pPr>
            <w:r>
              <w:rPr>
                <w:rFonts w:ascii="Arial" w:cs="Arial" w:eastAsia="Arial" w:hAnsi="Arial"/>
                <w:sz w:val="17"/>
                <w:szCs w:val="17"/>
                <w:color w:val="auto"/>
              </w:rPr>
              <w:t>3,515</w:t>
            </w:r>
          </w:p>
        </w:tc>
        <w:tc>
          <w:tcPr>
            <w:tcW w:w="1520" w:type="dxa"/>
            <w:vAlign w:val="bottom"/>
          </w:tcPr>
          <w:p>
            <w:pPr>
              <w:jc w:val="right"/>
              <w:spacing w:after="0"/>
              <w:rPr>
                <w:sz w:val="20"/>
                <w:szCs w:val="20"/>
                <w:color w:val="auto"/>
              </w:rPr>
            </w:pPr>
            <w:r>
              <w:rPr>
                <w:rFonts w:ascii="Arial" w:cs="Arial" w:eastAsia="Arial" w:hAnsi="Arial"/>
                <w:sz w:val="17"/>
                <w:szCs w:val="17"/>
                <w:color w:val="auto"/>
              </w:rPr>
              <w:t>43 %</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performance obligations (“RPO”)</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8"/>
              <w:spacing w:after="0"/>
              <w:rPr>
                <w:sz w:val="20"/>
                <w:szCs w:val="20"/>
                <w:color w:val="auto"/>
              </w:rPr>
            </w:pPr>
            <w:r>
              <w:rPr>
                <w:rFonts w:ascii="Arial" w:cs="Arial" w:eastAsia="Arial" w:hAnsi="Arial"/>
                <w:sz w:val="17"/>
                <w:szCs w:val="17"/>
                <w:color w:val="auto"/>
              </w:rPr>
              <w:t>7,361</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w:t>
            </w:r>
          </w:p>
        </w:tc>
      </w:tr>
      <w:tr>
        <w:trPr>
          <w:trHeight w:val="226"/>
        </w:trPr>
        <w:tc>
          <w:tcPr>
            <w:tcW w:w="7860" w:type="dxa"/>
            <w:vAlign w:val="bottom"/>
          </w:tcPr>
          <w:p>
            <w:pPr>
              <w:ind w:left="20"/>
              <w:spacing w:after="0"/>
              <w:rPr>
                <w:sz w:val="20"/>
                <w:szCs w:val="20"/>
                <w:color w:val="auto"/>
              </w:rPr>
            </w:pPr>
            <w:r>
              <w:rPr>
                <w:rFonts w:ascii="Arial" w:cs="Arial" w:eastAsia="Arial" w:hAnsi="Arial"/>
                <w:sz w:val="17"/>
                <w:szCs w:val="17"/>
                <w:color w:val="auto"/>
              </w:rPr>
              <w:t>Current RPO</w:t>
            </w:r>
          </w:p>
        </w:tc>
        <w:tc>
          <w:tcPr>
            <w:tcW w:w="320" w:type="dxa"/>
            <w:vAlign w:val="bottom"/>
          </w:tcPr>
          <w:p>
            <w:pPr>
              <w:spacing w:after="0"/>
              <w:rPr>
                <w:sz w:val="19"/>
                <w:szCs w:val="19"/>
                <w:color w:val="auto"/>
              </w:rPr>
            </w:pPr>
          </w:p>
        </w:tc>
        <w:tc>
          <w:tcPr>
            <w:tcW w:w="1540" w:type="dxa"/>
            <w:vAlign w:val="bottom"/>
          </w:tcPr>
          <w:p>
            <w:pPr>
              <w:jc w:val="right"/>
              <w:ind w:right="198"/>
              <w:spacing w:after="0"/>
              <w:rPr>
                <w:sz w:val="20"/>
                <w:szCs w:val="20"/>
                <w:color w:val="auto"/>
              </w:rPr>
            </w:pPr>
            <w:r>
              <w:rPr>
                <w:rFonts w:ascii="Arial" w:cs="Arial" w:eastAsia="Arial" w:hAnsi="Arial"/>
                <w:sz w:val="17"/>
                <w:szCs w:val="17"/>
                <w:color w:val="auto"/>
              </w:rPr>
              <w:t>4,830</w:t>
            </w:r>
          </w:p>
        </w:tc>
        <w:tc>
          <w:tcPr>
            <w:tcW w:w="1520" w:type="dxa"/>
            <w:vAlign w:val="bottom"/>
          </w:tcPr>
          <w:p>
            <w:pPr>
              <w:jc w:val="right"/>
              <w:spacing w:after="0"/>
              <w:rPr>
                <w:sz w:val="20"/>
                <w:szCs w:val="20"/>
                <w:color w:val="auto"/>
              </w:rPr>
            </w:pPr>
            <w:r>
              <w:rPr>
                <w:rFonts w:ascii="Arial" w:cs="Arial" w:eastAsia="Arial" w:hAnsi="Arial"/>
                <w:sz w:val="17"/>
                <w:szCs w:val="17"/>
                <w:color w:val="auto"/>
              </w:rPr>
              <w:t>20 %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126" w:right="33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t>Business Outlook</w:t>
      </w:r>
    </w:p>
    <w:p>
      <w:pPr>
        <w:spacing w:after="0" w:line="220"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The following are forward-looking statements based on current expectations and assumptions, and involve risks and uncertainties, some of which are set forth below under "Safe Harbor Statement." Autodesk's business outlook for the fourth quarter and full-year fiscal 2026 considers the current economic environment and foreign exchange currency rate environment. A reconciliation between the fourth quarter and full-year fiscal 2026 GAAP and non-GAAP estimates is provided below or in the tables later in this document.</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Fourth Quarter Fiscal 2026</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vMerge w:val="restart"/>
          </w:tcPr>
          <w:p>
            <w:pPr>
              <w:ind w:left="3200"/>
              <w:spacing w:after="0"/>
              <w:rPr>
                <w:sz w:val="20"/>
                <w:szCs w:val="20"/>
                <w:color w:val="auto"/>
              </w:rPr>
            </w:pPr>
            <w:r>
              <w:rPr>
                <w:rFonts w:ascii="Arial" w:cs="Arial" w:eastAsia="Arial" w:hAnsi="Arial"/>
                <w:sz w:val="14"/>
                <w:szCs w:val="14"/>
                <w:b w:val="1"/>
                <w:bCs w:val="1"/>
                <w:color w:val="auto"/>
              </w:rPr>
              <w:t>Q4 FY26 Guidance Metrics</w:t>
            </w:r>
          </w:p>
        </w:tc>
        <w:tc>
          <w:tcPr>
            <w:tcW w:w="4360" w:type="dxa"/>
            <w:vAlign w:val="bottom"/>
            <w:gridSpan w:val="2"/>
          </w:tcPr>
          <w:p>
            <w:pPr>
              <w:jc w:val="center"/>
              <w:ind w:left="1161"/>
              <w:spacing w:after="0"/>
              <w:rPr>
                <w:sz w:val="20"/>
                <w:szCs w:val="20"/>
                <w:color w:val="auto"/>
              </w:rPr>
            </w:pPr>
            <w:r>
              <w:rPr>
                <w:rFonts w:ascii="Arial" w:cs="Arial" w:eastAsia="Arial" w:hAnsi="Arial"/>
                <w:sz w:val="14"/>
                <w:szCs w:val="14"/>
                <w:b w:val="1"/>
                <w:bCs w:val="1"/>
                <w:color w:val="auto"/>
                <w:w w:val="99"/>
              </w:rPr>
              <w:t>Q4 FY26</w:t>
            </w:r>
          </w:p>
        </w:tc>
        <w:tc>
          <w:tcPr>
            <w:tcW w:w="0" w:type="dxa"/>
            <w:vAlign w:val="bottom"/>
          </w:tcPr>
          <w:p>
            <w:pPr>
              <w:spacing w:after="0"/>
              <w:rPr>
                <w:sz w:val="1"/>
                <w:szCs w:val="1"/>
                <w:color w:val="auto"/>
              </w:rPr>
            </w:pPr>
          </w:p>
        </w:tc>
      </w:tr>
      <w:tr>
        <w:trPr>
          <w:trHeight w:val="180"/>
        </w:trPr>
        <w:tc>
          <w:tcPr>
            <w:tcW w:w="6880" w:type="dxa"/>
            <w:vAlign w:val="bottom"/>
            <w:tcBorders>
              <w:bottom w:val="single" w:sz="8" w:color="auto"/>
            </w:tcBorders>
            <w:vMerge w:val="continue"/>
          </w:tcPr>
          <w:p>
            <w:pPr>
              <w:spacing w:after="0"/>
              <w:rPr>
                <w:sz w:val="15"/>
                <w:szCs w:val="15"/>
                <w:color w:val="auto"/>
              </w:rPr>
            </w:pPr>
          </w:p>
        </w:tc>
        <w:tc>
          <w:tcPr>
            <w:tcW w:w="4360" w:type="dxa"/>
            <w:vAlign w:val="bottom"/>
            <w:tcBorders>
              <w:bottom w:val="single" w:sz="8" w:color="auto"/>
            </w:tcBorders>
            <w:gridSpan w:val="2"/>
          </w:tcPr>
          <w:p>
            <w:pPr>
              <w:jc w:val="center"/>
              <w:ind w:left="1161"/>
              <w:spacing w:after="0"/>
              <w:rPr>
                <w:sz w:val="20"/>
                <w:szCs w:val="20"/>
                <w:color w:val="auto"/>
              </w:rPr>
            </w:pPr>
            <w:r>
              <w:rPr>
                <w:rFonts w:ascii="Arial" w:cs="Arial" w:eastAsia="Arial" w:hAnsi="Arial"/>
                <w:sz w:val="14"/>
                <w:szCs w:val="14"/>
                <w:b w:val="1"/>
                <w:bCs w:val="1"/>
                <w:color w:val="auto"/>
                <w:w w:val="98"/>
              </w:rPr>
              <w:t>(ending January 31, 2026)</w:t>
            </w:r>
          </w:p>
        </w:tc>
        <w:tc>
          <w:tcPr>
            <w:tcW w:w="0" w:type="dxa"/>
            <w:vAlign w:val="bottom"/>
          </w:tcPr>
          <w:p>
            <w:pPr>
              <w:spacing w:after="0"/>
              <w:rPr>
                <w:sz w:val="1"/>
                <w:szCs w:val="1"/>
                <w:color w:val="auto"/>
              </w:rPr>
            </w:pPr>
          </w:p>
        </w:tc>
      </w:tr>
      <w:tr>
        <w:trPr>
          <w:trHeight w:val="212"/>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(in millions)</w:t>
            </w:r>
          </w:p>
        </w:tc>
        <w:tc>
          <w:tcPr>
            <w:tcW w:w="2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$1,901</w:t>
            </w:r>
          </w:p>
        </w:tc>
        <w:tc>
          <w:tcPr>
            <w:tcW w:w="1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$1,917</w:t>
            </w:r>
          </w:p>
        </w:tc>
        <w:tc>
          <w:tcPr>
            <w:tcW w:w="0" w:type="dxa"/>
            <w:vAlign w:val="bottom"/>
          </w:tcPr>
          <w:p>
            <w:pPr>
              <w:spacing w:after="0"/>
              <w:rPr>
                <w:sz w:val="1"/>
                <w:szCs w:val="1"/>
                <w:color w:val="auto"/>
              </w:rPr>
            </w:pPr>
          </w:p>
        </w:tc>
      </w:tr>
      <w:tr>
        <w:trPr>
          <w:trHeight w:val="219"/>
        </w:trPr>
        <w:tc>
          <w:tcPr>
            <w:tcW w:w="6880" w:type="dxa"/>
            <w:vAlign w:val="bottom"/>
          </w:tcPr>
          <w:p>
            <w:pPr>
              <w:ind w:left="20"/>
              <w:spacing w:after="0"/>
              <w:rPr>
                <w:sz w:val="20"/>
                <w:szCs w:val="20"/>
                <w:color w:val="auto"/>
              </w:rPr>
            </w:pPr>
            <w:r>
              <w:rPr>
                <w:rFonts w:ascii="Arial" w:cs="Arial" w:eastAsia="Arial" w:hAnsi="Arial"/>
                <w:sz w:val="17"/>
                <w:szCs w:val="17"/>
                <w:color w:val="auto"/>
              </w:rPr>
              <w:t>EPS GAAP</w:t>
            </w:r>
          </w:p>
        </w:tc>
        <w:tc>
          <w:tcPr>
            <w:tcW w:w="2740" w:type="dxa"/>
            <w:vAlign w:val="bottom"/>
          </w:tcPr>
          <w:p>
            <w:pPr>
              <w:jc w:val="right"/>
              <w:spacing w:after="0"/>
              <w:rPr>
                <w:sz w:val="20"/>
                <w:szCs w:val="20"/>
                <w:color w:val="auto"/>
              </w:rPr>
            </w:pPr>
            <w:r>
              <w:rPr>
                <w:rFonts w:ascii="Arial" w:cs="Arial" w:eastAsia="Arial" w:hAnsi="Arial"/>
                <w:sz w:val="17"/>
                <w:szCs w:val="17"/>
                <w:color w:val="auto"/>
              </w:rPr>
              <w:t>$1.40</w:t>
            </w:r>
          </w:p>
        </w:tc>
        <w:tc>
          <w:tcPr>
            <w:tcW w:w="1620" w:type="dxa"/>
            <w:vAlign w:val="bottom"/>
          </w:tcPr>
          <w:p>
            <w:pPr>
              <w:ind w:left="20"/>
              <w:spacing w:after="0"/>
              <w:rPr>
                <w:sz w:val="20"/>
                <w:szCs w:val="20"/>
                <w:color w:val="auto"/>
              </w:rPr>
            </w:pPr>
            <w:r>
              <w:rPr>
                <w:rFonts w:ascii="Arial" w:cs="Arial" w:eastAsia="Arial" w:hAnsi="Arial"/>
                <w:sz w:val="17"/>
                <w:szCs w:val="17"/>
                <w:color w:val="auto"/>
              </w:rPr>
              <w:t>- $1.57</w:t>
            </w:r>
          </w:p>
        </w:tc>
        <w:tc>
          <w:tcPr>
            <w:tcW w:w="0" w:type="dxa"/>
            <w:vAlign w:val="bottom"/>
          </w:tcPr>
          <w:p>
            <w:pPr>
              <w:spacing w:after="0"/>
              <w:rPr>
                <w:sz w:val="1"/>
                <w:szCs w:val="1"/>
                <w:color w:val="auto"/>
              </w:rPr>
            </w:pPr>
          </w:p>
        </w:tc>
      </w:tr>
      <w:tr>
        <w:trPr>
          <w:trHeight w:val="219"/>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EPS non-GAAP (1)</w:t>
            </w:r>
          </w:p>
        </w:tc>
        <w:tc>
          <w:tcPr>
            <w:tcW w:w="2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$2.67</w:t>
            </w:r>
          </w:p>
        </w:tc>
        <w:tc>
          <w:tcPr>
            <w:tcW w:w="0" w:type="dxa"/>
            <w:vAlign w:val="bottom"/>
          </w:tcPr>
          <w:p>
            <w:pPr>
              <w:spacing w:after="0"/>
              <w:rPr>
                <w:sz w:val="1"/>
                <w:szCs w:val="1"/>
                <w:color w:val="auto"/>
              </w:rPr>
            </w:pPr>
          </w:p>
        </w:tc>
      </w:tr>
      <w:tr>
        <w:trPr>
          <w:trHeight w:val="259"/>
        </w:trPr>
        <w:tc>
          <w:tcPr>
            <w:tcW w:w="6880" w:type="dxa"/>
            <w:vAlign w:val="bottom"/>
          </w:tcPr>
          <w:p>
            <w:pPr>
              <w:spacing w:after="0"/>
              <w:rPr>
                <w:sz w:val="20"/>
                <w:szCs w:val="20"/>
                <w:color w:val="auto"/>
              </w:rPr>
            </w:pPr>
            <w:r>
              <w:rPr>
                <w:rFonts w:ascii="Arial" w:cs="Arial" w:eastAsia="Arial" w:hAnsi="Arial"/>
                <w:sz w:val="15"/>
                <w:szCs w:val="15"/>
                <w:color w:val="auto"/>
              </w:rPr>
              <w:t>____________________</w:t>
            </w:r>
          </w:p>
        </w:tc>
        <w:tc>
          <w:tcPr>
            <w:tcW w:w="27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6880" w:type="dxa"/>
            <w:vAlign w:val="bottom"/>
          </w:tcPr>
          <w:p>
            <w:pPr>
              <w:spacing w:after="0"/>
              <w:rPr>
                <w:sz w:val="20"/>
                <w:szCs w:val="20"/>
                <w:color w:val="auto"/>
              </w:rPr>
            </w:pPr>
            <w:r>
              <w:rPr>
                <w:rFonts w:ascii="Arial" w:cs="Arial" w:eastAsia="Arial" w:hAnsi="Arial"/>
                <w:sz w:val="15"/>
                <w:szCs w:val="15"/>
                <w:color w:val="auto"/>
              </w:rPr>
              <w:t>(1) See GAAP to Non-GAAP reconciliation at the end of this document.</w:t>
            </w:r>
          </w:p>
        </w:tc>
        <w:tc>
          <w:tcPr>
            <w:tcW w:w="2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Full Year Fiscal 2026</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vMerge w:val="restart"/>
          </w:tcPr>
          <w:p>
            <w:pPr>
              <w:ind w:left="3300"/>
              <w:spacing w:after="0"/>
              <w:rPr>
                <w:sz w:val="20"/>
                <w:szCs w:val="20"/>
                <w:color w:val="auto"/>
              </w:rPr>
            </w:pPr>
            <w:r>
              <w:rPr>
                <w:rFonts w:ascii="Arial" w:cs="Arial" w:eastAsia="Arial" w:hAnsi="Arial"/>
                <w:sz w:val="14"/>
                <w:szCs w:val="14"/>
                <w:b w:val="1"/>
                <w:bCs w:val="1"/>
                <w:color w:val="auto"/>
              </w:rPr>
              <w:t>FY26 Guidance Metrics</w:t>
            </w:r>
          </w:p>
        </w:tc>
        <w:tc>
          <w:tcPr>
            <w:tcW w:w="4420" w:type="dxa"/>
            <w:vAlign w:val="bottom"/>
          </w:tcPr>
          <w:p>
            <w:pPr>
              <w:jc w:val="center"/>
              <w:ind w:left="1218"/>
              <w:spacing w:after="0"/>
              <w:rPr>
                <w:sz w:val="20"/>
                <w:szCs w:val="20"/>
                <w:color w:val="auto"/>
              </w:rPr>
            </w:pPr>
            <w:r>
              <w:rPr>
                <w:rFonts w:ascii="Arial" w:cs="Arial" w:eastAsia="Arial" w:hAnsi="Arial"/>
                <w:sz w:val="14"/>
                <w:szCs w:val="14"/>
                <w:b w:val="1"/>
                <w:bCs w:val="1"/>
                <w:color w:val="auto"/>
                <w:w w:val="95"/>
              </w:rPr>
              <w:t>FY26</w:t>
            </w:r>
          </w:p>
        </w:tc>
        <w:tc>
          <w:tcPr>
            <w:tcW w:w="0" w:type="dxa"/>
            <w:vAlign w:val="bottom"/>
          </w:tcPr>
          <w:p>
            <w:pPr>
              <w:spacing w:after="0"/>
              <w:rPr>
                <w:sz w:val="1"/>
                <w:szCs w:val="1"/>
                <w:color w:val="auto"/>
              </w:rPr>
            </w:pPr>
          </w:p>
        </w:tc>
      </w:tr>
      <w:tr>
        <w:trPr>
          <w:trHeight w:val="180"/>
        </w:trPr>
        <w:tc>
          <w:tcPr>
            <w:tcW w:w="6820" w:type="dxa"/>
            <w:vAlign w:val="bottom"/>
            <w:tcBorders>
              <w:bottom w:val="single" w:sz="8" w:color="auto"/>
            </w:tcBorders>
            <w:vMerge w:val="continue"/>
          </w:tcPr>
          <w:p>
            <w:pPr>
              <w:spacing w:after="0"/>
              <w:rPr>
                <w:sz w:val="15"/>
                <w:szCs w:val="15"/>
                <w:color w:val="auto"/>
              </w:rPr>
            </w:pPr>
          </w:p>
        </w:tc>
        <w:tc>
          <w:tcPr>
            <w:tcW w:w="442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(ending January 31, 2026)</w:t>
            </w:r>
          </w:p>
        </w:tc>
        <w:tc>
          <w:tcPr>
            <w:tcW w:w="0" w:type="dxa"/>
            <w:vAlign w:val="bottom"/>
          </w:tcPr>
          <w:p>
            <w:pPr>
              <w:spacing w:after="0"/>
              <w:rPr>
                <w:sz w:val="1"/>
                <w:szCs w:val="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Billings (in millions) (1)</w:t>
            </w:r>
          </w:p>
        </w:tc>
        <w:tc>
          <w:tcPr>
            <w:tcW w:w="4420" w:type="dxa"/>
            <w:vAlign w:val="bottom"/>
            <w:shd w:val="clear" w:color="auto" w:fill="CCEEFF"/>
          </w:tcPr>
          <w:p>
            <w:pPr>
              <w:jc w:val="center"/>
              <w:ind w:left="1218"/>
              <w:spacing w:after="0"/>
              <w:rPr>
                <w:sz w:val="20"/>
                <w:szCs w:val="20"/>
                <w:color w:val="auto"/>
              </w:rPr>
            </w:pPr>
            <w:r>
              <w:rPr>
                <w:rFonts w:ascii="Arial" w:cs="Arial" w:eastAsia="Arial" w:hAnsi="Arial"/>
                <w:sz w:val="17"/>
                <w:szCs w:val="17"/>
                <w:color w:val="auto"/>
              </w:rPr>
              <w:t>$7,465 - $7,525</w:t>
            </w: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Arial" w:cs="Arial" w:eastAsia="Arial" w:hAnsi="Arial"/>
                <w:sz w:val="17"/>
                <w:szCs w:val="17"/>
                <w:color w:val="auto"/>
              </w:rPr>
              <w:t>Revenue (in millions) (1)</w:t>
            </w:r>
          </w:p>
        </w:tc>
        <w:tc>
          <w:tcPr>
            <w:tcW w:w="4420" w:type="dxa"/>
            <w:vAlign w:val="bottom"/>
          </w:tcPr>
          <w:p>
            <w:pPr>
              <w:jc w:val="center"/>
              <w:ind w:left="1218"/>
              <w:spacing w:after="0"/>
              <w:rPr>
                <w:sz w:val="20"/>
                <w:szCs w:val="20"/>
                <w:color w:val="auto"/>
              </w:rPr>
            </w:pPr>
            <w:r>
              <w:rPr>
                <w:rFonts w:ascii="Arial" w:cs="Arial" w:eastAsia="Arial" w:hAnsi="Arial"/>
                <w:sz w:val="17"/>
                <w:szCs w:val="17"/>
                <w:color w:val="auto"/>
              </w:rPr>
              <w:t>$7,150 - $7,165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GAAP operating margin</w:t>
            </w:r>
          </w:p>
        </w:tc>
        <w:tc>
          <w:tcPr>
            <w:tcW w:w="4420" w:type="dxa"/>
            <w:vAlign w:val="bottom"/>
            <w:shd w:val="clear" w:color="auto" w:fill="CCEEFF"/>
          </w:tcPr>
          <w:p>
            <w:pPr>
              <w:jc w:val="center"/>
              <w:ind w:left="1218"/>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Arial" w:cs="Arial" w:eastAsia="Arial" w:hAnsi="Arial"/>
                <w:sz w:val="17"/>
                <w:szCs w:val="17"/>
                <w:color w:val="auto"/>
              </w:rPr>
              <w:t>Non-GAAP operating margin (2)</w:t>
            </w:r>
          </w:p>
        </w:tc>
        <w:tc>
          <w:tcPr>
            <w:tcW w:w="4420" w:type="dxa"/>
            <w:vAlign w:val="bottom"/>
          </w:tcPr>
          <w:p>
            <w:pPr>
              <w:jc w:val="center"/>
              <w:ind w:left="1218"/>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EPS GAAP</w:t>
            </w:r>
          </w:p>
        </w:tc>
        <w:tc>
          <w:tcPr>
            <w:tcW w:w="4420" w:type="dxa"/>
            <w:vAlign w:val="bottom"/>
            <w:shd w:val="clear" w:color="auto" w:fill="CCEEFF"/>
          </w:tcPr>
          <w:p>
            <w:pPr>
              <w:jc w:val="center"/>
              <w:ind w:left="1218"/>
              <w:spacing w:after="0"/>
              <w:rPr>
                <w:sz w:val="20"/>
                <w:szCs w:val="20"/>
                <w:color w:val="auto"/>
              </w:rPr>
            </w:pPr>
            <w:r>
              <w:rPr>
                <w:rFonts w:ascii="Arial" w:cs="Arial" w:eastAsia="Arial" w:hAnsi="Arial"/>
                <w:sz w:val="17"/>
                <w:szCs w:val="17"/>
                <w:color w:val="auto"/>
              </w:rPr>
              <w:t>$5.16- $5.33</w:t>
            </w:r>
          </w:p>
        </w:tc>
        <w:tc>
          <w:tcPr>
            <w:tcW w:w="0" w:type="dxa"/>
            <w:vAlign w:val="bottom"/>
          </w:tcPr>
          <w:p>
            <w:pPr>
              <w:spacing w:after="0"/>
              <w:rPr>
                <w:sz w:val="1"/>
                <w:szCs w:val="1"/>
                <w:color w:val="auto"/>
              </w:rPr>
            </w:pPr>
          </w:p>
        </w:tc>
      </w:tr>
      <w:tr>
        <w:trPr>
          <w:trHeight w:val="219"/>
        </w:trPr>
        <w:tc>
          <w:tcPr>
            <w:tcW w:w="6820" w:type="dxa"/>
            <w:vAlign w:val="bottom"/>
          </w:tcPr>
          <w:p>
            <w:pPr>
              <w:ind w:left="20"/>
              <w:spacing w:after="0"/>
              <w:rPr>
                <w:sz w:val="20"/>
                <w:szCs w:val="20"/>
                <w:color w:val="auto"/>
              </w:rPr>
            </w:pPr>
            <w:r>
              <w:rPr>
                <w:rFonts w:ascii="Arial" w:cs="Arial" w:eastAsia="Arial" w:hAnsi="Arial"/>
                <w:sz w:val="17"/>
                <w:szCs w:val="17"/>
                <w:color w:val="auto"/>
              </w:rPr>
              <w:t>EPS non-GAAP (2)</w:t>
            </w:r>
          </w:p>
        </w:tc>
        <w:tc>
          <w:tcPr>
            <w:tcW w:w="4420" w:type="dxa"/>
            <w:vAlign w:val="bottom"/>
          </w:tcPr>
          <w:p>
            <w:pPr>
              <w:jc w:val="center"/>
              <w:ind w:left="1218"/>
              <w:spacing w:after="0"/>
              <w:rPr>
                <w:sz w:val="20"/>
                <w:szCs w:val="20"/>
                <w:color w:val="auto"/>
              </w:rPr>
            </w:pPr>
            <w:r>
              <w:rPr>
                <w:rFonts w:ascii="Arial" w:cs="Arial" w:eastAsia="Arial" w:hAnsi="Arial"/>
                <w:sz w:val="17"/>
                <w:szCs w:val="17"/>
                <w:color w:val="auto"/>
              </w:rPr>
              <w:t>$10.18 - $10.25</w:t>
            </w:r>
          </w:p>
        </w:tc>
        <w:tc>
          <w:tcPr>
            <w:tcW w:w="0" w:type="dxa"/>
            <w:vAlign w:val="bottom"/>
          </w:tcPr>
          <w:p>
            <w:pPr>
              <w:spacing w:after="0"/>
              <w:rPr>
                <w:sz w:val="1"/>
                <w:szCs w:val="1"/>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Free cash flow (in millions) (3)</w:t>
            </w:r>
          </w:p>
        </w:tc>
        <w:tc>
          <w:tcPr>
            <w:tcW w:w="4420" w:type="dxa"/>
            <w:vAlign w:val="bottom"/>
            <w:shd w:val="clear" w:color="auto" w:fill="CCEEFF"/>
          </w:tcPr>
          <w:p>
            <w:pPr>
              <w:jc w:val="center"/>
              <w:ind w:left="1218"/>
              <w:spacing w:after="0"/>
              <w:rPr>
                <w:sz w:val="20"/>
                <w:szCs w:val="20"/>
                <w:color w:val="auto"/>
              </w:rPr>
            </w:pPr>
            <w:r>
              <w:rPr>
                <w:rFonts w:ascii="Arial" w:cs="Arial" w:eastAsia="Arial" w:hAnsi="Arial"/>
                <w:sz w:val="17"/>
                <w:szCs w:val="17"/>
                <w:color w:val="auto"/>
              </w:rPr>
              <w:t>$2,260 - $2,290</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32" w:lineRule="exact"/>
        <w:rPr>
          <w:sz w:val="20"/>
          <w:szCs w:val="20"/>
          <w:color w:val="auto"/>
        </w:rPr>
      </w:pPr>
    </w:p>
    <w:p>
      <w:pPr>
        <w:ind w:left="240" w:hanging="237"/>
        <w:spacing w:after="0"/>
        <w:tabs>
          <w:tab w:leader="none" w:pos="240" w:val="left"/>
        </w:tabs>
        <w:numPr>
          <w:ilvl w:val="0"/>
          <w:numId w:val="2"/>
        </w:numPr>
        <w:rPr>
          <w:rFonts w:ascii="Arial" w:cs="Arial" w:eastAsia="Arial" w:hAnsi="Arial"/>
          <w:sz w:val="15"/>
          <w:szCs w:val="15"/>
          <w:color w:val="auto"/>
        </w:rPr>
      </w:pPr>
      <w:r>
        <w:rPr>
          <w:rFonts w:ascii="Arial" w:cs="Arial" w:eastAsia="Arial" w:hAnsi="Arial"/>
          <w:sz w:val="15"/>
          <w:szCs w:val="15"/>
          <w:color w:val="auto"/>
        </w:rPr>
        <w:t>See supplemental materials available on our investor relations website for growth rates excluding currency movements and the new transaction model.</w:t>
      </w:r>
    </w:p>
    <w:p>
      <w:pPr>
        <w:spacing w:after="0" w:line="11" w:lineRule="exact"/>
        <w:rPr>
          <w:rFonts w:ascii="Arial" w:cs="Arial" w:eastAsia="Arial" w:hAnsi="Arial"/>
          <w:sz w:val="15"/>
          <w:szCs w:val="15"/>
          <w:color w:val="auto"/>
        </w:rPr>
      </w:pPr>
    </w:p>
    <w:p>
      <w:pPr>
        <w:ind w:left="240" w:hanging="237"/>
        <w:spacing w:after="0"/>
        <w:tabs>
          <w:tab w:leader="none" w:pos="240" w:val="left"/>
        </w:tabs>
        <w:numPr>
          <w:ilvl w:val="0"/>
          <w:numId w:val="2"/>
        </w:numPr>
        <w:rPr>
          <w:rFonts w:ascii="Arial" w:cs="Arial" w:eastAsia="Arial" w:hAnsi="Arial"/>
          <w:sz w:val="15"/>
          <w:szCs w:val="15"/>
          <w:color w:val="auto"/>
        </w:rPr>
      </w:pPr>
      <w:r>
        <w:rPr>
          <w:rFonts w:ascii="Arial" w:cs="Arial" w:eastAsia="Arial" w:hAnsi="Arial"/>
          <w:sz w:val="15"/>
          <w:szCs w:val="15"/>
          <w:color w:val="auto"/>
        </w:rPr>
        <w:t>See GAAP to Non-GAAP reconciliation at the end of this document.</w:t>
      </w:r>
    </w:p>
    <w:p>
      <w:pPr>
        <w:spacing w:after="0" w:line="17" w:lineRule="exact"/>
        <w:rPr>
          <w:rFonts w:ascii="Arial" w:cs="Arial" w:eastAsia="Arial" w:hAnsi="Arial"/>
          <w:sz w:val="15"/>
          <w:szCs w:val="15"/>
          <w:color w:val="auto"/>
        </w:rPr>
      </w:pPr>
    </w:p>
    <w:p>
      <w:pPr>
        <w:ind w:right="340" w:firstLine="3"/>
        <w:spacing w:after="0" w:line="280" w:lineRule="auto"/>
        <w:tabs>
          <w:tab w:leader="none" w:pos="232" w:val="left"/>
        </w:tabs>
        <w:numPr>
          <w:ilvl w:val="0"/>
          <w:numId w:val="2"/>
        </w:numPr>
        <w:rPr>
          <w:rFonts w:ascii="Arial" w:cs="Arial" w:eastAsia="Arial" w:hAnsi="Arial"/>
          <w:sz w:val="15"/>
          <w:szCs w:val="15"/>
          <w:color w:val="auto"/>
        </w:rPr>
      </w:pPr>
      <w:r>
        <w:rPr>
          <w:rFonts w:ascii="Arial" w:cs="Arial" w:eastAsia="Arial" w:hAnsi="Arial"/>
          <w:sz w:val="15"/>
          <w:szCs w:val="15"/>
          <w:color w:val="auto"/>
        </w:rPr>
        <w:t>Free cash flow is cash flow from operating activities less approximately $50 million of capital expenditures, and includes restructuring and other related cash outflows of approximately $115 million, and an anticipated discrete cash benefit of approximately $160 million from the utilization of US deferred tax assets.</w:t>
      </w:r>
    </w:p>
    <w:p>
      <w:pPr>
        <w:spacing w:after="0" w:line="200" w:lineRule="exact"/>
        <w:rPr>
          <w:sz w:val="20"/>
          <w:szCs w:val="20"/>
          <w:color w:val="auto"/>
        </w:rPr>
      </w:pPr>
    </w:p>
    <w:p>
      <w:pPr>
        <w:spacing w:after="0" w:line="203"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The outlook assumes a GAAP tax rate of 31 percent for the full-year fiscal 2026 and 31 to 34 percent for the fourth quarter fiscal 2026, and a non-GAAP tax rate of 19 percent for both periods. The GAAP tax rates include the effects of the utilization of US deferred tax assets and the One Big Beautiful Bill Act.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Earnings Conference Call and Webcast</w:t>
      </w:r>
    </w:p>
    <w:p>
      <w:pPr>
        <w:spacing w:after="0" w:line="246"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 xml:space="preserve">Autodesk will host its third quarter conference call today at 5 p.m. ET. The live broadcast can be accessed at </w:t>
      </w:r>
      <w:r>
        <w:rPr>
          <w:rFonts w:ascii="Arial" w:cs="Arial" w:eastAsia="Arial" w:hAnsi="Arial"/>
          <w:sz w:val="19"/>
          <w:szCs w:val="19"/>
          <w:u w:val="single" w:color="auto"/>
          <w:color w:val="0000FF"/>
        </w:rPr>
        <w:t>autodesk.com/investor</w:t>
      </w:r>
      <w:r>
        <w:rPr>
          <w:rFonts w:ascii="Arial" w:cs="Arial" w:eastAsia="Arial" w:hAnsi="Arial"/>
          <w:sz w:val="19"/>
          <w:szCs w:val="19"/>
          <w:color w:val="auto"/>
        </w:rPr>
        <w:t>. A transcript of the opening commentary will also be available following the conference call.</w:t>
      </w:r>
    </w:p>
    <w:p>
      <w:pPr>
        <w:spacing w:after="0" w:line="184"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auto"/>
        </w:rPr>
        <w:t xml:space="preserve">A replay of the broadcast will be available at 7 p.m. ET at </w:t>
      </w:r>
      <w:r>
        <w:rPr>
          <w:rFonts w:ascii="Arial" w:cs="Arial" w:eastAsia="Arial" w:hAnsi="Arial"/>
          <w:sz w:val="19"/>
          <w:szCs w:val="19"/>
          <w:u w:val="single" w:color="auto"/>
          <w:color w:val="0000FF"/>
        </w:rPr>
        <w:t>autodesk.com/investor</w:t>
      </w:r>
      <w:r>
        <w:rPr>
          <w:rFonts w:ascii="Arial" w:cs="Arial" w:eastAsia="Arial" w:hAnsi="Arial"/>
          <w:sz w:val="19"/>
          <w:szCs w:val="19"/>
          <w:color w:val="auto"/>
        </w:rPr>
        <w:t>. This replay will be maintained on Autodesk's website for at least 12 months.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Investor Presentation Details</w:t>
      </w:r>
    </w:p>
    <w:p>
      <w:pPr>
        <w:spacing w:after="0" w:line="246" w:lineRule="exact"/>
        <w:rPr>
          <w:sz w:val="20"/>
          <w:szCs w:val="20"/>
          <w:color w:val="auto"/>
        </w:rPr>
      </w:pPr>
    </w:p>
    <w:p>
      <w:pPr>
        <w:ind w:right="920"/>
        <w:spacing w:after="0" w:line="274" w:lineRule="auto"/>
        <w:rPr>
          <w:sz w:val="20"/>
          <w:szCs w:val="20"/>
          <w:color w:val="auto"/>
        </w:rPr>
      </w:pPr>
      <w:r>
        <w:rPr>
          <w:rFonts w:ascii="Arial" w:cs="Arial" w:eastAsia="Arial" w:hAnsi="Arial"/>
          <w:sz w:val="19"/>
          <w:szCs w:val="19"/>
          <w:color w:val="auto"/>
        </w:rPr>
        <w:t xml:space="preserve">An investor presentation, Excel financials and other supplemental materials providing additional information can be found at </w:t>
      </w:r>
      <w:r>
        <w:rPr>
          <w:rFonts w:ascii="Arial" w:cs="Arial" w:eastAsia="Arial" w:hAnsi="Arial"/>
          <w:sz w:val="19"/>
          <w:szCs w:val="19"/>
          <w:u w:val="single" w:color="auto"/>
          <w:color w:val="0000FF"/>
        </w:rPr>
        <w:t>autodesk.com/investor</w:t>
      </w:r>
      <w:r>
        <w:rPr>
          <w:rFonts w:ascii="Arial" w:cs="Arial" w:eastAsia="Arial" w:hAnsi="Arial"/>
          <w:sz w:val="19"/>
          <w:szCs w:val="19"/>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892" w:right="339" w:bottom="1440" w:gutter="0" w:footer="0" w:header="0"/>
        </w:sectPr>
      </w:pPr>
    </w:p>
    <w:bookmarkStart w:id="8" w:name="page9"/>
    <w:bookmarkEnd w:id="8"/>
    <w:p>
      <w:pPr>
        <w:spacing w:after="0"/>
        <w:rPr>
          <w:sz w:val="20"/>
          <w:szCs w:val="20"/>
          <w:color w:val="auto"/>
        </w:rPr>
      </w:pPr>
      <w:r>
        <w:rPr>
          <w:rFonts w:ascii="Arial" w:cs="Arial" w:eastAsia="Arial" w:hAnsi="Arial"/>
          <w:sz w:val="19"/>
          <w:szCs w:val="19"/>
          <w:b w:val="1"/>
          <w:bCs w:val="1"/>
          <w:color w:val="auto"/>
        </w:rPr>
        <w:t>Contacts</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Investors: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Simon Mays-Smith</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415-746-0137</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simon.mays-smith@autodesk.com</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Press:</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Renée Francis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628-888-4599</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renee.francis@autodesk.com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44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139"/>
          </w:cols>
          <w:pgMar w:left="320" w:top="892" w:right="1440" w:bottom="1440" w:gutter="0" w:footer="0" w:header="0"/>
        </w:sectPr>
      </w:pPr>
    </w:p>
    <w:bookmarkStart w:id="9" w:name="page10"/>
    <w:bookmarkEnd w:id="9"/>
    <w:p>
      <w:pPr>
        <w:spacing w:after="0"/>
        <w:rPr>
          <w:sz w:val="20"/>
          <w:szCs w:val="20"/>
          <w:color w:val="auto"/>
        </w:rPr>
      </w:pPr>
      <w:r>
        <w:rPr>
          <w:rFonts w:ascii="Arial" w:cs="Arial" w:eastAsia="Arial" w:hAnsi="Arial"/>
          <w:sz w:val="19"/>
          <w:szCs w:val="19"/>
          <w:b w:val="1"/>
          <w:bCs w:val="1"/>
          <w:color w:val="auto"/>
        </w:rPr>
        <w:t>Key Performance Metrics</w:t>
      </w:r>
    </w:p>
    <w:p>
      <w:pPr>
        <w:spacing w:after="0" w:line="246"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auto"/>
        </w:rPr>
        <w:t>To help better understand our financial performance, we use several key performance metrics including billings, recurring revenue and net revenue retention rate. These metrics are key performance metrics and should be viewed independently of revenue and deferred revenue.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Glossary of Terms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Billings: </w:t>
      </w:r>
      <w:r>
        <w:rPr>
          <w:rFonts w:ascii="Arial" w:cs="Arial" w:eastAsia="Arial" w:hAnsi="Arial"/>
          <w:sz w:val="19"/>
          <w:szCs w:val="19"/>
          <w:color w:val="auto"/>
        </w:rPr>
        <w:t>Total revenue plus the net change in deferred revenue from the beginning to the end of the period.</w:t>
      </w:r>
    </w:p>
    <w:p>
      <w:pPr>
        <w:spacing w:after="0" w:line="246" w:lineRule="exact"/>
        <w:rPr>
          <w:sz w:val="20"/>
          <w:szCs w:val="20"/>
          <w:color w:val="auto"/>
        </w:rPr>
      </w:pPr>
    </w:p>
    <w:p>
      <w:pPr>
        <w:ind w:right="120"/>
        <w:spacing w:after="0" w:line="264" w:lineRule="auto"/>
        <w:rPr>
          <w:sz w:val="20"/>
          <w:szCs w:val="20"/>
          <w:color w:val="auto"/>
        </w:rPr>
      </w:pPr>
      <w:r>
        <w:rPr>
          <w:rFonts w:ascii="Arial" w:cs="Arial" w:eastAsia="Arial" w:hAnsi="Arial"/>
          <w:sz w:val="19"/>
          <w:szCs w:val="19"/>
          <w:i w:val="1"/>
          <w:iCs w:val="1"/>
          <w:color w:val="auto"/>
        </w:rPr>
        <w:t xml:space="preserve">Cloud Service Offerings: </w:t>
      </w:r>
      <w:r>
        <w:rPr>
          <w:rFonts w:ascii="Arial" w:cs="Arial" w:eastAsia="Arial" w:hAnsi="Arial"/>
          <w:sz w:val="19"/>
          <w:szCs w:val="19"/>
          <w:color w:val="auto"/>
        </w:rPr>
        <w:t>Represents individual term-based offerings deployed through web browser technologies or in a hybrid</w:t>
      </w:r>
      <w:r>
        <w:rPr>
          <w:rFonts w:ascii="Arial" w:cs="Arial" w:eastAsia="Arial" w:hAnsi="Arial"/>
          <w:sz w:val="19"/>
          <w:szCs w:val="19"/>
          <w:i w:val="1"/>
          <w:iCs w:val="1"/>
          <w:color w:val="auto"/>
        </w:rPr>
        <w:t xml:space="preserve"> </w:t>
      </w:r>
      <w:r>
        <w:rPr>
          <w:rFonts w:ascii="Arial" w:cs="Arial" w:eastAsia="Arial" w:hAnsi="Arial"/>
          <w:sz w:val="19"/>
          <w:szCs w:val="19"/>
          <w:color w:val="auto"/>
        </w:rPr>
        <w:t>software and cloud configuration. Cloud service offerings that are bundled with other product offerings are not captured as a separate cloud service offering.</w:t>
      </w:r>
    </w:p>
    <w:p>
      <w:pPr>
        <w:spacing w:after="0" w:line="194" w:lineRule="exact"/>
        <w:rPr>
          <w:sz w:val="20"/>
          <w:szCs w:val="20"/>
          <w:color w:val="auto"/>
        </w:rPr>
      </w:pPr>
    </w:p>
    <w:p>
      <w:pPr>
        <w:ind w:right="280"/>
        <w:spacing w:after="0" w:line="256" w:lineRule="auto"/>
        <w:rPr>
          <w:sz w:val="20"/>
          <w:szCs w:val="20"/>
          <w:color w:val="auto"/>
        </w:rPr>
      </w:pPr>
      <w:r>
        <w:rPr>
          <w:rFonts w:ascii="Arial" w:cs="Arial" w:eastAsia="Arial" w:hAnsi="Arial"/>
          <w:sz w:val="19"/>
          <w:szCs w:val="19"/>
          <w:i w:val="1"/>
          <w:iCs w:val="1"/>
          <w:color w:val="auto"/>
        </w:rPr>
        <w:t xml:space="preserve">Constant Currency (CC) Growth Rates: </w:t>
      </w:r>
      <w:r>
        <w:rPr>
          <w:rFonts w:ascii="Arial" w:cs="Arial" w:eastAsia="Arial" w:hAnsi="Arial"/>
          <w:sz w:val="19"/>
          <w:szCs w:val="19"/>
          <w:color w:val="auto"/>
        </w:rPr>
        <w:t>We attempt to represent the changes in the underlying business operations by eliminating</w:t>
      </w:r>
      <w:r>
        <w:rPr>
          <w:rFonts w:ascii="Arial" w:cs="Arial" w:eastAsia="Arial" w:hAnsi="Arial"/>
          <w:sz w:val="19"/>
          <w:szCs w:val="19"/>
          <w:i w:val="1"/>
          <w:iCs w:val="1"/>
          <w:color w:val="auto"/>
        </w:rPr>
        <w:t xml:space="preserve"> </w:t>
      </w:r>
      <w:r>
        <w:rPr>
          <w:rFonts w:ascii="Arial" w:cs="Arial" w:eastAsia="Arial" w:hAnsi="Arial"/>
          <w:sz w:val="19"/>
          <w:szCs w:val="19"/>
          <w:color w:val="auto"/>
        </w:rPr>
        <w:t>fluctuations caused by 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201"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i w:val="1"/>
          <w:iCs w:val="1"/>
          <w:color w:val="auto"/>
        </w:rPr>
        <w:t xml:space="preserve">Design Business: </w:t>
      </w:r>
      <w:r>
        <w:rPr>
          <w:rFonts w:ascii="Arial" w:cs="Arial" w:eastAsia="Arial" w:hAnsi="Arial"/>
          <w:sz w:val="19"/>
          <w:szCs w:val="19"/>
          <w:color w:val="auto"/>
        </w:rPr>
        <w:t>Represents the combination of maintenance, product subscriptions and all EBAs. Main products include, but are not</w:t>
      </w:r>
      <w:r>
        <w:rPr>
          <w:rFonts w:ascii="Arial" w:cs="Arial" w:eastAsia="Arial" w:hAnsi="Arial"/>
          <w:sz w:val="19"/>
          <w:szCs w:val="19"/>
          <w:i w:val="1"/>
          <w:iCs w:val="1"/>
          <w:color w:val="auto"/>
        </w:rPr>
        <w:t xml:space="preserve"> </w:t>
      </w:r>
      <w:r>
        <w:rPr>
          <w:rFonts w:ascii="Arial" w:cs="Arial" w:eastAsia="Arial" w:hAnsi="Arial"/>
          <w:sz w:val="19"/>
          <w:szCs w:val="19"/>
          <w:color w:val="auto"/>
        </w:rPr>
        <w:t>limited to, AutoCAD, AutoCAD LT, Industry Collections, Revit, Inventor, Maya and 3ds Max. Certain products, such as our computer aided manufacturing solutions, incorporate both Design and Make functionality and are classified as Design.</w:t>
      </w:r>
    </w:p>
    <w:p>
      <w:pPr>
        <w:spacing w:after="0" w:line="181" w:lineRule="exact"/>
        <w:rPr>
          <w:sz w:val="20"/>
          <w:szCs w:val="20"/>
          <w:color w:val="auto"/>
        </w:rPr>
      </w:pPr>
    </w:p>
    <w:p>
      <w:pPr>
        <w:ind w:right="260"/>
        <w:spacing w:after="0" w:line="288" w:lineRule="auto"/>
        <w:rPr>
          <w:sz w:val="20"/>
          <w:szCs w:val="20"/>
          <w:color w:val="auto"/>
        </w:rPr>
      </w:pPr>
      <w:r>
        <w:rPr>
          <w:rFonts w:ascii="Arial" w:cs="Arial" w:eastAsia="Arial" w:hAnsi="Arial"/>
          <w:sz w:val="19"/>
          <w:szCs w:val="19"/>
          <w:i w:val="1"/>
          <w:iCs w:val="1"/>
          <w:color w:val="auto"/>
        </w:rPr>
        <w:t xml:space="preserve">Enterprise Business Agreements (EBAs): </w:t>
      </w:r>
      <w:r>
        <w:rPr>
          <w:rFonts w:ascii="Arial" w:cs="Arial" w:eastAsia="Arial" w:hAnsi="Arial"/>
          <w:sz w:val="19"/>
          <w:szCs w:val="19"/>
          <w:color w:val="auto"/>
        </w:rPr>
        <w:t>Represents programs providing enterprise customers with token-based access to a broad</w:t>
      </w:r>
      <w:r>
        <w:rPr>
          <w:rFonts w:ascii="Arial" w:cs="Arial" w:eastAsia="Arial" w:hAnsi="Arial"/>
          <w:sz w:val="19"/>
          <w:szCs w:val="19"/>
          <w:i w:val="1"/>
          <w:iCs w:val="1"/>
          <w:color w:val="auto"/>
        </w:rPr>
        <w:t xml:space="preserve"> </w:t>
      </w:r>
      <w:r>
        <w:rPr>
          <w:rFonts w:ascii="Arial" w:cs="Arial" w:eastAsia="Arial" w:hAnsi="Arial"/>
          <w:sz w:val="19"/>
          <w:szCs w:val="19"/>
          <w:color w:val="auto"/>
        </w:rPr>
        <w:t>pool of Autodesk products over a defined contract term.</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Flex: </w:t>
      </w:r>
      <w:r>
        <w:rPr>
          <w:rFonts w:ascii="Arial" w:cs="Arial" w:eastAsia="Arial" w:hAnsi="Arial"/>
          <w:sz w:val="19"/>
          <w:szCs w:val="19"/>
          <w:color w:val="auto"/>
        </w:rPr>
        <w:t>A pay-as-you-go consumption option to pre-purchase tokens to access any product available with Flex for a daily rate.</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Free Cash Flow: </w:t>
      </w:r>
      <w:r>
        <w:rPr>
          <w:rFonts w:ascii="Arial" w:cs="Arial" w:eastAsia="Arial" w:hAnsi="Arial"/>
          <w:sz w:val="19"/>
          <w:szCs w:val="19"/>
          <w:color w:val="auto"/>
        </w:rPr>
        <w:t>Cash flow from operating activities minus capital expenditures.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Industry Collections: </w:t>
      </w:r>
      <w:r>
        <w:rPr>
          <w:rFonts w:ascii="Arial" w:cs="Arial" w:eastAsia="Arial" w:hAnsi="Arial"/>
          <w:sz w:val="18"/>
          <w:szCs w:val="18"/>
          <w:color w:val="auto"/>
        </w:rPr>
        <w:t>Autodesk Industry Collections are a combination of products and services that target a specific user objective and</w:t>
      </w:r>
    </w:p>
    <w:p>
      <w:pPr>
        <w:spacing w:after="0" w:line="30" w:lineRule="exact"/>
        <w:rPr>
          <w:sz w:val="20"/>
          <w:szCs w:val="20"/>
          <w:color w:val="auto"/>
        </w:rPr>
      </w:pPr>
    </w:p>
    <w:p>
      <w:pPr>
        <w:ind w:right="100"/>
        <w:spacing w:after="0" w:line="268" w:lineRule="auto"/>
        <w:rPr>
          <w:sz w:val="20"/>
          <w:szCs w:val="20"/>
          <w:color w:val="auto"/>
        </w:rPr>
      </w:pPr>
      <w:r>
        <w:rPr>
          <w:rFonts w:ascii="Arial" w:cs="Arial" w:eastAsia="Arial" w:hAnsi="Arial"/>
          <w:sz w:val="19"/>
          <w:szCs w:val="19"/>
          <w:color w:val="auto"/>
        </w:rPr>
        <w:t>support a set of workflows for that objective. Our Industry Collections consist of: Autodesk Architecture, Engineering and Construction Collection, Autodesk Product Design and Manufacturing Collection, and Autodesk Media and Entertainment Collection.</w:t>
      </w:r>
    </w:p>
    <w:p>
      <w:pPr>
        <w:spacing w:after="0" w:line="190"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i w:val="1"/>
          <w:iCs w:val="1"/>
          <w:color w:val="auto"/>
        </w:rPr>
        <w:t xml:space="preserve">Maintenance Plan: </w:t>
      </w:r>
      <w:r>
        <w:rPr>
          <w:rFonts w:ascii="Arial" w:cs="Arial" w:eastAsia="Arial" w:hAnsi="Arial"/>
          <w:sz w:val="19"/>
          <w:szCs w:val="19"/>
          <w:color w:val="auto"/>
        </w:rPr>
        <w:t>Our maintenance plans provide our customers with a cost effective and predictable budgetary option to obtain the</w:t>
      </w:r>
      <w:r>
        <w:rPr>
          <w:rFonts w:ascii="Arial" w:cs="Arial" w:eastAsia="Arial" w:hAnsi="Arial"/>
          <w:sz w:val="19"/>
          <w:szCs w:val="19"/>
          <w:i w:val="1"/>
          <w:iCs w:val="1"/>
          <w:color w:val="auto"/>
        </w:rPr>
        <w:t xml:space="preserve"> </w:t>
      </w:r>
      <w:r>
        <w:rPr>
          <w:rFonts w:ascii="Arial" w:cs="Arial" w:eastAsia="Arial" w:hAnsi="Arial"/>
          <w:sz w:val="19"/>
          <w:szCs w:val="19"/>
          <w:color w:val="auto"/>
        </w:rPr>
        <w:t>productivity benefits 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202" w:lineRule="exact"/>
        <w:rPr>
          <w:sz w:val="20"/>
          <w:szCs w:val="20"/>
          <w:color w:val="auto"/>
        </w:rPr>
      </w:pPr>
    </w:p>
    <w:p>
      <w:pPr>
        <w:jc w:val="both"/>
        <w:ind w:right="160"/>
        <w:spacing w:after="0" w:line="274" w:lineRule="auto"/>
        <w:rPr>
          <w:sz w:val="20"/>
          <w:szCs w:val="20"/>
          <w:color w:val="auto"/>
        </w:rPr>
      </w:pPr>
      <w:r>
        <w:rPr>
          <w:rFonts w:ascii="Arial" w:cs="Arial" w:eastAsia="Arial" w:hAnsi="Arial"/>
          <w:sz w:val="19"/>
          <w:szCs w:val="19"/>
          <w:i w:val="1"/>
          <w:iCs w:val="1"/>
          <w:color w:val="auto"/>
        </w:rPr>
        <w:t xml:space="preserve">Make Business: </w:t>
      </w:r>
      <w:r>
        <w:rPr>
          <w:rFonts w:ascii="Arial" w:cs="Arial" w:eastAsia="Arial" w:hAnsi="Arial"/>
          <w:sz w:val="19"/>
          <w:szCs w:val="19"/>
          <w:color w:val="auto"/>
        </w:rPr>
        <w:t>Represents certain cloud-based product subscriptions. Main products include, but are not limited to, Autodesk Build,</w:t>
      </w:r>
      <w:r>
        <w:rPr>
          <w:rFonts w:ascii="Arial" w:cs="Arial" w:eastAsia="Arial" w:hAnsi="Arial"/>
          <w:sz w:val="19"/>
          <w:szCs w:val="19"/>
          <w:i w:val="1"/>
          <w:iCs w:val="1"/>
          <w:color w:val="auto"/>
        </w:rPr>
        <w:t xml:space="preserve"> </w:t>
      </w:r>
      <w:r>
        <w:rPr>
          <w:rFonts w:ascii="Arial" w:cs="Arial" w:eastAsia="Arial" w:hAnsi="Arial"/>
          <w:sz w:val="19"/>
          <w:szCs w:val="19"/>
          <w:color w:val="auto"/>
        </w:rPr>
        <w:t>BIM Collaborate Pro, BuildingConnected, Fusion, and Flow Production Tracking. Certain products, such as Fusion, incorporate both Design and Make functionality and are classified as Make</w:t>
      </w:r>
      <w:r>
        <w:rPr>
          <w:rFonts w:ascii="Arial" w:cs="Arial" w:eastAsia="Arial" w:hAnsi="Arial"/>
          <w:sz w:val="20"/>
          <w:szCs w:val="20"/>
          <w:color w:val="auto"/>
        </w:rPr>
        <w:t>.</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892" w:right="339" w:bottom="1440" w:gutter="0" w:footer="0" w:header="0"/>
        </w:sectPr>
      </w:pPr>
    </w:p>
    <w:bookmarkStart w:id="10" w:name="page11"/>
    <w:bookmarkEnd w:id="10"/>
    <w:p>
      <w:pPr>
        <w:ind w:right="160"/>
        <w:spacing w:after="0" w:line="255" w:lineRule="auto"/>
        <w:rPr>
          <w:sz w:val="20"/>
          <w:szCs w:val="20"/>
          <w:color w:val="auto"/>
        </w:rPr>
      </w:pPr>
      <w:r>
        <w:rPr>
          <w:rFonts w:ascii="Arial" w:cs="Arial" w:eastAsia="Arial" w:hAnsi="Arial"/>
          <w:sz w:val="19"/>
          <w:szCs w:val="19"/>
          <w:i w:val="1"/>
          <w:iCs w:val="1"/>
          <w:color w:val="auto"/>
        </w:rPr>
        <w:t xml:space="preserve">Net Revenue Retention Rate (NR3): </w:t>
      </w:r>
      <w:r>
        <w:rPr>
          <w:rFonts w:ascii="Arial" w:cs="Arial" w:eastAsia="Arial" w:hAnsi="Arial"/>
          <w:sz w:val="19"/>
          <w:szCs w:val="19"/>
          <w:color w:val="auto"/>
        </w:rPr>
        <w:t>Measures the year-over-year change in Recurring Revenue for the population of customers that</w:t>
      </w:r>
      <w:r>
        <w:rPr>
          <w:rFonts w:ascii="Arial" w:cs="Arial" w:eastAsia="Arial" w:hAnsi="Arial"/>
          <w:sz w:val="19"/>
          <w:szCs w:val="19"/>
          <w:i w:val="1"/>
          <w:iCs w:val="1"/>
          <w:color w:val="auto"/>
        </w:rPr>
        <w:t xml:space="preserve"> </w:t>
      </w:r>
      <w:r>
        <w:rPr>
          <w:rFonts w:ascii="Arial" w:cs="Arial" w:eastAsia="Arial" w:hAnsi="Arial"/>
          <w:sz w:val="19"/>
          <w:szCs w:val="19"/>
          <w:color w:val="auto"/>
        </w:rPr>
        <w:t>existed one year ago (“base customers”). Net revenue retention rate is calculated by dividing the current quarter Recurring Revenue related to base customers by the total corresponding quarter Recurring Revenue from one year ago. Recurring Revenue is based on USD reported revenue, and fluctuations caused by changes in foreign currency exchange rates and hedge gains or losses have not been eliminated. Recurring Revenue related to acquired companies, one year after acquisition, has been captured as existing customers until such data conforms to the calculation methodology. This may cause variability in the comparison.</w:t>
      </w:r>
    </w:p>
    <w:p>
      <w:pPr>
        <w:spacing w:after="0" w:line="206" w:lineRule="exact"/>
        <w:rPr>
          <w:sz w:val="20"/>
          <w:szCs w:val="20"/>
          <w:color w:val="auto"/>
        </w:rPr>
      </w:pPr>
    </w:p>
    <w:p>
      <w:pPr>
        <w:ind w:right="800"/>
        <w:spacing w:after="0" w:line="274" w:lineRule="auto"/>
        <w:rPr>
          <w:sz w:val="20"/>
          <w:szCs w:val="20"/>
          <w:color w:val="auto"/>
        </w:rPr>
      </w:pPr>
      <w:r>
        <w:rPr>
          <w:rFonts w:ascii="Arial" w:cs="Arial" w:eastAsia="Arial" w:hAnsi="Arial"/>
          <w:sz w:val="19"/>
          <w:szCs w:val="19"/>
          <w:i w:val="1"/>
          <w:iCs w:val="1"/>
          <w:color w:val="auto"/>
        </w:rPr>
        <w:t xml:space="preserve">Other Revenue: </w:t>
      </w:r>
      <w:r>
        <w:rPr>
          <w:rFonts w:ascii="Arial" w:cs="Arial" w:eastAsia="Arial" w:hAnsi="Arial"/>
          <w:sz w:val="19"/>
          <w:szCs w:val="19"/>
          <w:color w:val="auto"/>
        </w:rPr>
        <w:t>Consists of revenue from consulting, and other products and services, and is recognized as the products are</w:t>
      </w:r>
      <w:r>
        <w:rPr>
          <w:rFonts w:ascii="Arial" w:cs="Arial" w:eastAsia="Arial" w:hAnsi="Arial"/>
          <w:sz w:val="19"/>
          <w:szCs w:val="19"/>
          <w:i w:val="1"/>
          <w:iCs w:val="1"/>
          <w:color w:val="auto"/>
        </w:rPr>
        <w:t xml:space="preserve"> </w:t>
      </w:r>
      <w:r>
        <w:rPr>
          <w:rFonts w:ascii="Arial" w:cs="Arial" w:eastAsia="Arial" w:hAnsi="Arial"/>
          <w:sz w:val="19"/>
          <w:szCs w:val="19"/>
          <w:color w:val="auto"/>
        </w:rPr>
        <w:t>delivered and services are performed.</w:t>
      </w:r>
    </w:p>
    <w:p>
      <w:pPr>
        <w:spacing w:after="0" w:line="184" w:lineRule="exact"/>
        <w:rPr>
          <w:sz w:val="20"/>
          <w:szCs w:val="20"/>
          <w:color w:val="auto"/>
        </w:rPr>
      </w:pPr>
    </w:p>
    <w:p>
      <w:pPr>
        <w:ind w:right="180"/>
        <w:spacing w:after="0" w:line="242" w:lineRule="auto"/>
        <w:rPr>
          <w:sz w:val="20"/>
          <w:szCs w:val="20"/>
          <w:color w:val="auto"/>
        </w:rPr>
      </w:pPr>
      <w:r>
        <w:rPr>
          <w:rFonts w:ascii="Arial" w:cs="Arial" w:eastAsia="Arial" w:hAnsi="Arial"/>
          <w:sz w:val="19"/>
          <w:szCs w:val="19"/>
          <w:i w:val="1"/>
          <w:iCs w:val="1"/>
          <w:color w:val="auto"/>
        </w:rPr>
        <w:t xml:space="preserve">Product Family: </w:t>
      </w:r>
      <w:r>
        <w:rPr>
          <w:rFonts w:ascii="Arial" w:cs="Arial" w:eastAsia="Arial" w:hAnsi="Arial"/>
          <w:sz w:val="19"/>
          <w:szCs w:val="19"/>
          <w:color w:val="auto"/>
        </w:rPr>
        <w:t>A grouping of related products or solutions that address specific industry or market needs, customer types, or use</w:t>
      </w:r>
      <w:r>
        <w:rPr>
          <w:rFonts w:ascii="Arial" w:cs="Arial" w:eastAsia="Arial" w:hAnsi="Arial"/>
          <w:sz w:val="19"/>
          <w:szCs w:val="19"/>
          <w:i w:val="1"/>
          <w:iCs w:val="1"/>
          <w:color w:val="auto"/>
        </w:rPr>
        <w:t xml:space="preserve"> </w:t>
      </w:r>
      <w:r>
        <w:rPr>
          <w:rFonts w:ascii="Arial" w:cs="Arial" w:eastAsia="Arial" w:hAnsi="Arial"/>
          <w:sz w:val="19"/>
          <w:szCs w:val="19"/>
          <w:color w:val="auto"/>
        </w:rPr>
        <w:t>cases, or share core underlying technology or deployment models. Where a customer has a right to use different products over time, Autodesk may classify amounts to a single product family based on the customer’s primary industry or use case, or to product family other, or allocate the amounts across product families using estimates.</w:t>
      </w:r>
    </w:p>
    <w:p>
      <w:pPr>
        <w:spacing w:after="0" w:line="189"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i w:val="1"/>
          <w:iCs w:val="1"/>
          <w:color w:val="auto"/>
        </w:rPr>
        <w:t xml:space="preserve">Product Subscription: </w:t>
      </w:r>
      <w:r>
        <w:rPr>
          <w:rFonts w:ascii="Arial" w:cs="Arial" w:eastAsia="Arial" w:hAnsi="Arial"/>
          <w:sz w:val="19"/>
          <w:szCs w:val="19"/>
          <w:color w:val="auto"/>
        </w:rPr>
        <w:t>Provides customers a flexible, cost-effective way to access and manage 3D design, engineering, and</w:t>
      </w:r>
      <w:r>
        <w:rPr>
          <w:rFonts w:ascii="Arial" w:cs="Arial" w:eastAsia="Arial" w:hAnsi="Arial"/>
          <w:sz w:val="19"/>
          <w:szCs w:val="19"/>
          <w:i w:val="1"/>
          <w:iCs w:val="1"/>
          <w:color w:val="auto"/>
        </w:rPr>
        <w:t xml:space="preserve"> </w:t>
      </w:r>
      <w:r>
        <w:rPr>
          <w:rFonts w:ascii="Arial" w:cs="Arial" w:eastAsia="Arial" w:hAnsi="Arial"/>
          <w:sz w:val="19"/>
          <w:szCs w:val="19"/>
          <w:color w:val="auto"/>
        </w:rPr>
        <w:t>entertainment software tools. Our product subscriptions currently represent a hybrid of desktop and cloud functionality, which provides a device-independent, collaborative design workflow for designers and their stakeholders.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9"/>
          <w:szCs w:val="19"/>
          <w:i w:val="1"/>
          <w:iCs w:val="1"/>
          <w:color w:val="auto"/>
        </w:rPr>
        <w:t xml:space="preserve">Recurring Revenue: </w:t>
      </w:r>
      <w:r>
        <w:rPr>
          <w:rFonts w:ascii="Arial" w:cs="Arial" w:eastAsia="Arial" w:hAnsi="Arial"/>
          <w:sz w:val="19"/>
          <w:szCs w:val="19"/>
          <w:color w:val="auto"/>
        </w:rPr>
        <w:t>Consists of the revenue for the period from our traditional maintenance plans, our subscription plan offerings and</w:t>
      </w:r>
      <w:r>
        <w:rPr>
          <w:rFonts w:ascii="Arial" w:cs="Arial" w:eastAsia="Arial" w:hAnsi="Arial"/>
          <w:sz w:val="19"/>
          <w:szCs w:val="19"/>
          <w:i w:val="1"/>
          <w:iCs w:val="1"/>
          <w:color w:val="auto"/>
        </w:rPr>
        <w:t xml:space="preserve"> </w:t>
      </w:r>
      <w:r>
        <w:rPr>
          <w:rFonts w:ascii="Arial" w:cs="Arial" w:eastAsia="Arial" w:hAnsi="Arial"/>
          <w:sz w:val="19"/>
          <w:szCs w:val="19"/>
          <w:color w:val="auto"/>
        </w:rPr>
        <w:t>certain Other revenue. It excludes subscription revenue related to third-party products. Recurring revenue acquired with the acquisition of a business is captured when total subscriptions are captured in our systems and may cause variability in the comparison of this calculation.</w:t>
      </w:r>
    </w:p>
    <w:p>
      <w:pPr>
        <w:spacing w:after="0" w:line="197" w:lineRule="exact"/>
        <w:rPr>
          <w:sz w:val="20"/>
          <w:szCs w:val="20"/>
          <w:color w:val="auto"/>
        </w:rPr>
      </w:pPr>
    </w:p>
    <w:p>
      <w:pPr>
        <w:ind w:right="100"/>
        <w:spacing w:after="0" w:line="274" w:lineRule="auto"/>
        <w:rPr>
          <w:sz w:val="20"/>
          <w:szCs w:val="20"/>
          <w:color w:val="auto"/>
        </w:rPr>
      </w:pPr>
      <w:r>
        <w:rPr>
          <w:rFonts w:ascii="Arial" w:cs="Arial" w:eastAsia="Arial" w:hAnsi="Arial"/>
          <w:sz w:val="19"/>
          <w:szCs w:val="19"/>
          <w:i w:val="1"/>
          <w:iCs w:val="1"/>
          <w:color w:val="auto"/>
        </w:rPr>
        <w:t xml:space="preserve">Remaining Performance Obligations (RPO): </w:t>
      </w:r>
      <w:r>
        <w:rPr>
          <w:rFonts w:ascii="Arial" w:cs="Arial" w:eastAsia="Arial" w:hAnsi="Arial"/>
          <w:sz w:val="19"/>
          <w:szCs w:val="19"/>
          <w:color w:val="auto"/>
        </w:rPr>
        <w:t>The sum of total short-term, long-term, and unbilled deferred revenue. Current remaining</w:t>
      </w:r>
      <w:r>
        <w:rPr>
          <w:rFonts w:ascii="Arial" w:cs="Arial" w:eastAsia="Arial" w:hAnsi="Arial"/>
          <w:sz w:val="19"/>
          <w:szCs w:val="19"/>
          <w:i w:val="1"/>
          <w:iCs w:val="1"/>
          <w:color w:val="auto"/>
        </w:rPr>
        <w:t xml:space="preserve"> </w:t>
      </w:r>
      <w:r>
        <w:rPr>
          <w:rFonts w:ascii="Arial" w:cs="Arial" w:eastAsia="Arial" w:hAnsi="Arial"/>
          <w:sz w:val="19"/>
          <w:szCs w:val="19"/>
          <w:color w:val="auto"/>
        </w:rPr>
        <w:t>performance obligations is the amount of revenue we expect to recognize in the next twelve months.</w:t>
      </w:r>
    </w:p>
    <w:p>
      <w:pPr>
        <w:spacing w:after="0" w:line="184" w:lineRule="exact"/>
        <w:rPr>
          <w:sz w:val="20"/>
          <w:szCs w:val="20"/>
          <w:color w:val="auto"/>
        </w:rPr>
      </w:pPr>
    </w:p>
    <w:p>
      <w:pPr>
        <w:ind w:right="360"/>
        <w:spacing w:after="0" w:line="274" w:lineRule="auto"/>
        <w:rPr>
          <w:sz w:val="20"/>
          <w:szCs w:val="20"/>
          <w:color w:val="auto"/>
        </w:rPr>
      </w:pPr>
      <w:r>
        <w:rPr>
          <w:rFonts w:ascii="Arial" w:cs="Arial" w:eastAsia="Arial" w:hAnsi="Arial"/>
          <w:sz w:val="19"/>
          <w:szCs w:val="19"/>
          <w:i w:val="1"/>
          <w:iCs w:val="1"/>
          <w:color w:val="auto"/>
        </w:rPr>
        <w:t xml:space="preserve">Solution Provider: </w:t>
      </w:r>
      <w:r>
        <w:rPr>
          <w:rFonts w:ascii="Arial" w:cs="Arial" w:eastAsia="Arial" w:hAnsi="Arial"/>
          <w:sz w:val="19"/>
          <w:szCs w:val="19"/>
          <w:color w:val="auto"/>
        </w:rPr>
        <w:t>Solution Provider is the name of our channel partners who primarily serve our new transaction model customers</w:t>
      </w:r>
      <w:r>
        <w:rPr>
          <w:rFonts w:ascii="Arial" w:cs="Arial" w:eastAsia="Arial" w:hAnsi="Arial"/>
          <w:sz w:val="19"/>
          <w:szCs w:val="19"/>
          <w:i w:val="1"/>
          <w:iCs w:val="1"/>
          <w:color w:val="auto"/>
        </w:rPr>
        <w:t xml:space="preserve"> </w:t>
      </w:r>
      <w:r>
        <w:rPr>
          <w:rFonts w:ascii="Arial" w:cs="Arial" w:eastAsia="Arial" w:hAnsi="Arial"/>
          <w:sz w:val="19"/>
          <w:szCs w:val="19"/>
          <w:color w:val="auto"/>
        </w:rPr>
        <w:t>worldwide. Solution Providers may also be resellers in relation to Autodesk solutions.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Spend: </w:t>
      </w:r>
      <w:r>
        <w:rPr>
          <w:rFonts w:ascii="Arial" w:cs="Arial" w:eastAsia="Arial" w:hAnsi="Arial"/>
          <w:sz w:val="19"/>
          <w:szCs w:val="19"/>
          <w:color w:val="auto"/>
        </w:rPr>
        <w:t>The sum of cost of revenue and operating expenses.</w:t>
      </w:r>
    </w:p>
    <w:p>
      <w:pPr>
        <w:spacing w:after="0" w:line="246" w:lineRule="exact"/>
        <w:rPr>
          <w:sz w:val="20"/>
          <w:szCs w:val="20"/>
          <w:color w:val="auto"/>
        </w:rPr>
      </w:pPr>
    </w:p>
    <w:p>
      <w:pPr>
        <w:ind w:right="100"/>
        <w:spacing w:after="0" w:line="256" w:lineRule="auto"/>
        <w:rPr>
          <w:sz w:val="20"/>
          <w:szCs w:val="20"/>
          <w:color w:val="auto"/>
        </w:rPr>
      </w:pPr>
      <w:r>
        <w:rPr>
          <w:rFonts w:ascii="Arial" w:cs="Arial" w:eastAsia="Arial" w:hAnsi="Arial"/>
          <w:sz w:val="19"/>
          <w:szCs w:val="19"/>
          <w:i w:val="1"/>
          <w:iCs w:val="1"/>
          <w:color w:val="auto"/>
        </w:rPr>
        <w:t xml:space="preserve">Subscription Plan: </w:t>
      </w:r>
      <w:r>
        <w:rPr>
          <w:rFonts w:ascii="Arial" w:cs="Arial" w:eastAsia="Arial" w:hAnsi="Arial"/>
          <w:sz w:val="19"/>
          <w:szCs w:val="19"/>
          <w:color w:val="auto"/>
        </w:rPr>
        <w:t>Comprises our term-based product subscriptions, cloud service offerings, and EBAs. Subscriptions represent a</w:t>
      </w:r>
      <w:r>
        <w:rPr>
          <w:rFonts w:ascii="Arial" w:cs="Arial" w:eastAsia="Arial" w:hAnsi="Arial"/>
          <w:sz w:val="19"/>
          <w:szCs w:val="19"/>
          <w:i w:val="1"/>
          <w:iCs w:val="1"/>
          <w:color w:val="auto"/>
        </w:rPr>
        <w:t xml:space="preserve"> </w:t>
      </w:r>
      <w:r>
        <w:rPr>
          <w:rFonts w:ascii="Arial" w:cs="Arial" w:eastAsia="Arial" w:hAnsi="Arial"/>
          <w:sz w:val="19"/>
          <w:szCs w:val="19"/>
          <w:color w:val="auto"/>
        </w:rPr>
        <w:t>combined hybrid offering of 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Subscription Revenue: </w:t>
      </w:r>
      <w:r>
        <w:rPr>
          <w:rFonts w:ascii="Arial" w:cs="Arial" w:eastAsia="Arial" w:hAnsi="Arial"/>
          <w:sz w:val="19"/>
          <w:szCs w:val="19"/>
          <w:color w:val="auto"/>
        </w:rPr>
        <w:t>Includes our cloud-enabled term-based product subscriptions, cloud service offerings, and flexible EBAs.</w:t>
      </w:r>
    </w:p>
    <w:p>
      <w:pPr>
        <w:spacing w:after="0" w:line="246" w:lineRule="exact"/>
        <w:rPr>
          <w:sz w:val="20"/>
          <w:szCs w:val="20"/>
          <w:color w:val="auto"/>
        </w:rPr>
      </w:pPr>
    </w:p>
    <w:p>
      <w:pPr>
        <w:spacing w:after="0" w:line="256" w:lineRule="auto"/>
        <w:rPr>
          <w:sz w:val="20"/>
          <w:szCs w:val="20"/>
          <w:color w:val="auto"/>
        </w:rPr>
      </w:pPr>
      <w:r>
        <w:rPr>
          <w:rFonts w:ascii="Arial" w:cs="Arial" w:eastAsia="Arial" w:hAnsi="Arial"/>
          <w:sz w:val="19"/>
          <w:szCs w:val="19"/>
          <w:i w:val="1"/>
          <w:iCs w:val="1"/>
          <w:color w:val="auto"/>
        </w:rPr>
        <w:t xml:space="preserve">Unbilled Deferred Revenue: </w:t>
      </w:r>
      <w:r>
        <w:rPr>
          <w:rFonts w:ascii="Arial" w:cs="Arial" w:eastAsia="Arial" w:hAnsi="Arial"/>
          <w:sz w:val="19"/>
          <w:szCs w:val="19"/>
          <w:color w:val="auto"/>
        </w:rPr>
        <w:t>Unbilled deferred revenue represents contractually stated or committed contracts under early renewal and</w:t>
      </w:r>
      <w:r>
        <w:rPr>
          <w:rFonts w:ascii="Arial" w:cs="Arial" w:eastAsia="Arial" w:hAnsi="Arial"/>
          <w:sz w:val="19"/>
          <w:szCs w:val="19"/>
          <w:i w:val="1"/>
          <w:iCs w:val="1"/>
          <w:color w:val="auto"/>
        </w:rPr>
        <w:t xml:space="preserve"> </w:t>
      </w:r>
      <w:r>
        <w:rPr>
          <w:rFonts w:ascii="Arial" w:cs="Arial" w:eastAsia="Arial" w:hAnsi="Arial"/>
          <w:sz w:val="19"/>
          <w:szCs w:val="19"/>
          <w:color w:val="auto"/>
        </w:rPr>
        <w:t>multi-year billing plans for subscription, services, and maintenance for which the associated deferred revenue has not been recognized. Under FASB Accounting Standards Codification ("ASC") Topic 606, unbilled deferred revenue is not included as a receivable or deferred revenue on our Consolidated Balance Sheet.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1124" w:right="339" w:bottom="1440" w:gutter="0" w:footer="0" w:header="0"/>
        </w:sectPr>
      </w:pPr>
    </w:p>
    <w:bookmarkStart w:id="11" w:name="page12"/>
    <w:bookmarkEnd w:id="11"/>
    <w:p>
      <w:pPr>
        <w:spacing w:after="0"/>
        <w:rPr>
          <w:sz w:val="20"/>
          <w:szCs w:val="20"/>
          <w:color w:val="auto"/>
        </w:rPr>
      </w:pPr>
      <w:r>
        <w:rPr>
          <w:rFonts w:ascii="Arial" w:cs="Arial" w:eastAsia="Arial" w:hAnsi="Arial"/>
          <w:sz w:val="19"/>
          <w:szCs w:val="19"/>
          <w:b w:val="1"/>
          <w:bCs w:val="1"/>
          <w:color w:val="auto"/>
        </w:rPr>
        <w:t>Safe Harbor Statement</w:t>
      </w:r>
    </w:p>
    <w:p>
      <w:pPr>
        <w:spacing w:after="0" w:line="241"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T</w:t>
      </w:r>
      <w:r>
        <w:rPr>
          <w:rFonts w:ascii="Arial" w:cs="Arial" w:eastAsia="Arial" w:hAnsi="Arial"/>
          <w:sz w:val="18"/>
          <w:szCs w:val="18"/>
          <w:color w:val="auto"/>
        </w:rPr>
        <w:t>his press release contains forward-looking statements that involve risks and uncertainties, including quotations from management,</w:t>
      </w:r>
      <w:r>
        <w:rPr>
          <w:rFonts w:ascii="Arial" w:cs="Arial" w:eastAsia="Arial" w:hAnsi="Arial"/>
          <w:sz w:val="21"/>
          <w:szCs w:val="21"/>
          <w:color w:val="auto"/>
        </w:rPr>
        <w:t xml:space="preserve"> </w:t>
      </w:r>
      <w:r>
        <w:rPr>
          <w:rFonts w:ascii="Arial" w:cs="Arial" w:eastAsia="Arial" w:hAnsi="Arial"/>
          <w:sz w:val="18"/>
          <w:szCs w:val="18"/>
          <w:color w:val="auto"/>
        </w:rPr>
        <w:t>statements in the paragraphs under “Business Outlook” above, statements about the momentum of our business, our short-term and long-term goals, statements regarding our strategies, market and product positions, performance and results, statements regarding the macroeconomic environment, and all statements that are not historical facts. There are a significant number of factors that could cause actual results to differ materially from statements made in this press release, including: our strategy to develop and introduce new products and services and to move to platforms and capabilities, exposing us to risks such as limited customer acceptance (both new and existing customers), costs related to product defects, and large expenditures; global economic and political conditions, including changes in monetary and fiscal policy, foreign exchange headwinds, recessionary fears, supply chain disruptions, resulting inflationary pressures and hiring conditions; geopolitical tension and armed conflicts, economic and regulatory uncertainty including tariffs and trade wars, and extreme weather events; costs and challenges associated with strategic acquisitions and investments; our ability to successfully implement and expand our transaction model and our sales and marketing optimization; dependency on international revenue and operations, exposing us to significant international regulatory, economic, intellectual property, collections, currency exchange rate, taxation, political, and other risks, including risks related to the war against Ukraine launched by Russia and our exit from Russia and the current conflict between Israel and Hamas; inability to predict subscription renewal rates and their impact on our future revenue and operating results; existing and increased competition and rapidly evolving technological changes; fluctuation of our financial results, key metrics and other operating metrics; our transition from up front to annual billings for multi-year contracts; deriving a substantial portion of our net revenue from a small number of solutions, including our AutoCAD-based software products and collections; any failure to successfully execute and manage initiatives to realign or introduce new business and sales initiatives, including our new transaction model for Flex; net revenue, billings, earnings, cash flow, or new or existing subscriptions shortfalls; social and ethical issues relating to the use of artificial intelligence in our offerings; our ability to maintain security levels and service performance meeting the expectations of our customers, and the resources and costs required to avoid unanticipated downtime and prevent, detect and remediate performance degradation and security breaches; security incidents or other incidents compromising the integrity of our or our customers’ offerings, services, data, or intellectual property; reliance on third parties to provide us with a number of operational and technical services as well as software; our highly complex software, which may contain undetected errors, defects, or vulnerabilities; increasing regulatory focus on privacy issues and expanding laws; governmental export and import controls that could impair our ability to compete in international markets or subject us to liability if we violate the controls; protection of our intellectual property rights and intellectual property infringement claims from others; the government procurement process; fluctuations in currency exchange rates; our debt service obligations; and our investment portfolio consisting of a variety of investment vehicles that are subject to interest rate trends, market volatility, and other economic factors. Our estimates as to tax rate are based on current expectations and our interpretations of existing tax law and could be affected by a variety of factors, including but not limited to the projected geographic mix of earnings, changing interpretations of current tax law, further guidance, and additional tax legislation. Adjustments for the impact of the New Transaction Model are based on management’s estimate giving effect to current period results or projections as if under the prior model. Further information on potential factors that could affect the financial results of Autodesk are included in Autodesk's Form 10-K and subsequent Forms 10-Q, which are on file with the U.S. Securities and Exchange Commission. Autodesk disclaims any obligation to update the forward-looking statements provided to reflect events that occur or circumstances that exist after the date on which they were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892" w:right="339" w:bottom="1440" w:gutter="0" w:footer="0" w:header="0"/>
        </w:sectPr>
      </w:pPr>
    </w:p>
    <w:bookmarkStart w:id="12" w:name="page13"/>
    <w:bookmarkEnd w:id="12"/>
    <w:p>
      <w:pPr>
        <w:spacing w:after="0"/>
        <w:rPr>
          <w:sz w:val="20"/>
          <w:szCs w:val="20"/>
          <w:color w:val="auto"/>
        </w:rPr>
      </w:pPr>
      <w:r>
        <w:rPr>
          <w:rFonts w:ascii="Arial" w:cs="Arial" w:eastAsia="Arial" w:hAnsi="Arial"/>
          <w:sz w:val="19"/>
          <w:szCs w:val="19"/>
          <w:b w:val="1"/>
          <w:bCs w:val="1"/>
          <w:color w:val="auto"/>
        </w:rPr>
        <w:t>About Autodesk</w:t>
      </w:r>
    </w:p>
    <w:p>
      <w:pPr>
        <w:spacing w:after="0" w:line="246" w:lineRule="exact"/>
        <w:rPr>
          <w:sz w:val="20"/>
          <w:szCs w:val="20"/>
          <w:color w:val="auto"/>
        </w:rPr>
      </w:pPr>
    </w:p>
    <w:p>
      <w:pPr>
        <w:ind w:right="260"/>
        <w:spacing w:after="0" w:line="238" w:lineRule="auto"/>
        <w:rPr>
          <w:sz w:val="20"/>
          <w:szCs w:val="20"/>
          <w:color w:val="auto"/>
        </w:rPr>
      </w:pPr>
      <w:r>
        <w:rPr>
          <w:rFonts w:ascii="Arial" w:cs="Arial" w:eastAsia="Arial" w:hAnsi="Arial"/>
          <w:sz w:val="19"/>
          <w:szCs w:val="19"/>
          <w:color w:val="auto"/>
        </w:rPr>
        <w:t>The world’s designers, engineers, builders, and creators trust Autodesk to help them design and make anything. From the buildings we live and work in, to the cars we drive and the bridges we drive over. From the products we use and rely on, to the movies and games that inspire us. Autodesk’s Design and Make Platform unlocks the power of data to accelerate insights and automate processes, empowering our customers with the technology to create the world around us and deliver better outcomes for their business and the planet. For more information, visit autodesk.com or follow @autodesk. #MakeAnything</w:t>
      </w:r>
    </w:p>
    <w:p>
      <w:pPr>
        <w:spacing w:after="0" w:line="206"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color w:val="auto"/>
        </w:rPr>
        <w:t>Autodesk uses its investors.autodesk.com website as a means of disclosing material non-public information, announcing upcoming investor conferences and for complying with its disclosure obligations under Regulation FD. Accordingly, you should monitor our investor relations website in addition to following our press releases, SEC filings and public conference calls and webcasts.</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Autodesk, AutoCAD, AutoCAD LT, BIM 360 and Fusion 360 are trademarks of Autodesk, Inc., and/or its subsidiaries and/or affiliates in the USA and/or other countries. All other brand names, product names or trademarks belong to their respective holders. Autodesk reserves the right to alter product and service offerings, and specifications and pricing at any time without notice, and is not responsible for typographical or graphical errors that may appear in this document.</w:t>
      </w:r>
    </w:p>
    <w:p>
      <w:pPr>
        <w:spacing w:after="0"/>
        <w:rPr>
          <w:sz w:val="20"/>
          <w:szCs w:val="20"/>
          <w:color w:val="auto"/>
        </w:rPr>
      </w:pPr>
      <w:r>
        <w:rPr>
          <w:rFonts w:ascii="Arial" w:cs="Arial" w:eastAsia="Arial" w:hAnsi="Arial"/>
          <w:sz w:val="19"/>
          <w:szCs w:val="19"/>
          <w:color w:val="auto"/>
        </w:rPr>
        <w:t>© 2025 Autodesk, Inc. All rights reserved.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20"/>
          </w:cols>
          <w:pgMar w:left="320" w:top="892" w:right="359" w:bottom="1440" w:gutter="0" w:footer="0" w:header="0"/>
        </w:sectPr>
      </w:pPr>
    </w:p>
    <w:bookmarkStart w:id="13" w:name="page14"/>
    <w:bookmarkEnd w:id="13"/>
    <w:p>
      <w:pPr>
        <w:ind w:left="20"/>
        <w:spacing w:after="0"/>
        <w:rPr>
          <w:sz w:val="20"/>
          <w:szCs w:val="20"/>
          <w:color w:val="auto"/>
        </w:rPr>
      </w:pPr>
      <w:r>
        <w:rPr>
          <w:rFonts w:ascii="Arial" w:cs="Arial" w:eastAsia="Arial" w:hAnsi="Arial"/>
          <w:sz w:val="21"/>
          <w:szCs w:val="21"/>
          <w:b w:val="1"/>
          <w:bCs w:val="1"/>
          <w:color w:val="auto"/>
        </w:rPr>
        <w:t>Autodesk, Inc.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Consolidated Statements of Operations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(In millions, except per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October 31,</w:t>
            </w:r>
          </w:p>
        </w:tc>
        <w:tc>
          <w:tcPr>
            <w:tcW w:w="1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Nine Months Ended Octob</w:t>
            </w:r>
          </w:p>
        </w:tc>
        <w:tc>
          <w:tcPr>
            <w:tcW w:w="0" w:type="dxa"/>
            <w:vAlign w:val="bottom"/>
          </w:tcPr>
          <w:p>
            <w:pPr>
              <w:spacing w:after="0"/>
              <w:rPr>
                <w:sz w:val="1"/>
                <w:szCs w:val="1"/>
                <w:color w:val="auto"/>
              </w:rPr>
            </w:pPr>
          </w:p>
        </w:tc>
      </w:tr>
      <w:tr>
        <w:trPr>
          <w:trHeight w:val="199"/>
        </w:trPr>
        <w:tc>
          <w:tcPr>
            <w:tcW w:w="6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w:t>
            </w:r>
          </w:p>
        </w:tc>
        <w:tc>
          <w:tcPr>
            <w:tcW w:w="0" w:type="dxa"/>
            <w:vAlign w:val="bottom"/>
          </w:tcPr>
          <w:p>
            <w:pPr>
              <w:spacing w:after="0"/>
              <w:rPr>
                <w:sz w:val="1"/>
                <w:szCs w:val="1"/>
                <w:color w:val="auto"/>
              </w:rPr>
            </w:pPr>
          </w:p>
        </w:tc>
      </w:tr>
      <w:tr>
        <w:trPr>
          <w:trHeight w:val="186"/>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3"/>
          </w:tcPr>
          <w:p>
            <w:pPr>
              <w:jc w:val="right"/>
              <w:ind w:right="25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20"/>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0" w:type="dxa"/>
            <w:vAlign w:val="bottom"/>
          </w:tcPr>
          <w:p>
            <w:pPr>
              <w:ind w:left="320"/>
              <w:spacing w:after="0"/>
              <w:rPr>
                <w:sz w:val="20"/>
                <w:szCs w:val="20"/>
                <w:color w:val="auto"/>
              </w:rPr>
            </w:pPr>
            <w:r>
              <w:rPr>
                <w:rFonts w:ascii="Arial" w:cs="Arial" w:eastAsia="Arial" w:hAnsi="Arial"/>
                <w:sz w:val="17"/>
                <w:szCs w:val="17"/>
                <w:color w:val="auto"/>
              </w:rPr>
              <w:t>Subscription</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1,734</w:t>
            </w:r>
          </w:p>
        </w:tc>
        <w:tc>
          <w:tcPr>
            <w:tcW w:w="10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1,457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4,924</w:t>
            </w:r>
          </w:p>
        </w:tc>
        <w:tc>
          <w:tcPr>
            <w:tcW w:w="100" w:type="dxa"/>
            <w:vAlign w:val="bottom"/>
          </w:tcPr>
          <w:p>
            <w:pPr>
              <w:spacing w:after="0"/>
              <w:rPr>
                <w:sz w:val="19"/>
                <w:szCs w:val="19"/>
                <w:color w:val="auto"/>
              </w:rPr>
            </w:pPr>
          </w:p>
        </w:tc>
        <w:tc>
          <w:tcPr>
            <w:tcW w:w="660" w:type="dxa"/>
            <w:vAlign w:val="bottom"/>
          </w:tcPr>
          <w:p>
            <w:pPr>
              <w:jc w:val="right"/>
              <w:ind w:right="45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Maintenance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200" w:type="dxa"/>
            <w:vAlign w:val="bottom"/>
          </w:tcPr>
          <w:p>
            <w:pPr>
              <w:ind w:left="320"/>
              <w:spacing w:after="0"/>
              <w:rPr>
                <w:sz w:val="20"/>
                <w:szCs w:val="20"/>
                <w:color w:val="auto"/>
              </w:rPr>
            </w:pPr>
            <w:r>
              <w:rPr>
                <w:rFonts w:ascii="Arial" w:cs="Arial" w:eastAsia="Arial" w:hAnsi="Arial"/>
                <w:sz w:val="17"/>
                <w:szCs w:val="17"/>
                <w:color w:val="auto"/>
              </w:rPr>
              <w:t>Total subscription and maintenance revenue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4,949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200" w:type="dxa"/>
            <w:vAlign w:val="bottom"/>
          </w:tcPr>
          <w:p>
            <w:pPr>
              <w:ind w:left="640"/>
              <w:spacing w:after="0"/>
              <w:rPr>
                <w:sz w:val="20"/>
                <w:szCs w:val="20"/>
                <w:color w:val="auto"/>
              </w:rPr>
            </w:pPr>
            <w:r>
              <w:rPr>
                <w:rFonts w:ascii="Arial" w:cs="Arial" w:eastAsia="Arial" w:hAnsi="Arial"/>
                <w:sz w:val="17"/>
                <w:szCs w:val="17"/>
                <w:color w:val="auto"/>
              </w:rPr>
              <w:t>Total net revenue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5,249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0" w:type="dxa"/>
            <w:vAlign w:val="bottom"/>
          </w:tcPr>
          <w:p>
            <w:pPr>
              <w:ind w:left="320"/>
              <w:spacing w:after="0"/>
              <w:rPr>
                <w:sz w:val="20"/>
                <w:szCs w:val="20"/>
                <w:color w:val="auto"/>
              </w:rPr>
            </w:pPr>
            <w:r>
              <w:rPr>
                <w:rFonts w:ascii="Arial" w:cs="Arial" w:eastAsia="Arial" w:hAnsi="Arial"/>
                <w:sz w:val="17"/>
                <w:szCs w:val="17"/>
                <w:color w:val="auto"/>
              </w:rPr>
              <w:t>Cost of subscription and maintenance revenue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other revenue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Amortization of developed technologies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2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cost of revenue</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0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4,765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0" w:type="dxa"/>
            <w:vAlign w:val="bottom"/>
          </w:tcPr>
          <w:p>
            <w:pPr>
              <w:ind w:left="320"/>
              <w:spacing w:after="0"/>
              <w:rPr>
                <w:sz w:val="20"/>
                <w:szCs w:val="20"/>
                <w:color w:val="auto"/>
              </w:rPr>
            </w:pPr>
            <w:r>
              <w:rPr>
                <w:rFonts w:ascii="Arial" w:cs="Arial" w:eastAsia="Arial" w:hAnsi="Arial"/>
                <w:sz w:val="17"/>
                <w:szCs w:val="17"/>
                <w:color w:val="auto"/>
              </w:rPr>
              <w:t>Marketing and sales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1,737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0" w:type="dxa"/>
            <w:vAlign w:val="bottom"/>
          </w:tcPr>
          <w:p>
            <w:pPr>
              <w:ind w:left="320"/>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purchased intangibles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0" w:type="dxa"/>
            <w:vAlign w:val="bottom"/>
          </w:tcPr>
          <w:p>
            <w:pPr>
              <w:ind w:left="320"/>
              <w:spacing w:after="0"/>
              <w:rPr>
                <w:sz w:val="20"/>
                <w:szCs w:val="20"/>
                <w:color w:val="auto"/>
              </w:rPr>
            </w:pPr>
            <w:r>
              <w:rPr>
                <w:rFonts w:ascii="Arial" w:cs="Arial" w:eastAsia="Arial" w:hAnsi="Arial"/>
                <w:sz w:val="17"/>
                <w:szCs w:val="17"/>
                <w:color w:val="auto"/>
              </w:rPr>
              <w:t>Restructuring, other exit costs, and facility reductions</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20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1,218</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3,618</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20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1,147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(loss) income, net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20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1,158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2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808</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right"/>
              <w:ind w:right="45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Basic net income per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Diluted net income per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0" w:type="dxa"/>
            <w:vAlign w:val="bottom"/>
            <w:vMerge w:val="continue"/>
          </w:tcPr>
          <w:p>
            <w:pPr>
              <w:spacing w:after="0"/>
              <w:rPr>
                <w:sz w:val="16"/>
                <w:szCs w:val="16"/>
                <w:color w:val="auto"/>
              </w:rPr>
            </w:pPr>
          </w:p>
        </w:tc>
        <w:tc>
          <w:tcPr>
            <w:tcW w:w="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1.60</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74"/>
              <w:spacing w:after="0" w:line="191"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1.27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3.76</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ind w:right="458"/>
              <w:spacing w:after="0" w:line="191"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shares used in computing basic net income per share</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Weighted average shares used in computing diluted net income per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215</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217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215</w:t>
            </w: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720"/>
          </w:cols>
          <w:pgMar w:left="940" w:top="1248" w:right="239" w:bottom="1440" w:gutter="0" w:footer="0" w:header="0"/>
        </w:sectPr>
      </w:pPr>
    </w:p>
    <w:bookmarkStart w:id="14" w:name="page15"/>
    <w:bookmarkEnd w:id="14"/>
    <w:p>
      <w:pPr>
        <w:ind w:left="20"/>
        <w:spacing w:after="0"/>
        <w:rPr>
          <w:sz w:val="20"/>
          <w:szCs w:val="20"/>
          <w:color w:val="auto"/>
        </w:rPr>
      </w:pPr>
      <w:r>
        <w:rPr>
          <w:rFonts w:ascii="Arial" w:cs="Arial" w:eastAsia="Arial" w:hAnsi="Arial"/>
          <w:sz w:val="21"/>
          <w:szCs w:val="21"/>
          <w:b w:val="1"/>
          <w:bCs w:val="1"/>
          <w:color w:val="auto"/>
        </w:rPr>
        <w:t>Autodesk, Inc.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October 31, 2025</w:t>
            </w: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January 31, 2025</w:t>
            </w:r>
          </w:p>
        </w:tc>
        <w:tc>
          <w:tcPr>
            <w:tcW w:w="0" w:type="dxa"/>
            <w:vAlign w:val="bottom"/>
          </w:tcPr>
          <w:p>
            <w:pPr>
              <w:spacing w:after="0"/>
              <w:rPr>
                <w:sz w:val="1"/>
                <w:szCs w:val="1"/>
                <w:color w:val="auto"/>
              </w:rPr>
            </w:pPr>
          </w:p>
        </w:tc>
      </w:tr>
      <w:tr>
        <w:trPr>
          <w:trHeight w:val="186"/>
        </w:trPr>
        <w:tc>
          <w:tcPr>
            <w:tcW w:w="7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gridSpan w:val="4"/>
          </w:tcPr>
          <w:p>
            <w:pPr>
              <w:jc w:val="right"/>
              <w:ind w:right="1215"/>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3600"/>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1,599</w:t>
            </w:r>
          </w:p>
        </w:tc>
        <w:tc>
          <w:tcPr>
            <w:tcW w:w="0" w:type="dxa"/>
            <w:vAlign w:val="bottom"/>
          </w:tcPr>
          <w:p>
            <w:pPr>
              <w:spacing w:after="0"/>
              <w:rPr>
                <w:sz w:val="1"/>
                <w:szCs w:val="1"/>
                <w:color w:val="auto"/>
              </w:rPr>
            </w:pPr>
          </w:p>
        </w:tc>
      </w:tr>
      <w:tr>
        <w:trPr>
          <w:trHeight w:val="219"/>
        </w:trPr>
        <w:tc>
          <w:tcPr>
            <w:tcW w:w="7880" w:type="dxa"/>
            <w:vAlign w:val="bottom"/>
          </w:tcPr>
          <w:p>
            <w:pPr>
              <w:ind w:left="320"/>
              <w:spacing w:after="0"/>
              <w:rPr>
                <w:sz w:val="20"/>
                <w:szCs w:val="20"/>
                <w:color w:val="auto"/>
              </w:rPr>
            </w:pPr>
            <w:r>
              <w:rPr>
                <w:rFonts w:ascii="Arial" w:cs="Arial" w:eastAsia="Arial" w:hAnsi="Arial"/>
                <w:sz w:val="17"/>
                <w:szCs w:val="17"/>
                <w:color w:val="auto"/>
              </w:rPr>
              <w:t>Marketable securities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receivable, net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w:t>
            </w: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588</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3,482</w:t>
            </w:r>
          </w:p>
        </w:tc>
        <w:tc>
          <w:tcPr>
            <w:tcW w:w="0" w:type="dxa"/>
            <w:vAlign w:val="bottom"/>
          </w:tcPr>
          <w:p>
            <w:pPr>
              <w:spacing w:after="0"/>
              <w:rPr>
                <w:sz w:val="1"/>
                <w:szCs w:val="1"/>
                <w:color w:val="auto"/>
              </w:rPr>
            </w:pPr>
          </w:p>
        </w:tc>
      </w:tr>
      <w:tr>
        <w:trPr>
          <w:trHeight w:val="212"/>
        </w:trPr>
        <w:tc>
          <w:tcPr>
            <w:tcW w:w="7880" w:type="dxa"/>
            <w:vAlign w:val="bottom"/>
          </w:tcPr>
          <w:p>
            <w:pPr>
              <w:ind w:left="20"/>
              <w:spacing w:after="0"/>
              <w:rPr>
                <w:sz w:val="20"/>
                <w:szCs w:val="20"/>
                <w:color w:val="auto"/>
              </w:rPr>
            </w:pPr>
            <w:r>
              <w:rPr>
                <w:rFonts w:ascii="Arial" w:cs="Arial" w:eastAsia="Arial" w:hAnsi="Arial"/>
                <w:sz w:val="17"/>
                <w:szCs w:val="17"/>
                <w:color w:val="auto"/>
              </w:rPr>
              <w:t>Long-term marketable securities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 software, furniture and leasehold improvements, net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169</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4,278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4,242</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 net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1,205</w:t>
            </w: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other assets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10,833</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120"/>
              <w:spacing w:after="0"/>
              <w:rPr>
                <w:sz w:val="20"/>
                <w:szCs w:val="20"/>
                <w:color w:val="auto"/>
              </w:rPr>
            </w:pPr>
            <w:r>
              <w:rPr>
                <w:rFonts w:ascii="Arial" w:cs="Arial" w:eastAsia="Arial" w:hAnsi="Arial"/>
                <w:sz w:val="17"/>
                <w:szCs w:val="17"/>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8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384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compensation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w:t>
            </w:r>
          </w:p>
        </w:tc>
        <w:tc>
          <w:tcPr>
            <w:tcW w:w="0" w:type="dxa"/>
            <w:vAlign w:val="bottom"/>
          </w:tcPr>
          <w:p>
            <w:pPr>
              <w:spacing w:after="0"/>
              <w:rPr>
                <w:sz w:val="1"/>
                <w:szCs w:val="1"/>
                <w:color w:val="auto"/>
              </w:rPr>
            </w:pPr>
          </w:p>
        </w:tc>
      </w:tr>
      <w:tr>
        <w:trPr>
          <w:trHeight w:val="219"/>
        </w:trPr>
        <w:tc>
          <w:tcPr>
            <w:tcW w:w="7880" w:type="dxa"/>
            <w:vAlign w:val="bottom"/>
          </w:tcPr>
          <w:p>
            <w:pPr>
              <w:ind w:left="320"/>
              <w:spacing w:after="0"/>
              <w:rPr>
                <w:sz w:val="20"/>
                <w:szCs w:val="20"/>
                <w:color w:val="auto"/>
              </w:rPr>
            </w:pPr>
            <w:r>
              <w:rPr>
                <w:rFonts w:ascii="Arial" w:cs="Arial" w:eastAsia="Arial" w:hAnsi="Arial"/>
                <w:sz w:val="17"/>
                <w:szCs w:val="17"/>
                <w:color w:val="auto"/>
              </w:rPr>
              <w:t>Accrued income taxes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3,787</w:t>
            </w:r>
          </w:p>
        </w:tc>
        <w:tc>
          <w:tcPr>
            <w:tcW w:w="0" w:type="dxa"/>
            <w:vAlign w:val="bottom"/>
          </w:tcPr>
          <w:p>
            <w:pPr>
              <w:spacing w:after="0"/>
              <w:rPr>
                <w:sz w:val="1"/>
                <w:szCs w:val="1"/>
                <w:color w:val="auto"/>
              </w:rPr>
            </w:pPr>
          </w:p>
        </w:tc>
      </w:tr>
      <w:tr>
        <w:trPr>
          <w:trHeight w:val="219"/>
        </w:trPr>
        <w:tc>
          <w:tcPr>
            <w:tcW w:w="7880" w:type="dxa"/>
            <w:vAlign w:val="bottom"/>
          </w:tcPr>
          <w:p>
            <w:pPr>
              <w:ind w:left="320"/>
              <w:spacing w:after="0"/>
              <w:rPr>
                <w:sz w:val="20"/>
                <w:szCs w:val="20"/>
                <w:color w:val="auto"/>
              </w:rPr>
            </w:pPr>
            <w:r>
              <w:rPr>
                <w:rFonts w:ascii="Arial" w:cs="Arial" w:eastAsia="Arial" w:hAnsi="Arial"/>
                <w:sz w:val="17"/>
                <w:szCs w:val="17"/>
                <w:color w:val="auto"/>
              </w:rPr>
              <w:t>Operating lease liabilities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Current portion of long-term notes payable, net</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accrued liabilities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5,151</w:t>
            </w:r>
          </w:p>
        </w:tc>
        <w:tc>
          <w:tcPr>
            <w:tcW w:w="0" w:type="dxa"/>
            <w:vAlign w:val="bottom"/>
          </w:tcPr>
          <w:p>
            <w:pPr>
              <w:spacing w:after="0"/>
              <w:rPr>
                <w:sz w:val="1"/>
                <w:szCs w:val="1"/>
                <w:color w:val="auto"/>
              </w:rPr>
            </w:pPr>
          </w:p>
        </w:tc>
      </w:tr>
      <w:tr>
        <w:trPr>
          <w:trHeight w:val="212"/>
        </w:trPr>
        <w:tc>
          <w:tcPr>
            <w:tcW w:w="7880" w:type="dxa"/>
            <w:vAlign w:val="bottom"/>
          </w:tcPr>
          <w:p>
            <w:pPr>
              <w:ind w:left="20"/>
              <w:spacing w:after="0"/>
              <w:rPr>
                <w:sz w:val="20"/>
                <w:szCs w:val="20"/>
                <w:color w:val="auto"/>
              </w:rPr>
            </w:pPr>
            <w:r>
              <w:rPr>
                <w:rFonts w:ascii="Arial" w:cs="Arial" w:eastAsia="Arial" w:hAnsi="Arial"/>
                <w:sz w:val="17"/>
                <w:szCs w:val="17"/>
                <w:color w:val="auto"/>
              </w:rPr>
              <w:t>Long-term deferred revenue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Arial" w:cs="Arial" w:eastAsia="Arial" w:hAnsi="Arial"/>
                <w:sz w:val="17"/>
                <w:szCs w:val="17"/>
                <w:color w:val="auto"/>
              </w:rPr>
              <w:t>Long-term income taxes payable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deferred income taxes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Arial" w:cs="Arial" w:eastAsia="Arial" w:hAnsi="Arial"/>
                <w:sz w:val="17"/>
                <w:szCs w:val="17"/>
                <w:color w:val="auto"/>
              </w:rPr>
              <w:t>Long-term notes payable, net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2,482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1,987</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other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Common stock and additional paid-in capital</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4,239</w:t>
            </w:r>
          </w:p>
        </w:tc>
        <w:tc>
          <w:tcPr>
            <w:tcW w:w="0" w:type="dxa"/>
            <w:vAlign w:val="bottom"/>
          </w:tcPr>
          <w:p>
            <w:pPr>
              <w:spacing w:after="0"/>
              <w:rPr>
                <w:sz w:val="1"/>
                <w:szCs w:val="1"/>
                <w:color w:val="auto"/>
              </w:rPr>
            </w:pPr>
          </w:p>
        </w:tc>
      </w:tr>
      <w:tr>
        <w:trPr>
          <w:trHeight w:val="219"/>
        </w:trPr>
        <w:tc>
          <w:tcPr>
            <w:tcW w:w="7880" w:type="dxa"/>
            <w:vAlign w:val="bottom"/>
          </w:tcPr>
          <w:p>
            <w:pPr>
              <w:ind w:left="32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12"/>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stockholders’ equity</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2,621</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10,833</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016"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1"/>
          <w:szCs w:val="21"/>
          <w:b w:val="1"/>
          <w:bCs w:val="1"/>
          <w:color w:val="auto"/>
        </w:rPr>
        <w:t>Autodesk, Inc.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auto"/>
        </w:rPr>
        <w:t>Condensed Consolidated Statements of Cash Flows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4"/>
                <w:szCs w:val="14"/>
                <w:b w:val="1"/>
                <w:bCs w:val="1"/>
                <w:color w:val="auto"/>
              </w:rPr>
              <w:t>Nine Months Ended October 31,</w:t>
            </w:r>
          </w:p>
        </w:tc>
      </w:tr>
      <w:tr>
        <w:trPr>
          <w:trHeight w:val="186"/>
        </w:trPr>
        <w:tc>
          <w:tcPr>
            <w:tcW w:w="8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2024</w:t>
            </w:r>
          </w:p>
        </w:tc>
      </w:tr>
      <w:tr>
        <w:trPr>
          <w:trHeight w:val="186"/>
        </w:trPr>
        <w:tc>
          <w:tcPr>
            <w:tcW w:w="8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6"/>
                <w:szCs w:val="16"/>
                <w:color w:val="auto"/>
              </w:rPr>
            </w:pPr>
          </w:p>
        </w:tc>
      </w:tr>
      <w:tr>
        <w:trPr>
          <w:trHeight w:val="220"/>
        </w:trPr>
        <w:tc>
          <w:tcPr>
            <w:tcW w:w="8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8540" w:type="dxa"/>
            <w:vAlign w:val="bottom"/>
          </w:tcPr>
          <w:p>
            <w:pPr>
              <w:ind w:left="320"/>
              <w:spacing w:after="0"/>
              <w:rPr>
                <w:sz w:val="20"/>
                <w:szCs w:val="20"/>
                <w:color w:val="auto"/>
              </w:rPr>
            </w:pPr>
            <w:r>
              <w:rPr>
                <w:rFonts w:ascii="Arial" w:cs="Arial" w:eastAsia="Arial" w:hAnsi="Arial"/>
                <w:sz w:val="17"/>
                <w:szCs w:val="17"/>
                <w:color w:val="auto"/>
              </w:rPr>
              <w:t>Net income</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808</w:t>
            </w:r>
          </w:p>
        </w:tc>
        <w:tc>
          <w:tcPr>
            <w:tcW w:w="12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809</w:t>
            </w:r>
          </w:p>
        </w:tc>
      </w:tr>
      <w:tr>
        <w:trPr>
          <w:trHeight w:val="219"/>
        </w:trPr>
        <w:tc>
          <w:tcPr>
            <w:tcW w:w="8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8540" w:type="dxa"/>
            <w:vAlign w:val="bottom"/>
          </w:tcPr>
          <w:p>
            <w:pPr>
              <w:ind w:left="640"/>
              <w:spacing w:after="0"/>
              <w:rPr>
                <w:sz w:val="20"/>
                <w:szCs w:val="20"/>
                <w:color w:val="auto"/>
              </w:rPr>
            </w:pPr>
            <w:r>
              <w:rPr>
                <w:rFonts w:ascii="Arial" w:cs="Arial" w:eastAsia="Arial" w:hAnsi="Arial"/>
                <w:sz w:val="17"/>
                <w:szCs w:val="17"/>
                <w:color w:val="auto"/>
              </w:rPr>
              <w:t>Depreciation, amortization and accretion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219"/>
        </w:trPr>
        <w:tc>
          <w:tcPr>
            <w:tcW w:w="85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Stock-based compensation expense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r>
      <w:tr>
        <w:trPr>
          <w:trHeight w:val="219"/>
        </w:trPr>
        <w:tc>
          <w:tcPr>
            <w:tcW w:w="8540" w:type="dxa"/>
            <w:vAlign w:val="bottom"/>
          </w:tcPr>
          <w:p>
            <w:pPr>
              <w:ind w:left="640"/>
              <w:spacing w:after="0"/>
              <w:rPr>
                <w:sz w:val="20"/>
                <w:szCs w:val="20"/>
                <w:color w:val="auto"/>
              </w:rPr>
            </w:pPr>
            <w:r>
              <w:rPr>
                <w:rFonts w:ascii="Arial" w:cs="Arial" w:eastAsia="Arial" w:hAnsi="Arial"/>
                <w:sz w:val="17"/>
                <w:szCs w:val="17"/>
                <w:color w:val="auto"/>
              </w:rPr>
              <w:t>Amortization of costs to obtain a contract with a customer</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19"/>
        </w:trPr>
        <w:tc>
          <w:tcPr>
            <w:tcW w:w="85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Deferred income taxes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9"/>
        </w:trPr>
        <w:tc>
          <w:tcPr>
            <w:tcW w:w="8540" w:type="dxa"/>
            <w:vAlign w:val="bottom"/>
          </w:tcPr>
          <w:p>
            <w:pPr>
              <w:ind w:left="640"/>
              <w:spacing w:after="0"/>
              <w:rPr>
                <w:sz w:val="20"/>
                <w:szCs w:val="20"/>
                <w:color w:val="auto"/>
              </w:rPr>
            </w:pPr>
            <w:r>
              <w:rPr>
                <w:rFonts w:ascii="Arial" w:cs="Arial" w:eastAsia="Arial" w:hAnsi="Arial"/>
                <w:sz w:val="17"/>
                <w:szCs w:val="17"/>
                <w:color w:val="auto"/>
              </w:rPr>
              <w:t>Restructuring, other exit costs, and facility reductions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85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Other</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9"/>
        </w:trPr>
        <w:tc>
          <w:tcPr>
            <w:tcW w:w="8540" w:type="dxa"/>
            <w:vAlign w:val="bottom"/>
          </w:tcPr>
          <w:p>
            <w:pPr>
              <w:ind w:left="320"/>
              <w:spacing w:after="0"/>
              <w:rPr>
                <w:sz w:val="20"/>
                <w:szCs w:val="20"/>
                <w:color w:val="auto"/>
              </w:rPr>
            </w:pPr>
            <w:r>
              <w:rPr>
                <w:rFonts w:ascii="Arial" w:cs="Arial" w:eastAsia="Arial" w:hAnsi="Arial"/>
                <w:sz w:val="17"/>
                <w:szCs w:val="17"/>
                <w:color w:val="auto"/>
              </w:rPr>
              <w:t>Changes in operating assets and liabilities, net of business combinations: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85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Accounts receivable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r>
      <w:tr>
        <w:trPr>
          <w:trHeight w:val="219"/>
        </w:trPr>
        <w:tc>
          <w:tcPr>
            <w:tcW w:w="8540" w:type="dxa"/>
            <w:vAlign w:val="bottom"/>
          </w:tcPr>
          <w:p>
            <w:pPr>
              <w:ind w:left="640"/>
              <w:spacing w:after="0"/>
              <w:rPr>
                <w:sz w:val="20"/>
                <w:szCs w:val="20"/>
                <w:color w:val="auto"/>
              </w:rPr>
            </w:pPr>
            <w:r>
              <w:rPr>
                <w:rFonts w:ascii="Arial" w:cs="Arial" w:eastAsia="Arial" w:hAnsi="Arial"/>
                <w:sz w:val="17"/>
                <w:szCs w:val="17"/>
                <w:color w:val="auto"/>
              </w:rPr>
              <w:t>Prepaid expenses and other assets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(819)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(221)</w:t>
            </w:r>
          </w:p>
        </w:tc>
      </w:tr>
      <w:tr>
        <w:trPr>
          <w:trHeight w:val="219"/>
        </w:trPr>
        <w:tc>
          <w:tcPr>
            <w:tcW w:w="85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Accounts payable and other liabilities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9"/>
        </w:trPr>
        <w:tc>
          <w:tcPr>
            <w:tcW w:w="8540" w:type="dxa"/>
            <w:vAlign w:val="bottom"/>
          </w:tcPr>
          <w:p>
            <w:pPr>
              <w:ind w:left="640"/>
              <w:spacing w:after="0"/>
              <w:rPr>
                <w:sz w:val="20"/>
                <w:szCs w:val="20"/>
                <w:color w:val="auto"/>
              </w:rPr>
            </w:pPr>
            <w:r>
              <w:rPr>
                <w:rFonts w:ascii="Arial" w:cs="Arial" w:eastAsia="Arial" w:hAnsi="Arial"/>
                <w:sz w:val="17"/>
                <w:szCs w:val="17"/>
                <w:color w:val="auto"/>
              </w:rPr>
              <w:t>Deferred revenue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(612)</w:t>
            </w:r>
          </w:p>
        </w:tc>
      </w:tr>
      <w:tr>
        <w:trPr>
          <w:trHeight w:val="219"/>
        </w:trPr>
        <w:tc>
          <w:tcPr>
            <w:tcW w:w="85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Accrued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12"/>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915</w:t>
            </w:r>
          </w:p>
        </w:tc>
      </w:tr>
      <w:tr>
        <w:trPr>
          <w:trHeight w:val="199"/>
        </w:trPr>
        <w:tc>
          <w:tcPr>
            <w:tcW w:w="8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Investing activities: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9"/>
        </w:trPr>
        <w:tc>
          <w:tcPr>
            <w:tcW w:w="8540" w:type="dxa"/>
            <w:vAlign w:val="bottom"/>
          </w:tcPr>
          <w:p>
            <w:pPr>
              <w:ind w:left="320"/>
              <w:spacing w:after="0"/>
              <w:rPr>
                <w:sz w:val="20"/>
                <w:szCs w:val="20"/>
                <w:color w:val="auto"/>
              </w:rPr>
            </w:pPr>
            <w:r>
              <w:rPr>
                <w:rFonts w:ascii="Arial" w:cs="Arial" w:eastAsia="Arial" w:hAnsi="Arial"/>
                <w:sz w:val="17"/>
                <w:szCs w:val="17"/>
                <w:color w:val="auto"/>
              </w:rPr>
              <w:t>Purchases of marketable securities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(632)</w:t>
            </w:r>
          </w:p>
        </w:tc>
      </w:tr>
      <w:tr>
        <w:trPr>
          <w:trHeight w:val="219"/>
        </w:trPr>
        <w:tc>
          <w:tcPr>
            <w:tcW w:w="8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maturities of marketable securities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w:t>
            </w:r>
          </w:p>
        </w:tc>
      </w:tr>
      <w:tr>
        <w:trPr>
          <w:trHeight w:val="219"/>
        </w:trPr>
        <w:tc>
          <w:tcPr>
            <w:tcW w:w="8540" w:type="dxa"/>
            <w:vAlign w:val="bottom"/>
          </w:tcPr>
          <w:p>
            <w:pPr>
              <w:ind w:left="320"/>
              <w:spacing w:after="0"/>
              <w:rPr>
                <w:sz w:val="20"/>
                <w:szCs w:val="20"/>
                <w:color w:val="auto"/>
              </w:rPr>
            </w:pPr>
            <w:r>
              <w:rPr>
                <w:rFonts w:ascii="Arial" w:cs="Arial" w:eastAsia="Arial" w:hAnsi="Arial"/>
                <w:sz w:val="17"/>
                <w:szCs w:val="17"/>
                <w:color w:val="auto"/>
              </w:rPr>
              <w:t>Capital expenditures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9"/>
        </w:trPr>
        <w:tc>
          <w:tcPr>
            <w:tcW w:w="8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Purchases of intangible assets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19"/>
        </w:trPr>
        <w:tc>
          <w:tcPr>
            <w:tcW w:w="8540" w:type="dxa"/>
            <w:vAlign w:val="bottom"/>
          </w:tcPr>
          <w:p>
            <w:pPr>
              <w:ind w:left="320"/>
              <w:spacing w:after="0"/>
              <w:rPr>
                <w:sz w:val="20"/>
                <w:szCs w:val="20"/>
                <w:color w:val="auto"/>
              </w:rPr>
            </w:pPr>
            <w:r>
              <w:rPr>
                <w:rFonts w:ascii="Arial" w:cs="Arial" w:eastAsia="Arial" w:hAnsi="Arial"/>
                <w:sz w:val="17"/>
                <w:szCs w:val="17"/>
                <w:color w:val="auto"/>
              </w:rPr>
              <w:t>Business combinations, net of cash acquired</w:t>
            </w:r>
          </w:p>
        </w:tc>
        <w:tc>
          <w:tcPr>
            <w:tcW w:w="2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(801)</w:t>
            </w:r>
          </w:p>
        </w:tc>
      </w:tr>
      <w:tr>
        <w:trPr>
          <w:trHeight w:val="219"/>
        </w:trPr>
        <w:tc>
          <w:tcPr>
            <w:tcW w:w="8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2"/>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(836)</w:t>
            </w:r>
          </w:p>
        </w:tc>
      </w:tr>
      <w:tr>
        <w:trPr>
          <w:trHeight w:val="199"/>
        </w:trPr>
        <w:tc>
          <w:tcPr>
            <w:tcW w:w="8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9"/>
        </w:trPr>
        <w:tc>
          <w:tcPr>
            <w:tcW w:w="8540" w:type="dxa"/>
            <w:vAlign w:val="bottom"/>
          </w:tcPr>
          <w:p>
            <w:pPr>
              <w:ind w:left="320"/>
              <w:spacing w:after="0"/>
              <w:rPr>
                <w:sz w:val="20"/>
                <w:szCs w:val="20"/>
                <w:color w:val="auto"/>
              </w:rPr>
            </w:pPr>
            <w:r>
              <w:rPr>
                <w:rFonts w:ascii="Arial" w:cs="Arial" w:eastAsia="Arial" w:hAnsi="Arial"/>
                <w:sz w:val="17"/>
                <w:szCs w:val="17"/>
                <w:color w:val="auto"/>
              </w:rPr>
              <w:t>Proceeds from issuance of common stock, net of issuance costs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19"/>
        </w:trPr>
        <w:tc>
          <w:tcPr>
            <w:tcW w:w="8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Taxes paid related to net share settlement of equity awards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r>
      <w:tr>
        <w:trPr>
          <w:trHeight w:val="219"/>
        </w:trPr>
        <w:tc>
          <w:tcPr>
            <w:tcW w:w="8540" w:type="dxa"/>
            <w:vAlign w:val="bottom"/>
          </w:tcPr>
          <w:p>
            <w:pPr>
              <w:ind w:left="320"/>
              <w:spacing w:after="0"/>
              <w:rPr>
                <w:sz w:val="20"/>
                <w:szCs w:val="20"/>
                <w:color w:val="auto"/>
              </w:rPr>
            </w:pPr>
            <w:r>
              <w:rPr>
                <w:rFonts w:ascii="Arial" w:cs="Arial" w:eastAsia="Arial" w:hAnsi="Arial"/>
                <w:sz w:val="17"/>
                <w:szCs w:val="17"/>
                <w:color w:val="auto"/>
              </w:rPr>
              <w:t>Repurchases of common stock</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(443)</w:t>
            </w:r>
          </w:p>
        </w:tc>
      </w:tr>
      <w:tr>
        <w:trPr>
          <w:trHeight w:val="219"/>
        </w:trPr>
        <w:tc>
          <w:tcPr>
            <w:tcW w:w="8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debt, net of discount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8540" w:type="dxa"/>
            <w:vAlign w:val="bottom"/>
          </w:tcPr>
          <w:p>
            <w:pPr>
              <w:ind w:left="320"/>
              <w:spacing w:after="0"/>
              <w:rPr>
                <w:sz w:val="20"/>
                <w:szCs w:val="20"/>
                <w:color w:val="auto"/>
              </w:rPr>
            </w:pPr>
            <w:r>
              <w:rPr>
                <w:rFonts w:ascii="Arial" w:cs="Arial" w:eastAsia="Arial" w:hAnsi="Arial"/>
                <w:sz w:val="17"/>
                <w:szCs w:val="17"/>
                <w:color w:val="auto"/>
              </w:rPr>
              <w:t>Repayment of debt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8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8540" w:type="dxa"/>
            <w:vAlign w:val="bottom"/>
            <w:tcBorders>
              <w:bottom w:val="single" w:sz="8" w:color="CCEEFF"/>
            </w:tcBorders>
          </w:tcPr>
          <w:p>
            <w:pPr>
              <w:ind w:left="720"/>
              <w:spacing w:after="0"/>
              <w:rPr>
                <w:sz w:val="20"/>
                <w:szCs w:val="20"/>
                <w:color w:val="auto"/>
              </w:rPr>
            </w:pPr>
            <w:r>
              <w:rPr>
                <w:rFonts w:ascii="Arial" w:cs="Arial" w:eastAsia="Arial" w:hAnsi="Arial"/>
                <w:sz w:val="17"/>
                <w:szCs w:val="17"/>
                <w:color w:val="auto"/>
              </w:rPr>
              <w:t>Net cash used in financing activities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(530)</w:t>
            </w:r>
          </w:p>
        </w:tc>
      </w:tr>
      <w:tr>
        <w:trPr>
          <w:trHeight w:val="212"/>
        </w:trPr>
        <w:tc>
          <w:tcPr>
            <w:tcW w:w="8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9"/>
        </w:trPr>
        <w:tc>
          <w:tcPr>
            <w:tcW w:w="854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(455)</w:t>
            </w:r>
          </w:p>
        </w:tc>
      </w:tr>
      <w:tr>
        <w:trPr>
          <w:trHeight w:val="219"/>
        </w:trPr>
        <w:tc>
          <w:tcPr>
            <w:tcW w:w="8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1,892</w:t>
            </w:r>
          </w:p>
        </w:tc>
      </w:tr>
      <w:tr>
        <w:trPr>
          <w:trHeight w:val="212"/>
        </w:trPr>
        <w:tc>
          <w:tcPr>
            <w:tcW w:w="8540" w:type="dxa"/>
            <w:vAlign w:val="bottom"/>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1,989</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1,437</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9"/>
        </w:trPr>
        <w:tc>
          <w:tcPr>
            <w:tcW w:w="85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r>
      <w:tr>
        <w:trPr>
          <w:trHeight w:val="219"/>
        </w:trPr>
        <w:tc>
          <w:tcPr>
            <w:tcW w:w="8540" w:type="dxa"/>
            <w:vAlign w:val="bottom"/>
          </w:tcPr>
          <w:p>
            <w:pPr>
              <w:ind w:left="20"/>
              <w:spacing w:after="0"/>
              <w:rPr>
                <w:sz w:val="20"/>
                <w:szCs w:val="20"/>
                <w:color w:val="auto"/>
              </w:rPr>
            </w:pPr>
            <w:r>
              <w:rPr>
                <w:rFonts w:ascii="Arial" w:cs="Arial" w:eastAsia="Arial" w:hAnsi="Arial"/>
                <w:sz w:val="17"/>
                <w:szCs w:val="17"/>
                <w:color w:val="auto"/>
              </w:rPr>
              <w:t>Supplemental cash flow disclosure:</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9"/>
        </w:trPr>
        <w:tc>
          <w:tcPr>
            <w:tcW w:w="8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Non-cash financing activities: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6"/>
        </w:trPr>
        <w:tc>
          <w:tcPr>
            <w:tcW w:w="8540" w:type="dxa"/>
            <w:vAlign w:val="bottom"/>
          </w:tcPr>
          <w:p>
            <w:pPr>
              <w:ind w:left="320"/>
              <w:spacing w:after="0"/>
              <w:rPr>
                <w:sz w:val="20"/>
                <w:szCs w:val="20"/>
                <w:color w:val="auto"/>
              </w:rPr>
            </w:pPr>
            <w:r>
              <w:rPr>
                <w:rFonts w:ascii="Arial" w:cs="Arial" w:eastAsia="Arial" w:hAnsi="Arial"/>
                <w:sz w:val="17"/>
                <w:szCs w:val="17"/>
                <w:color w:val="auto"/>
              </w:rPr>
              <w:t>Fair value of common stock issued to settle liability-classified restricted common stock</w:t>
            </w: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926" w:right="339" w:bottom="1440" w:gutter="0" w:footer="0" w:header="0"/>
        </w:sectPr>
      </w:pPr>
    </w:p>
    <w:bookmarkStart w:id="16" w:name="page17"/>
    <w:bookmarkEnd w:id="16"/>
    <w:p>
      <w:pPr>
        <w:ind w:left="140"/>
        <w:spacing w:after="0"/>
        <w:rPr>
          <w:sz w:val="20"/>
          <w:szCs w:val="20"/>
          <w:color w:val="auto"/>
        </w:rPr>
      </w:pPr>
      <w:r>
        <w:rPr>
          <w:rFonts w:ascii="Arial" w:cs="Arial" w:eastAsia="Arial" w:hAnsi="Arial"/>
          <w:sz w:val="19"/>
          <w:szCs w:val="19"/>
          <w:b w:val="1"/>
          <w:bCs w:val="1"/>
          <w:color w:val="auto"/>
        </w:rPr>
        <w:t>Autodesk, Inc.</w:t>
      </w:r>
    </w:p>
    <w:p>
      <w:pPr>
        <w:spacing w:after="0" w:line="41" w:lineRule="exact"/>
        <w:rPr>
          <w:sz w:val="20"/>
          <w:szCs w:val="20"/>
          <w:color w:val="auto"/>
        </w:rPr>
      </w:pPr>
    </w:p>
    <w:p>
      <w:pPr>
        <w:ind w:left="140"/>
        <w:spacing w:after="0"/>
        <w:rPr>
          <w:sz w:val="20"/>
          <w:szCs w:val="20"/>
          <w:color w:val="auto"/>
        </w:rPr>
      </w:pPr>
      <w:r>
        <w:rPr>
          <w:rFonts w:ascii="Arial" w:cs="Arial" w:eastAsia="Arial" w:hAnsi="Arial"/>
          <w:sz w:val="19"/>
          <w:szCs w:val="19"/>
          <w:b w:val="1"/>
          <w:bCs w:val="1"/>
          <w:color w:val="auto"/>
        </w:rPr>
        <w:t>Reconciliation of GAAP financial measures to non-GAAP financial measures</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(In millions, except per share data)</w:t>
      </w:r>
    </w:p>
    <w:p>
      <w:pPr>
        <w:spacing w:after="0" w:line="27" w:lineRule="exact"/>
        <w:rPr>
          <w:sz w:val="20"/>
          <w:szCs w:val="20"/>
          <w:color w:val="auto"/>
        </w:rPr>
      </w:pPr>
    </w:p>
    <w:p>
      <w:pPr>
        <w:jc w:val="both"/>
        <w:ind w:left="140" w:right="20"/>
        <w:spacing w:after="0" w:line="222" w:lineRule="auto"/>
        <w:rPr>
          <w:sz w:val="20"/>
          <w:szCs w:val="20"/>
          <w:color w:val="auto"/>
        </w:rPr>
      </w:pPr>
      <w:r>
        <w:rPr>
          <w:rFonts w:ascii="Arial" w:cs="Arial" w:eastAsia="Arial" w:hAnsi="Arial"/>
          <w:sz w:val="17"/>
          <w:szCs w:val="17"/>
          <w:color w:val="auto"/>
        </w:rPr>
        <w:t>To supplement our condensed consolidated financial statements presented on a GAAP basis, we provide investors with certain non-GAAP measures including non-GAAP operating margin, non-GAAP income from operations, non-GAAP diluted net income per share, and free cash</w:t>
      </w:r>
    </w:p>
    <w:p>
      <w:pPr>
        <w:jc w:val="both"/>
        <w:ind w:left="140" w:right="20"/>
        <w:spacing w:after="0" w:line="211" w:lineRule="auto"/>
        <w:rPr>
          <w:sz w:val="20"/>
          <w:szCs w:val="20"/>
          <w:color w:val="auto"/>
        </w:rPr>
      </w:pPr>
      <w:r>
        <w:rPr>
          <w:rFonts w:ascii="Arial" w:cs="Arial" w:eastAsia="Arial" w:hAnsi="Arial"/>
          <w:sz w:val="17"/>
          <w:szCs w:val="17"/>
          <w:color w:val="auto"/>
        </w:rPr>
        <w:t>flow. For our internal budgeting and resource allocation process and as a means to evaluate period-to-period comparisons, we use non-GAAP measures to supplement our condensed consolidated financial statements presented on a GAAP basis. These non-GAAP measures do not include certain items that may have a material impact upon our future reported financial results. We use non-GAAP measures in making</w:t>
      </w:r>
    </w:p>
    <w:p>
      <w:pPr>
        <w:jc w:val="both"/>
        <w:ind w:left="140" w:right="20"/>
        <w:spacing w:after="0" w:line="211" w:lineRule="auto"/>
        <w:rPr>
          <w:sz w:val="20"/>
          <w:szCs w:val="20"/>
          <w:color w:val="auto"/>
        </w:rPr>
      </w:pPr>
      <w:r>
        <w:rPr>
          <w:rFonts w:ascii="Arial" w:cs="Arial" w:eastAsia="Arial" w:hAnsi="Arial"/>
          <w:sz w:val="17"/>
          <w:szCs w:val="17"/>
          <w:color w:val="auto"/>
        </w:rPr>
        <w:t>operating decisions because we believe those measures provide meaningful supplemental information regarding our earning potential and performance for management by excluding certain expenses and charges that may not be indicative of our core business operating results. For the reasons set forth below, we believe these non-GAAP financial measures are useful to investors both because (1) they allow for greater</w:t>
      </w:r>
    </w:p>
    <w:p>
      <w:pPr>
        <w:jc w:val="both"/>
        <w:ind w:left="140" w:right="20"/>
        <w:spacing w:after="0" w:line="211" w:lineRule="auto"/>
        <w:rPr>
          <w:sz w:val="20"/>
          <w:szCs w:val="20"/>
          <w:color w:val="auto"/>
        </w:rPr>
      </w:pPr>
      <w:r>
        <w:rPr>
          <w:rFonts w:ascii="Arial" w:cs="Arial" w:eastAsia="Arial" w:hAnsi="Arial"/>
          <w:sz w:val="17"/>
          <w:szCs w:val="17"/>
          <w:color w:val="auto"/>
        </w:rPr>
        <w:t>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w:t>
      </w:r>
    </w:p>
    <w:p>
      <w:pPr>
        <w:jc w:val="both"/>
        <w:ind w:left="140" w:right="20"/>
        <w:spacing w:after="0" w:line="231" w:lineRule="auto"/>
        <w:rPr>
          <w:sz w:val="20"/>
          <w:szCs w:val="20"/>
          <w:color w:val="auto"/>
        </w:rPr>
      </w:pPr>
      <w:r>
        <w:rPr>
          <w:rFonts w:ascii="Arial" w:cs="Arial" w:eastAsia="Arial" w:hAnsi="Arial"/>
          <w:sz w:val="17"/>
          <w:szCs w:val="17"/>
          <w:color w:val="auto"/>
        </w:rPr>
        <w:t>accounting periods and to those of peer companies and to better understand the long-term performance of our core business. We also use some of these measures for purposes of determining company-wide incentive compensation.</w:t>
      </w:r>
    </w:p>
    <w:p>
      <w:pPr>
        <w:spacing w:after="0" w:line="1" w:lineRule="exact"/>
        <w:rPr>
          <w:sz w:val="20"/>
          <w:szCs w:val="20"/>
          <w:color w:val="auto"/>
        </w:rPr>
      </w:pPr>
    </w:p>
    <w:p>
      <w:pPr>
        <w:jc w:val="both"/>
        <w:ind w:left="140" w:right="20"/>
        <w:spacing w:after="0" w:line="219" w:lineRule="auto"/>
        <w:rPr>
          <w:sz w:val="20"/>
          <w:szCs w:val="20"/>
          <w:color w:val="auto"/>
        </w:rPr>
      </w:pPr>
      <w:r>
        <w:rPr>
          <w:rFonts w:ascii="Arial" w:cs="Arial" w:eastAsia="Arial" w:hAnsi="Arial"/>
          <w:sz w:val="17"/>
          <w:szCs w:val="17"/>
          <w:color w:val="auto"/>
        </w:rPr>
        <w:t>There are limitations in using non-GAAP financial measures because non-GAAP financial measures are not prepared in accordance with GAAP and may be different from non-GAAP financial measures used by other companies. The non-GAAP financial measures are limited in value</w:t>
      </w:r>
    </w:p>
    <w:p>
      <w:pPr>
        <w:spacing w:after="0" w:line="1" w:lineRule="exact"/>
        <w:rPr>
          <w:sz w:val="20"/>
          <w:szCs w:val="20"/>
          <w:color w:val="auto"/>
        </w:rPr>
      </w:pPr>
    </w:p>
    <w:p>
      <w:pPr>
        <w:jc w:val="both"/>
        <w:ind w:left="140" w:right="20"/>
        <w:spacing w:after="0" w:line="211" w:lineRule="auto"/>
        <w:rPr>
          <w:sz w:val="20"/>
          <w:szCs w:val="20"/>
          <w:color w:val="auto"/>
        </w:rPr>
      </w:pPr>
      <w:r>
        <w:rPr>
          <w:rFonts w:ascii="Arial" w:cs="Arial" w:eastAsia="Arial" w:hAnsi="Arial"/>
          <w:sz w:val="17"/>
          <w:szCs w:val="17"/>
          <w:color w:val="auto"/>
        </w:rPr>
        <w:t>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w:t>
      </w:r>
    </w:p>
    <w:p>
      <w:pPr>
        <w:jc w:val="both"/>
        <w:ind w:left="140" w:right="20"/>
        <w:spacing w:after="0" w:line="211" w:lineRule="auto"/>
        <w:rPr>
          <w:sz w:val="20"/>
          <w:szCs w:val="20"/>
          <w:color w:val="auto"/>
        </w:rPr>
      </w:pPr>
      <w:r>
        <w:rPr>
          <w:rFonts w:ascii="Arial" w:cs="Arial" w:eastAsia="Arial" w:hAnsi="Arial"/>
          <w:sz w:val="17"/>
          <w:szCs w:val="17"/>
          <w:color w:val="auto"/>
        </w:rPr>
        <w:t>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in this presentation, and</w:t>
      </w:r>
    </w:p>
    <w:p>
      <w:pPr>
        <w:ind w:left="140"/>
        <w:spacing w:after="0"/>
        <w:rPr>
          <w:sz w:val="20"/>
          <w:szCs w:val="20"/>
          <w:color w:val="auto"/>
        </w:rPr>
      </w:pPr>
      <w:r>
        <w:rPr>
          <w:rFonts w:ascii="Arial" w:cs="Arial" w:eastAsia="Arial" w:hAnsi="Arial"/>
          <w:sz w:val="17"/>
          <w:szCs w:val="17"/>
          <w:color w:val="auto"/>
        </w:rPr>
        <w:t>not to rely on any single financial measure to evaluate our business.</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following table shows Autodesk's GAAP results reconciled to non-GAAP results included in this release.</w:t>
      </w:r>
    </w:p>
    <w:p>
      <w:pPr>
        <w:spacing w:after="0" w:line="179" w:lineRule="exact"/>
        <w:rPr>
          <w:sz w:val="20"/>
          <w:szCs w:val="20"/>
          <w:color w:val="auto"/>
        </w:rPr>
      </w:pPr>
    </w:p>
    <w:tbl>
      <w:tblPr>
        <w:tblLayout w:type="fixed"/>
        <w:tblInd w:w="140" w:type="dxa"/>
        <w:tblCellMar>
          <w:top w:w="0" w:type="dxa"/>
          <w:left w:w="0" w:type="dxa"/>
          <w:bottom w:w="0" w:type="dxa"/>
          <w:right w:w="0" w:type="dxa"/>
        </w:tblCellMar>
      </w:tblPr>
      <w:tr>
        <w:trPr>
          <w:trHeight w:val="189"/>
        </w:trPr>
        <w:tc>
          <w:tcPr>
            <w:tcW w:w="8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7"/>
              </w:rPr>
              <w:t>Three Months Ended October 31,</w:t>
            </w:r>
          </w:p>
        </w:tc>
      </w:tr>
      <w:tr>
        <w:trPr>
          <w:trHeight w:val="186"/>
        </w:trPr>
        <w:tc>
          <w:tcPr>
            <w:tcW w:w="8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6"/>
              </w:rPr>
              <w:t>2025</w:t>
            </w:r>
          </w:p>
        </w:tc>
      </w:tr>
      <w:tr>
        <w:trPr>
          <w:trHeight w:val="183"/>
        </w:trPr>
        <w:tc>
          <w:tcPr>
            <w:tcW w:w="8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20" w:type="dxa"/>
            <w:vAlign w:val="bottom"/>
          </w:tcPr>
          <w:p>
            <w:pPr>
              <w:jc w:val="center"/>
              <w:ind w:right="197"/>
              <w:spacing w:after="0"/>
              <w:rPr>
                <w:sz w:val="20"/>
                <w:szCs w:val="20"/>
                <w:color w:val="auto"/>
              </w:rPr>
            </w:pPr>
            <w:r>
              <w:rPr>
                <w:rFonts w:ascii="Arial" w:cs="Arial" w:eastAsia="Arial" w:hAnsi="Arial"/>
                <w:sz w:val="14"/>
                <w:szCs w:val="14"/>
                <w:b w:val="1"/>
                <w:bCs w:val="1"/>
                <w:color w:val="auto"/>
                <w:w w:val="97"/>
              </w:rPr>
              <w:t>(Unaudited)</w:t>
            </w:r>
          </w:p>
        </w:tc>
      </w:tr>
      <w:tr>
        <w:trPr>
          <w:trHeight w:val="223"/>
        </w:trPr>
        <w:tc>
          <w:tcPr>
            <w:tcW w:w="8000" w:type="dxa"/>
            <w:vAlign w:val="bottom"/>
          </w:tcPr>
          <w:p>
            <w:pPr>
              <w:spacing w:after="0"/>
              <w:rPr>
                <w:sz w:val="20"/>
                <w:szCs w:val="20"/>
                <w:color w:val="auto"/>
              </w:rPr>
            </w:pPr>
            <w:r>
              <w:rPr>
                <w:rFonts w:ascii="Arial" w:cs="Arial" w:eastAsia="Arial" w:hAnsi="Arial"/>
                <w:sz w:val="17"/>
                <w:szCs w:val="17"/>
                <w:color w:val="auto"/>
              </w:rPr>
              <w:t>GAAP operating margin</w:t>
            </w:r>
          </w:p>
        </w:tc>
        <w:tc>
          <w:tcPr>
            <w:tcW w:w="26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7"/>
                <w:szCs w:val="17"/>
                <w:color w:val="auto"/>
              </w:rPr>
              <w:t>25 %</w:t>
            </w:r>
          </w:p>
        </w:tc>
      </w:tr>
      <w:tr>
        <w:trPr>
          <w:trHeight w:val="219"/>
        </w:trPr>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expense</w:t>
            </w:r>
          </w:p>
        </w:tc>
        <w:tc>
          <w:tcPr>
            <w:tcW w:w="26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r>
      <w:tr>
        <w:trPr>
          <w:trHeight w:val="219"/>
        </w:trPr>
        <w:tc>
          <w:tcPr>
            <w:tcW w:w="8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Amortization of purchased intangibles and developed technologies</w:t>
            </w:r>
          </w:p>
        </w:tc>
        <w:tc>
          <w:tcPr>
            <w:tcW w:w="2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2 %</w:t>
            </w:r>
          </w:p>
        </w:tc>
      </w:tr>
      <w:tr>
        <w:trPr>
          <w:trHeight w:val="237"/>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Non-GAAP operating margin (1)</w:t>
            </w:r>
          </w:p>
        </w:tc>
        <w:tc>
          <w:tcPr>
            <w:tcW w:w="260" w:type="dxa"/>
            <w:vAlign w:val="bottom"/>
            <w:tcBorders>
              <w:bottom w:val="single" w:sz="8" w:color="auto"/>
            </w:tcBorders>
            <w:shd w:val="clear" w:color="auto" w:fill="CCEEFF"/>
          </w:tcPr>
          <w:p>
            <w:pPr>
              <w:spacing w:after="0"/>
              <w:rPr>
                <w:sz w:val="20"/>
                <w:szCs w:val="20"/>
                <w:color w:val="auto"/>
              </w:rPr>
            </w:pPr>
          </w:p>
        </w:tc>
        <w:tc>
          <w:tcPr>
            <w:tcW w:w="2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38 %</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19"/>
        </w:trPr>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GAAP diluted net income per share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27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1.60</w:t>
            </w:r>
          </w:p>
        </w:tc>
      </w:tr>
      <w:tr>
        <w:trPr>
          <w:trHeight w:val="219"/>
        </w:trPr>
        <w:tc>
          <w:tcPr>
            <w:tcW w:w="800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260" w:type="dxa"/>
            <w:vAlign w:val="bottom"/>
          </w:tcPr>
          <w:p>
            <w:pPr>
              <w:spacing w:after="0"/>
              <w:rPr>
                <w:sz w:val="19"/>
                <w:szCs w:val="19"/>
                <w:color w:val="auto"/>
              </w:rPr>
            </w:pPr>
          </w:p>
        </w:tc>
        <w:tc>
          <w:tcPr>
            <w:tcW w:w="2720" w:type="dxa"/>
            <w:vAlign w:val="bottom"/>
          </w:tcPr>
          <w:p>
            <w:pPr>
              <w:jc w:val="right"/>
              <w:ind w:right="137"/>
              <w:spacing w:after="0"/>
              <w:rPr>
                <w:sz w:val="20"/>
                <w:szCs w:val="20"/>
                <w:color w:val="auto"/>
              </w:rPr>
            </w:pPr>
            <w:r>
              <w:rPr>
                <w:rFonts w:ascii="Arial" w:cs="Arial" w:eastAsia="Arial" w:hAnsi="Arial"/>
                <w:sz w:val="17"/>
                <w:szCs w:val="17"/>
                <w:color w:val="auto"/>
              </w:rPr>
              <w:t>0.87</w:t>
            </w:r>
          </w:p>
        </w:tc>
      </w:tr>
      <w:tr>
        <w:trPr>
          <w:trHeight w:val="219"/>
        </w:trPr>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purchased intangibles and developed technologies</w:t>
            </w:r>
          </w:p>
        </w:tc>
        <w:tc>
          <w:tcPr>
            <w:tcW w:w="260" w:type="dxa"/>
            <w:vAlign w:val="bottom"/>
            <w:shd w:val="clear" w:color="auto" w:fill="CCEEFF"/>
          </w:tcPr>
          <w:p>
            <w:pPr>
              <w:spacing w:after="0"/>
              <w:rPr>
                <w:sz w:val="19"/>
                <w:szCs w:val="19"/>
                <w:color w:val="auto"/>
              </w:rPr>
            </w:pPr>
          </w:p>
        </w:tc>
        <w:tc>
          <w:tcPr>
            <w:tcW w:w="27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0.17</w:t>
            </w:r>
          </w:p>
        </w:tc>
      </w:tr>
      <w:tr>
        <w:trPr>
          <w:trHeight w:val="219"/>
        </w:trPr>
        <w:tc>
          <w:tcPr>
            <w:tcW w:w="8000" w:type="dxa"/>
            <w:vAlign w:val="bottom"/>
          </w:tcPr>
          <w:p>
            <w:pPr>
              <w:spacing w:after="0"/>
              <w:rPr>
                <w:sz w:val="20"/>
                <w:szCs w:val="20"/>
                <w:color w:val="auto"/>
              </w:rPr>
            </w:pPr>
            <w:r>
              <w:rPr>
                <w:rFonts w:ascii="Arial" w:cs="Arial" w:eastAsia="Arial" w:hAnsi="Arial"/>
                <w:sz w:val="17"/>
                <w:szCs w:val="17"/>
                <w:color w:val="auto"/>
              </w:rPr>
              <w:t>Restructuring, other exit costs, and facility reductions</w:t>
            </w:r>
          </w:p>
        </w:tc>
        <w:tc>
          <w:tcPr>
            <w:tcW w:w="260" w:type="dxa"/>
            <w:vAlign w:val="bottom"/>
          </w:tcPr>
          <w:p>
            <w:pPr>
              <w:spacing w:after="0"/>
              <w:rPr>
                <w:sz w:val="19"/>
                <w:szCs w:val="19"/>
                <w:color w:val="auto"/>
              </w:rPr>
            </w:pPr>
          </w:p>
        </w:tc>
        <w:tc>
          <w:tcPr>
            <w:tcW w:w="2720" w:type="dxa"/>
            <w:vAlign w:val="bottom"/>
          </w:tcPr>
          <w:p>
            <w:pPr>
              <w:jc w:val="right"/>
              <w:ind w:right="137"/>
              <w:spacing w:after="0"/>
              <w:rPr>
                <w:sz w:val="20"/>
                <w:szCs w:val="20"/>
                <w:color w:val="auto"/>
              </w:rPr>
            </w:pPr>
            <w:r>
              <w:rPr>
                <w:rFonts w:ascii="Arial" w:cs="Arial" w:eastAsia="Arial" w:hAnsi="Arial"/>
                <w:sz w:val="17"/>
                <w:szCs w:val="17"/>
                <w:color w:val="auto"/>
              </w:rPr>
              <w:t>0.02</w:t>
            </w:r>
          </w:p>
        </w:tc>
      </w:tr>
      <w:tr>
        <w:trPr>
          <w:trHeight w:val="219"/>
        </w:trPr>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(Gain) loss on strategic investments and dispositions, net</w:t>
            </w:r>
          </w:p>
        </w:tc>
        <w:tc>
          <w:tcPr>
            <w:tcW w:w="260" w:type="dxa"/>
            <w:vAlign w:val="bottom"/>
            <w:shd w:val="clear" w:color="auto" w:fill="CCEEFF"/>
          </w:tcPr>
          <w:p>
            <w:pPr>
              <w:spacing w:after="0"/>
              <w:rPr>
                <w:sz w:val="19"/>
                <w:szCs w:val="19"/>
                <w:color w:val="auto"/>
              </w:rPr>
            </w:pPr>
          </w:p>
        </w:tc>
        <w:tc>
          <w:tcPr>
            <w:tcW w:w="27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0.07</w:t>
            </w:r>
          </w:p>
        </w:tc>
      </w:tr>
      <w:tr>
        <w:trPr>
          <w:trHeight w:val="219"/>
        </w:trPr>
        <w:tc>
          <w:tcPr>
            <w:tcW w:w="8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Income tax adjustments</w:t>
            </w:r>
          </w:p>
        </w:tc>
        <w:tc>
          <w:tcPr>
            <w:tcW w:w="2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(0.06)</w:t>
            </w:r>
          </w:p>
        </w:tc>
      </w:tr>
      <w:tr>
        <w:trPr>
          <w:trHeight w:val="237"/>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Non-GAAP diluted net income per share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27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2.67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19"/>
        </w:trPr>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27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439</w:t>
            </w:r>
          </w:p>
        </w:tc>
      </w:tr>
      <w:tr>
        <w:trPr>
          <w:trHeight w:val="219"/>
        </w:trPr>
        <w:tc>
          <w:tcPr>
            <w:tcW w:w="8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Capital expenditures</w:t>
            </w:r>
          </w:p>
        </w:tc>
        <w:tc>
          <w:tcPr>
            <w:tcW w:w="2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(9)</w:t>
            </w:r>
          </w:p>
        </w:tc>
      </w:tr>
      <w:tr>
        <w:trPr>
          <w:trHeight w:val="237"/>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Free cash flow</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27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430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(1) Total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120"/>
          </w:cols>
          <w:pgMar w:left="320" w:top="930" w:right="459" w:bottom="1440" w:gutter="0" w:footer="0" w:header="0"/>
        </w:sectPr>
      </w:pPr>
    </w:p>
    <w:bookmarkStart w:id="17" w:name="page18"/>
    <w:bookmarkEnd w:id="17"/>
    <w:p>
      <w:pPr>
        <w:spacing w:after="0"/>
        <w:rPr>
          <w:sz w:val="20"/>
          <w:szCs w:val="20"/>
          <w:color w:val="auto"/>
        </w:rPr>
      </w:pPr>
      <w:r>
        <w:rPr>
          <w:rFonts w:ascii="Arial" w:cs="Arial" w:eastAsia="Arial" w:hAnsi="Arial"/>
          <w:sz w:val="19"/>
          <w:szCs w:val="19"/>
          <w:color w:val="auto"/>
        </w:rPr>
        <w:t>The following tables show Autodesk's GAAP business outlook reconciled to non-GAAP business outlook included in this release.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GAAP to non-GAAP diluted EPS reconciliation</w:t>
            </w:r>
          </w:p>
        </w:tc>
        <w:tc>
          <w:tcPr>
            <w:tcW w:w="3380" w:type="dxa"/>
            <w:vAlign w:val="bottom"/>
            <w:gridSpan w:val="2"/>
          </w:tcPr>
          <w:p>
            <w:pPr>
              <w:jc w:val="center"/>
              <w:spacing w:after="0"/>
              <w:rPr>
                <w:sz w:val="20"/>
                <w:szCs w:val="20"/>
                <w:color w:val="auto"/>
              </w:rPr>
            </w:pPr>
            <w:r>
              <w:rPr>
                <w:rFonts w:ascii="Arial" w:cs="Arial" w:eastAsia="Arial" w:hAnsi="Arial"/>
                <w:sz w:val="17"/>
                <w:szCs w:val="17"/>
                <w:b w:val="1"/>
                <w:bCs w:val="1"/>
                <w:color w:val="auto"/>
              </w:rPr>
              <w:t>Q4 FY26</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vMerge w:val="continue"/>
          </w:tcPr>
          <w:p>
            <w:pPr>
              <w:spacing w:after="0"/>
              <w:rPr>
                <w:sz w:val="19"/>
                <w:szCs w:val="19"/>
                <w:color w:val="auto"/>
              </w:rPr>
            </w:pPr>
          </w:p>
        </w:tc>
        <w:tc>
          <w:tcPr>
            <w:tcW w:w="3380" w:type="dxa"/>
            <w:vAlign w:val="bottom"/>
            <w:tcBorders>
              <w:bottom w:val="single" w:sz="8" w:color="auto"/>
            </w:tcBorders>
            <w:gridSpan w:val="2"/>
          </w:tcPr>
          <w:p>
            <w:pPr>
              <w:ind w:left="640"/>
              <w:spacing w:after="0"/>
              <w:rPr>
                <w:sz w:val="20"/>
                <w:szCs w:val="20"/>
                <w:color w:val="auto"/>
              </w:rPr>
            </w:pPr>
            <w:r>
              <w:rPr>
                <w:rFonts w:ascii="Arial" w:cs="Arial" w:eastAsia="Arial" w:hAnsi="Arial"/>
                <w:sz w:val="17"/>
                <w:szCs w:val="17"/>
                <w:b w:val="1"/>
                <w:bCs w:val="1"/>
                <w:color w:val="auto"/>
              </w:rPr>
              <w:t>(ending January 31, 2026)</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GAAP EPS</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1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$1.57</w:t>
            </w:r>
          </w:p>
        </w:tc>
        <w:tc>
          <w:tcPr>
            <w:tcW w:w="0" w:type="dxa"/>
            <w:vAlign w:val="bottom"/>
          </w:tcPr>
          <w:p>
            <w:pPr>
              <w:spacing w:after="0"/>
              <w:rPr>
                <w:sz w:val="1"/>
                <w:szCs w:val="1"/>
                <w:color w:val="auto"/>
              </w:rPr>
            </w:pPr>
          </w:p>
        </w:tc>
      </w:tr>
      <w:tr>
        <w:trPr>
          <w:trHeight w:val="219"/>
        </w:trPr>
        <w:tc>
          <w:tcPr>
            <w:tcW w:w="786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1640" w:type="dxa"/>
            <w:vAlign w:val="bottom"/>
          </w:tcPr>
          <w:p>
            <w:pPr>
              <w:jc w:val="right"/>
              <w:spacing w:after="0"/>
              <w:rPr>
                <w:sz w:val="20"/>
                <w:szCs w:val="20"/>
                <w:color w:val="auto"/>
              </w:rPr>
            </w:pPr>
            <w:r>
              <w:rPr>
                <w:rFonts w:ascii="Arial" w:cs="Arial" w:eastAsia="Arial" w:hAnsi="Arial"/>
                <w:sz w:val="17"/>
                <w:szCs w:val="17"/>
                <w:color w:val="auto"/>
              </w:rPr>
              <w:t>0.87</w:t>
            </w:r>
          </w:p>
        </w:tc>
        <w:tc>
          <w:tcPr>
            <w:tcW w:w="1740" w:type="dxa"/>
            <w:vAlign w:val="bottom"/>
          </w:tcPr>
          <w:p>
            <w:pPr>
              <w:ind w:left="20"/>
              <w:spacing w:after="0"/>
              <w:rPr>
                <w:sz w:val="20"/>
                <w:szCs w:val="20"/>
                <w:color w:val="auto"/>
              </w:rPr>
            </w:pPr>
            <w:r>
              <w:rPr>
                <w:rFonts w:ascii="Arial" w:cs="Arial" w:eastAsia="Arial" w:hAnsi="Arial"/>
                <w:sz w:val="17"/>
                <w:szCs w:val="17"/>
                <w:color w:val="auto"/>
              </w:rPr>
              <w:t>- 0.85</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purchased intangibles and developed technologies</w:t>
            </w:r>
          </w:p>
        </w:tc>
        <w:tc>
          <w:tcPr>
            <w:tcW w:w="33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0.16</w:t>
            </w:r>
          </w:p>
        </w:tc>
        <w:tc>
          <w:tcPr>
            <w:tcW w:w="0" w:type="dxa"/>
            <w:vAlign w:val="bottom"/>
          </w:tcPr>
          <w:p>
            <w:pPr>
              <w:spacing w:after="0"/>
              <w:rPr>
                <w:sz w:val="1"/>
                <w:szCs w:val="1"/>
                <w:color w:val="auto"/>
              </w:rPr>
            </w:pPr>
          </w:p>
        </w:tc>
      </w:tr>
      <w:tr>
        <w:trPr>
          <w:trHeight w:val="219"/>
        </w:trPr>
        <w:tc>
          <w:tcPr>
            <w:tcW w:w="7860" w:type="dxa"/>
            <w:vAlign w:val="bottom"/>
          </w:tcPr>
          <w:p>
            <w:pPr>
              <w:ind w:left="20"/>
              <w:spacing w:after="0"/>
              <w:rPr>
                <w:sz w:val="20"/>
                <w:szCs w:val="20"/>
                <w:color w:val="auto"/>
              </w:rPr>
            </w:pPr>
            <w:r>
              <w:rPr>
                <w:rFonts w:ascii="Arial" w:cs="Arial" w:eastAsia="Arial" w:hAnsi="Arial"/>
                <w:sz w:val="17"/>
                <w:szCs w:val="17"/>
                <w:color w:val="auto"/>
              </w:rPr>
              <w:t>Acquisition-related costs</w:t>
            </w:r>
          </w:p>
        </w:tc>
        <w:tc>
          <w:tcPr>
            <w:tcW w:w="3380" w:type="dxa"/>
            <w:vAlign w:val="bottom"/>
            <w:gridSpan w:val="2"/>
          </w:tcPr>
          <w:p>
            <w:pPr>
              <w:jc w:val="center"/>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Loss on strategic investments and dispositions, net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1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adjustments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0.13</w:t>
            </w: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- 0.08</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Non-GAAP EPS</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$2.67</w:t>
            </w:r>
          </w:p>
        </w:tc>
        <w:tc>
          <w:tcPr>
            <w:tcW w:w="0" w:type="dxa"/>
            <w:vAlign w:val="bottom"/>
          </w:tcPr>
          <w:p>
            <w:pPr>
              <w:spacing w:after="0"/>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GAAP to non-GAAP operating margin reconciliation</w:t>
            </w:r>
          </w:p>
        </w:tc>
        <w:tc>
          <w:tcPr>
            <w:tcW w:w="3240" w:type="dxa"/>
            <w:vAlign w:val="bottom"/>
          </w:tcPr>
          <w:p>
            <w:pPr>
              <w:jc w:val="center"/>
              <w:spacing w:after="0"/>
              <w:rPr>
                <w:sz w:val="20"/>
                <w:szCs w:val="20"/>
                <w:color w:val="auto"/>
              </w:rPr>
            </w:pPr>
            <w:r>
              <w:rPr>
                <w:rFonts w:ascii="Arial" w:cs="Arial" w:eastAsia="Arial" w:hAnsi="Arial"/>
                <w:sz w:val="17"/>
                <w:szCs w:val="17"/>
                <w:b w:val="1"/>
                <w:bCs w:val="1"/>
                <w:color w:val="auto"/>
                <w:w w:val="98"/>
              </w:rPr>
              <w:t>FY26</w:t>
            </w:r>
          </w:p>
        </w:tc>
        <w:tc>
          <w:tcPr>
            <w:tcW w:w="0" w:type="dxa"/>
            <w:vAlign w:val="bottom"/>
          </w:tcPr>
          <w:p>
            <w:pPr>
              <w:spacing w:after="0"/>
              <w:rPr>
                <w:sz w:val="1"/>
                <w:szCs w:val="1"/>
                <w:color w:val="auto"/>
              </w:rPr>
            </w:pPr>
          </w:p>
        </w:tc>
      </w:tr>
      <w:tr>
        <w:trPr>
          <w:trHeight w:val="232"/>
        </w:trPr>
        <w:tc>
          <w:tcPr>
            <w:tcW w:w="8000" w:type="dxa"/>
            <w:vAlign w:val="bottom"/>
            <w:vMerge w:val="continue"/>
          </w:tcPr>
          <w:p>
            <w:pPr>
              <w:spacing w:after="0"/>
              <w:rPr>
                <w:sz w:val="20"/>
                <w:szCs w:val="20"/>
                <w:color w:val="auto"/>
              </w:rPr>
            </w:pPr>
          </w:p>
        </w:tc>
        <w:tc>
          <w:tcPr>
            <w:tcW w:w="3240" w:type="dxa"/>
            <w:vAlign w:val="bottom"/>
          </w:tcPr>
          <w:p>
            <w:pPr>
              <w:ind w:left="580"/>
              <w:spacing w:after="0"/>
              <w:rPr>
                <w:sz w:val="20"/>
                <w:szCs w:val="20"/>
                <w:color w:val="auto"/>
              </w:rPr>
            </w:pPr>
            <w:r>
              <w:rPr>
                <w:rFonts w:ascii="Arial" w:cs="Arial" w:eastAsia="Arial" w:hAnsi="Arial"/>
                <w:sz w:val="17"/>
                <w:szCs w:val="17"/>
                <w:b w:val="1"/>
                <w:bCs w:val="1"/>
                <w:color w:val="auto"/>
              </w:rPr>
              <w:t>(ending January 31, 2026)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GAAP operating margin</w:t>
            </w:r>
          </w:p>
        </w:tc>
        <w:tc>
          <w:tcPr>
            <w:tcW w:w="32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9"/>
        </w:trPr>
        <w:tc>
          <w:tcPr>
            <w:tcW w:w="800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3240" w:type="dxa"/>
            <w:vAlign w:val="bottom"/>
          </w:tcPr>
          <w:p>
            <w:pPr>
              <w:jc w:val="center"/>
              <w:spacing w:after="0"/>
              <w:rPr>
                <w:sz w:val="20"/>
                <w:szCs w:val="20"/>
                <w:color w:val="auto"/>
              </w:rPr>
            </w:pPr>
            <w:r>
              <w:rPr>
                <w:rFonts w:ascii="Arial" w:cs="Arial" w:eastAsia="Arial" w:hAnsi="Arial"/>
                <w:sz w:val="17"/>
                <w:szCs w:val="17"/>
                <w:color w:val="auto"/>
                <w:w w:val="93"/>
              </w:rPr>
              <w:t>11%</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purchased intangibles and developed technologies</w:t>
            </w:r>
          </w:p>
        </w:tc>
        <w:tc>
          <w:tcPr>
            <w:tcW w:w="3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2%</w:t>
            </w:r>
          </w:p>
        </w:tc>
        <w:tc>
          <w:tcPr>
            <w:tcW w:w="0" w:type="dxa"/>
            <w:vAlign w:val="bottom"/>
          </w:tcPr>
          <w:p>
            <w:pPr>
              <w:spacing w:after="0"/>
              <w:rPr>
                <w:sz w:val="1"/>
                <w:szCs w:val="1"/>
                <w:color w:val="auto"/>
              </w:rPr>
            </w:pPr>
          </w:p>
        </w:tc>
      </w:tr>
      <w:tr>
        <w:trPr>
          <w:trHeight w:val="21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Restructuring, other exit costs, and facility reductions</w:t>
            </w: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Non-GAAP operating margin (1)</w:t>
            </w:r>
          </w:p>
        </w:tc>
        <w:tc>
          <w:tcPr>
            <w:tcW w:w="3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37.5%</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(1) Total may not sum due to rounding.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GAAP to non-GAAP diluted EPS reconciliation</w:t>
            </w:r>
          </w:p>
        </w:tc>
        <w:tc>
          <w:tcPr>
            <w:tcW w:w="2900" w:type="dxa"/>
            <w:vAlign w:val="bottom"/>
          </w:tcPr>
          <w:p>
            <w:pPr>
              <w:spacing w:after="0"/>
              <w:rPr>
                <w:sz w:val="16"/>
                <w:szCs w:val="16"/>
                <w:color w:val="auto"/>
              </w:rPr>
            </w:pPr>
          </w:p>
        </w:tc>
        <w:tc>
          <w:tcPr>
            <w:tcW w:w="30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8"/>
              </w:rPr>
              <w:t>FY26</w:t>
            </w:r>
          </w:p>
        </w:tc>
        <w:tc>
          <w:tcPr>
            <w:tcW w:w="0" w:type="dxa"/>
            <w:vAlign w:val="bottom"/>
          </w:tcPr>
          <w:p>
            <w:pPr>
              <w:spacing w:after="0"/>
              <w:rPr>
                <w:sz w:val="1"/>
                <w:szCs w:val="1"/>
                <w:color w:val="auto"/>
              </w:rPr>
            </w:pPr>
          </w:p>
        </w:tc>
      </w:tr>
      <w:tr>
        <w:trPr>
          <w:trHeight w:val="232"/>
        </w:trPr>
        <w:tc>
          <w:tcPr>
            <w:tcW w:w="5300" w:type="dxa"/>
            <w:vAlign w:val="bottom"/>
            <w:tcBorders>
              <w:bottom w:val="single" w:sz="8" w:color="CCEEFF"/>
            </w:tcBorders>
            <w:vMerge w:val="continue"/>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3040" w:type="dxa"/>
            <w:vAlign w:val="bottom"/>
            <w:tcBorders>
              <w:bottom w:val="single" w:sz="8" w:color="auto"/>
            </w:tcBorders>
            <w:gridSpan w:val="2"/>
          </w:tcPr>
          <w:p>
            <w:pPr>
              <w:ind w:left="480"/>
              <w:spacing w:after="0"/>
              <w:rPr>
                <w:sz w:val="20"/>
                <w:szCs w:val="20"/>
                <w:color w:val="auto"/>
              </w:rPr>
            </w:pPr>
            <w:r>
              <w:rPr>
                <w:rFonts w:ascii="Arial" w:cs="Arial" w:eastAsia="Arial" w:hAnsi="Arial"/>
                <w:sz w:val="17"/>
                <w:szCs w:val="17"/>
                <w:b w:val="1"/>
                <w:bCs w:val="1"/>
                <w:color w:val="auto"/>
              </w:rPr>
              <w:t>(ending January 31, 2026)</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GAAP EPS</w:t>
            </w:r>
          </w:p>
        </w:tc>
        <w:tc>
          <w:tcPr>
            <w:tcW w:w="29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1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$5.33</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Arial" w:cs="Arial" w:eastAsia="Arial" w:hAnsi="Arial"/>
                <w:sz w:val="17"/>
                <w:szCs w:val="17"/>
                <w:color w:val="auto"/>
              </w:rPr>
              <w:t>Stock-based compensation expense</w:t>
            </w:r>
          </w:p>
        </w:tc>
        <w:tc>
          <w:tcPr>
            <w:tcW w:w="4380" w:type="dxa"/>
            <w:vAlign w:val="bottom"/>
            <w:gridSpan w:val="2"/>
          </w:tcPr>
          <w:p>
            <w:pPr>
              <w:jc w:val="right"/>
              <w:spacing w:after="0"/>
              <w:rPr>
                <w:sz w:val="20"/>
                <w:szCs w:val="20"/>
                <w:color w:val="auto"/>
              </w:rPr>
            </w:pPr>
            <w:r>
              <w:rPr>
                <w:rFonts w:ascii="Arial" w:cs="Arial" w:eastAsia="Arial" w:hAnsi="Arial"/>
                <w:sz w:val="17"/>
                <w:szCs w:val="17"/>
                <w:color w:val="auto"/>
              </w:rPr>
              <w:t>3.70</w:t>
            </w:r>
          </w:p>
        </w:tc>
        <w:tc>
          <w:tcPr>
            <w:tcW w:w="1560" w:type="dxa"/>
            <w:vAlign w:val="bottom"/>
          </w:tcPr>
          <w:p>
            <w:pPr>
              <w:ind w:left="20"/>
              <w:spacing w:after="0"/>
              <w:rPr>
                <w:sz w:val="20"/>
                <w:szCs w:val="20"/>
                <w:color w:val="auto"/>
              </w:rPr>
            </w:pPr>
            <w:r>
              <w:rPr>
                <w:rFonts w:ascii="Arial" w:cs="Arial" w:eastAsia="Arial" w:hAnsi="Arial"/>
                <w:sz w:val="17"/>
                <w:szCs w:val="17"/>
                <w:color w:val="auto"/>
              </w:rPr>
              <w:t>- 3.67</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purchased intangibles and developed technologies</w:t>
            </w:r>
          </w:p>
        </w:tc>
        <w:tc>
          <w:tcPr>
            <w:tcW w:w="5940" w:type="dxa"/>
            <w:vAlign w:val="bottom"/>
            <w:gridSpan w:val="3"/>
            <w:shd w:val="clear" w:color="auto" w:fill="CCEEFF"/>
          </w:tcPr>
          <w:p>
            <w:pPr>
              <w:jc w:val="center"/>
              <w:ind w:left="2834"/>
              <w:spacing w:after="0"/>
              <w:rPr>
                <w:sz w:val="20"/>
                <w:szCs w:val="20"/>
                <w:color w:val="auto"/>
              </w:rPr>
            </w:pPr>
            <w:r>
              <w:rPr>
                <w:rFonts w:ascii="Arial" w:cs="Arial" w:eastAsia="Arial" w:hAnsi="Arial"/>
                <w:sz w:val="17"/>
                <w:szCs w:val="17"/>
                <w:color w:val="auto"/>
              </w:rPr>
              <w:t>0.64</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Arial" w:cs="Arial" w:eastAsia="Arial" w:hAnsi="Arial"/>
                <w:sz w:val="17"/>
                <w:szCs w:val="17"/>
                <w:color w:val="auto"/>
              </w:rPr>
              <w:t>Acquisition-related costs</w:t>
            </w:r>
          </w:p>
        </w:tc>
        <w:tc>
          <w:tcPr>
            <w:tcW w:w="5940" w:type="dxa"/>
            <w:vAlign w:val="bottom"/>
            <w:gridSpan w:val="3"/>
          </w:tcPr>
          <w:p>
            <w:pPr>
              <w:jc w:val="center"/>
              <w:ind w:left="2834"/>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Loss on strategic investments and dispositions, net</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1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- 0.08</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Arial" w:cs="Arial" w:eastAsia="Arial" w:hAnsi="Arial"/>
                <w:sz w:val="17"/>
                <w:szCs w:val="17"/>
                <w:color w:val="auto"/>
              </w:rPr>
              <w:t>Restructuring, other exit costs, and facility reductions</w:t>
            </w:r>
          </w:p>
        </w:tc>
        <w:tc>
          <w:tcPr>
            <w:tcW w:w="5940" w:type="dxa"/>
            <w:vAlign w:val="bottom"/>
            <w:gridSpan w:val="3"/>
          </w:tcPr>
          <w:p>
            <w:pPr>
              <w:jc w:val="center"/>
              <w:ind w:left="2834"/>
              <w:spacing w:after="0"/>
              <w:rPr>
                <w:sz w:val="20"/>
                <w:szCs w:val="20"/>
                <w:color w:val="auto"/>
              </w:rPr>
            </w:pPr>
            <w:r>
              <w:rPr>
                <w:rFonts w:ascii="Arial" w:cs="Arial" w:eastAsia="Arial" w:hAnsi="Arial"/>
                <w:sz w:val="17"/>
                <w:szCs w:val="17"/>
                <w:color w:val="auto"/>
              </w:rPr>
              <w:t>0.54</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adjustments</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(0.08)</w:t>
            </w:r>
          </w:p>
        </w:tc>
        <w:tc>
          <w:tcPr>
            <w:tcW w:w="0" w:type="dxa"/>
            <w:vAlign w:val="bottom"/>
          </w:tcPr>
          <w:p>
            <w:pPr>
              <w:spacing w:after="0"/>
              <w:rPr>
                <w:sz w:val="1"/>
                <w:szCs w:val="1"/>
                <w:color w:val="auto"/>
              </w:rPr>
            </w:pPr>
          </w:p>
        </w:tc>
      </w:tr>
      <w:tr>
        <w:trPr>
          <w:trHeight w:val="224"/>
        </w:trPr>
        <w:tc>
          <w:tcPr>
            <w:tcW w:w="5300" w:type="dxa"/>
            <w:vAlign w:val="bottom"/>
          </w:tcPr>
          <w:p>
            <w:pPr>
              <w:ind w:left="20"/>
              <w:spacing w:after="0"/>
              <w:rPr>
                <w:sz w:val="20"/>
                <w:szCs w:val="20"/>
                <w:color w:val="auto"/>
              </w:rPr>
            </w:pPr>
            <w:r>
              <w:rPr>
                <w:rFonts w:ascii="Arial" w:cs="Arial" w:eastAsia="Arial" w:hAnsi="Arial"/>
                <w:sz w:val="17"/>
                <w:szCs w:val="17"/>
                <w:b w:val="1"/>
                <w:bCs w:val="1"/>
                <w:color w:val="auto"/>
              </w:rPr>
              <w:t>Non-GAAP EPS</w:t>
            </w:r>
          </w:p>
        </w:tc>
        <w:tc>
          <w:tcPr>
            <w:tcW w:w="29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$10.18</w:t>
            </w:r>
          </w:p>
        </w:tc>
        <w:tc>
          <w:tcPr>
            <w:tcW w:w="15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 $10.25</w:t>
            </w:r>
          </w:p>
        </w:tc>
        <w:tc>
          <w:tcPr>
            <w:tcW w:w="0" w:type="dxa"/>
            <w:vAlign w:val="bottom"/>
          </w:tcPr>
          <w:p>
            <w:pPr>
              <w:spacing w:after="0"/>
              <w:rPr>
                <w:sz w:val="1"/>
                <w:szCs w:val="1"/>
                <w:color w:val="auto"/>
              </w:rPr>
            </w:pPr>
          </w:p>
        </w:tc>
      </w:tr>
      <w:tr>
        <w:trPr>
          <w:trHeight w:val="854"/>
        </w:trPr>
        <w:tc>
          <w:tcPr>
            <w:tcW w:w="5300" w:type="dxa"/>
            <w:vAlign w:val="bottom"/>
          </w:tcPr>
          <w:p>
            <w:pPr>
              <w:spacing w:after="0"/>
              <w:rPr>
                <w:sz w:val="24"/>
                <w:szCs w:val="24"/>
                <w:color w:val="auto"/>
              </w:rPr>
            </w:pPr>
          </w:p>
        </w:tc>
        <w:tc>
          <w:tcPr>
            <w:tcW w:w="2900" w:type="dxa"/>
            <w:vAlign w:val="bottom"/>
          </w:tcPr>
          <w:p>
            <w:pPr>
              <w:jc w:val="right"/>
              <w:ind w:right="2394"/>
              <w:spacing w:after="0"/>
              <w:rPr>
                <w:sz w:val="20"/>
                <w:szCs w:val="20"/>
                <w:color w:val="auto"/>
              </w:rPr>
            </w:pPr>
            <w:r>
              <w:rPr>
                <w:rFonts w:ascii="Arial" w:cs="Arial" w:eastAsia="Arial" w:hAnsi="Arial"/>
                <w:sz w:val="17"/>
                <w:szCs w:val="17"/>
                <w:color w:val="auto"/>
              </w:rPr>
              <w:t>13</w:t>
            </w:r>
          </w:p>
        </w:tc>
        <w:tc>
          <w:tcPr>
            <w:tcW w:w="1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04"/>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2025-11-25T16:10:32Z</dcterms:created>
  <dcterms:modified xsi:type="dcterms:W3CDTF">2025-11-25T16:10:32Z</dcterms:modified>
</cp:coreProperties>
</file>