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July 31, 2017</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-1715770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jc w:val="both"/>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40" w:type="dxa"/>
            <w:vAlign w:val="bottom"/>
          </w:tcPr>
          <w:p>
            <w:pPr>
              <w:ind w:left="340"/>
              <w:spacing w:after="0"/>
              <w:rPr>
                <w:sz w:val="20"/>
                <w:szCs w:val="20"/>
                <w:color w:val="auto"/>
              </w:rPr>
            </w:pPr>
            <w:r>
              <w:rPr>
                <w:rFonts w:ascii="Arial" w:cs="Arial" w:eastAsia="Arial" w:hAnsi="Arial"/>
                <w:sz w:val="18"/>
                <w:szCs w:val="18"/>
                <w:color w:val="auto"/>
              </w:rPr>
              <w:t>x</w:t>
            </w:r>
          </w:p>
        </w:tc>
        <w:tc>
          <w:tcPr>
            <w:tcW w:w="52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20" w:firstLine="432"/>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800"/>
        <w:spacing w:after="0" w:line="238"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August 24, 2017, registrant had outstanding 219,192,248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1"/>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0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Six Months Ended July 31, 2017 and 2016</w:t>
              </w:r>
            </w:hyperlink>
          </w:p>
        </w:tc>
        <w:tc>
          <w:tcPr>
            <w:tcW w:w="92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1"/>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Loss for the Three and Six Months Ended July 31, 2017 and 2016</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372"/>
        </w:trPr>
        <w:tc>
          <w:tcPr>
            <w:tcW w:w="920" w:type="dxa"/>
            <w:vAlign w:val="bottom"/>
          </w:tcPr>
          <w:p>
            <w:pPr>
              <w:spacing w:after="0"/>
              <w:rPr>
                <w:sz w:val="24"/>
                <w:szCs w:val="24"/>
                <w:color w:val="auto"/>
              </w:rPr>
            </w:pPr>
          </w:p>
        </w:tc>
        <w:tc>
          <w:tcPr>
            <w:tcW w:w="8780" w:type="dxa"/>
            <w:vAlign w:val="bottom"/>
            <w:tcBorders>
              <w:top w:val="single" w:sz="8" w:color="0000EE"/>
            </w:tcBorders>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July 31, 2017 and January 31, 2017</w:t>
              </w:r>
            </w:hyperlink>
          </w:p>
        </w:tc>
        <w:tc>
          <w:tcPr>
            <w:tcW w:w="2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July 31, 2017 and 2016</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72"/>
        </w:trPr>
        <w:tc>
          <w:tcPr>
            <w:tcW w:w="920" w:type="dxa"/>
            <w:vAlign w:val="bottom"/>
          </w:tcPr>
          <w:p>
            <w:pPr>
              <w:spacing w:after="0"/>
              <w:rPr>
                <w:sz w:val="24"/>
                <w:szCs w:val="24"/>
                <w:color w:val="auto"/>
              </w:rPr>
            </w:pPr>
          </w:p>
        </w:tc>
        <w:tc>
          <w:tcPr>
            <w:tcW w:w="7340" w:type="dxa"/>
            <w:vAlign w:val="bottom"/>
            <w:tcBorders>
              <w:top w:val="single" w:sz="8" w:color="0000EE"/>
            </w:tcBorders>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6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1"/>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7"/>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Controls and Procedures</w:t>
              </w:r>
            </w:hyperlink>
          </w:p>
        </w:tc>
        <w:tc>
          <w:tcPr>
            <w:tcW w:w="43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1"/>
          </w:tcPr>
          <w:p>
            <w:pPr>
              <w:jc w:val="center"/>
              <w:ind w:right="2960"/>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49">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820" w:type="dxa"/>
            <w:vAlign w:val="bottom"/>
            <w:tcBorders>
              <w:top w:val="single" w:sz="8" w:color="0000FF"/>
            </w:tcBorders>
            <w:gridSpan w:val="4"/>
          </w:tcPr>
          <w:p>
            <w:pPr>
              <w:spacing w:after="0"/>
              <w:rPr>
                <w:sz w:val="24"/>
                <w:szCs w:val="24"/>
                <w:color w:val="auto"/>
              </w:rPr>
            </w:pPr>
          </w:p>
        </w:tc>
        <w:tc>
          <w:tcPr>
            <w:tcW w:w="30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Risk Factors</w:t>
              </w:r>
            </w:hyperlink>
          </w:p>
        </w:tc>
        <w:tc>
          <w:tcPr>
            <w:tcW w:w="758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1"/>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8"/>
          </w:tcPr>
          <w:p>
            <w:pPr>
              <w:spacing w:after="0"/>
              <w:rPr>
                <w:rFonts w:ascii="Arial" w:cs="Arial" w:eastAsia="Arial" w:hAnsi="Arial"/>
                <w:sz w:val="18"/>
                <w:szCs w:val="18"/>
                <w:b w:val="1"/>
                <w:bCs w:val="1"/>
                <w:color w:val="0000FF"/>
                <w:w w:val="88"/>
              </w:rPr>
            </w:pPr>
            <w:hyperlink w:anchor="page65">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8"/>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Mine Safety Disclosures</w:t>
              </w:r>
            </w:hyperlink>
          </w:p>
        </w:tc>
        <w:tc>
          <w:tcPr>
            <w:tcW w:w="65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65">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66">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1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67">
              <w:r>
                <w:rPr>
                  <w:rFonts w:ascii="Arial" w:cs="Arial" w:eastAsia="Arial" w:hAnsi="Arial"/>
                  <w:sz w:val="18"/>
                  <w:szCs w:val="18"/>
                  <w:b w:val="1"/>
                  <w:bCs w:val="1"/>
                  <w:color w:val="0000FF"/>
                  <w:w w:val="85"/>
                </w:rPr>
                <w:t>Signatures</w:t>
              </w:r>
            </w:hyperlink>
          </w:p>
        </w:tc>
        <w:tc>
          <w:tcPr>
            <w:tcW w:w="8160" w:type="dxa"/>
            <w:vAlign w:val="bottom"/>
            <w:gridSpan w:val="1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30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Maintenance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261.8</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277.5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525.4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561.9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217"/>
        </w:trPr>
        <w:tc>
          <w:tcPr>
            <w:tcW w:w="6060" w:type="dxa"/>
            <w:vAlign w:val="bottom"/>
          </w:tcPr>
          <w:p>
            <w:pPr>
              <w:ind w:left="540"/>
              <w:spacing w:after="0"/>
              <w:rPr>
                <w:sz w:val="20"/>
                <w:szCs w:val="20"/>
                <w:color w:val="auto"/>
              </w:rPr>
            </w:pPr>
            <w:r>
              <w:rPr>
                <w:rFonts w:ascii="Arial" w:cs="Arial" w:eastAsia="Arial" w:hAnsi="Arial"/>
                <w:sz w:val="16"/>
                <w:szCs w:val="16"/>
                <w:color w:val="auto"/>
              </w:rPr>
              <w:t>Total maintenance and subscription revenue</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457.9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379.3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894.9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749.2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313.4</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550.7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987.5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1,062.6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Cost of maintenance and subscription revenue</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license and other revenue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Amortization of developed technology</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427.2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834.7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885.1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513.3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483.9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386.5</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1,097.7</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loss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 (net of tax effect of $0.9, $1.1, $1.4 and ($0.8),</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20"/>
        </w:trPr>
        <w:tc>
          <w:tcPr>
            <w:tcW w:w="6060" w:type="dxa"/>
            <w:vAlign w:val="bottom"/>
          </w:tcPr>
          <w:p>
            <w:pPr>
              <w:ind w:left="280"/>
              <w:spacing w:after="0"/>
              <w:rPr>
                <w:sz w:val="20"/>
                <w:szCs w:val="20"/>
                <w:color w:val="auto"/>
              </w:rPr>
            </w:pPr>
            <w:r>
              <w:rPr>
                <w:rFonts w:ascii="Arial" w:cs="Arial" w:eastAsia="Arial" w:hAnsi="Arial"/>
                <w:sz w:val="16"/>
                <w:szCs w:val="16"/>
                <w:color w:val="auto"/>
                <w:w w:val="93"/>
              </w:rPr>
              <w:t>Change in net unrealized (loss) gain on available-for-sale securities (net of tax effect of</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6060" w:type="dxa"/>
            <w:vAlign w:val="bottom"/>
          </w:tcPr>
          <w:p>
            <w:pPr>
              <w:ind w:left="600"/>
              <w:spacing w:after="0"/>
              <w:rPr>
                <w:sz w:val="20"/>
                <w:szCs w:val="20"/>
                <w:color w:val="auto"/>
              </w:rPr>
            </w:pPr>
            <w:r>
              <w:rPr>
                <w:rFonts w:ascii="Arial" w:cs="Arial" w:eastAsia="Arial" w:hAnsi="Arial"/>
                <w:sz w:val="16"/>
                <w:szCs w:val="16"/>
                <w:color w:val="auto"/>
              </w:rPr>
              <w:t>$0.4, ($0.1), $0.1, and ($0.6), respectively)</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60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Change in defined benefit pension items (net of tax effect of $0.0, ($0.2), $0.0, and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($0.2),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r>
      <w:tr>
        <w:trPr>
          <w:trHeight w:val="220"/>
        </w:trPr>
        <w:tc>
          <w:tcPr>
            <w:tcW w:w="6060" w:type="dxa"/>
            <w:vAlign w:val="bottom"/>
          </w:tcPr>
          <w:p>
            <w:pPr>
              <w:ind w:left="280"/>
              <w:spacing w:after="0"/>
              <w:rPr>
                <w:sz w:val="20"/>
                <w:szCs w:val="20"/>
                <w:color w:val="auto"/>
              </w:rPr>
            </w:pPr>
            <w:r>
              <w:rPr>
                <w:rFonts w:ascii="Arial" w:cs="Arial" w:eastAsia="Arial" w:hAnsi="Arial"/>
                <w:sz w:val="16"/>
                <w:szCs w:val="16"/>
                <w:color w:val="auto"/>
                <w:w w:val="97"/>
              </w:rPr>
              <w:t>Net change in cumulative foreign currency translation gain (loss) (net of tax effect of</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6060" w:type="dxa"/>
            <w:vAlign w:val="bottom"/>
          </w:tcPr>
          <w:p>
            <w:pPr>
              <w:ind w:left="600"/>
              <w:spacing w:after="0"/>
              <w:rPr>
                <w:sz w:val="20"/>
                <w:szCs w:val="20"/>
                <w:color w:val="auto"/>
              </w:rPr>
            </w:pPr>
            <w:r>
              <w:rPr>
                <w:rFonts w:ascii="Arial" w:cs="Arial" w:eastAsia="Arial" w:hAnsi="Arial"/>
                <w:sz w:val="16"/>
                <w:szCs w:val="16"/>
                <w:color w:val="auto"/>
              </w:rPr>
              <w:t>($0.6), $0.0, ($0.9) and $0.0, respectively)</w:t>
            </w:r>
          </w:p>
        </w:tc>
        <w:tc>
          <w:tcPr>
            <w:tcW w:w="26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(274.6)</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 2017</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2017</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1,213.1</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533.6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686.8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452.3</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108.4</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2,460.6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1,561.1</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63.9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4,354.0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4,798.1</w:t>
            </w: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30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238.2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1,270.1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notes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398.7</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134.9</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Long-term deferred revenue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467.5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517.9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income taxes payable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deferred income taxes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91.5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notes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138.4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1,876.3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(964.2)</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4,354.0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4,798.1</w:t>
            </w:r>
          </w:p>
        </w:tc>
      </w:tr>
      <w:tr>
        <w:trPr>
          <w:trHeight w:val="33"/>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Six Months Ended July 31,</w:t>
            </w:r>
          </w:p>
        </w:tc>
        <w:tc>
          <w:tcPr>
            <w:tcW w:w="62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(273.6)</w:t>
            </w:r>
          </w:p>
        </w:tc>
        <w:tc>
          <w:tcPr>
            <w:tcW w:w="120" w:type="dxa"/>
            <w:vAlign w:val="bottom"/>
          </w:tcPr>
          <w:p>
            <w:pPr>
              <w:spacing w:after="0"/>
              <w:rPr>
                <w:sz w:val="19"/>
                <w:szCs w:val="19"/>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(265.9)</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70.4</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105.9</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185.5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346.9</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(810.9)</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354.7</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791.3</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9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200.6</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debt, net of discount</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496.9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debt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financing activities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114.3</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1,213.1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89"/>
              </w:rPr>
              <w:t>1,353.0</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1,174.1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1,467.3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July 31, 2017, and for the three and six months ended July 31, 2017 and 2016,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2017 are not necessarily indicative of the results for the entire fiscal year ending January 31, 2018, or for any other period. Further, the balance sheet as of January 31,</w:t>
      </w:r>
    </w:p>
    <w:p>
      <w:pPr>
        <w:spacing w:after="0" w:line="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2017 has been derived from the audited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2017.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2017, filed on March 21, 2017.</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 in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first quarter of fiscal 2018, the Company changed its historical presentation of its revenue and cost of revenue categories.</w:t>
      </w:r>
    </w:p>
    <w:p>
      <w:pPr>
        <w:spacing w:after="0" w:line="225"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Previously, the Company presented revenue and cost of revenue on two lines: subscription, and license and other. Included within subscription was maintenance revenue for all our software products and revenue for our cloud service offerings. License and other revenue included product license revenue, standalone consulting services, and other immaterial items. Also, included within license and other revenue was an allocation of the estimated value of the software license from our term-based product subscriptions and enterprise offerings, which contain a software license, maintenance and cloud services. For these arrangements, as there is no vendor-specific-objective evidence ("VSOE") for the related maintenance, the arrangement consideration was allocated between the license and maintenance deliverables based on best estimated selling prices in our condensed consolidated statements of operations. The Company performed the allocation because it provided a meaningful presentation to investors based on the Company's then current product mix.</w:t>
      </w:r>
    </w:p>
    <w:p>
      <w:pPr>
        <w:spacing w:after="0" w:line="16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part of the Company's technological and business model transition, the Company discontinued the sale of most of its perpetual licenses, transitioning away from selling a mix of perpetual licenses and term-based product subscriptions to a single subscription model involving more highly interrelated software and cloud functionalities. Fiscal 2018 marks the first full year in the Company's history that it will sell substantially term-based product subscriptions. To better reflect this shift in our business, the Company adopted a revised presentation in the first quarter of fiscal 2018, including the separation of subscription revenue and maintenance revenue on distinct line items on the Company's condensed consolidated statement of operations.</w:t>
      </w:r>
    </w:p>
    <w:p>
      <w:pPr>
        <w:spacing w:after="0" w:line="158"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Subscription revenue now consists of our full term-based product subscriptions, cloud service offerings, and flexible enterprise business arrangements. Note that with the change in our condensed consolidated statement of operations in the first quarter of fiscal 2018, our term-based product subscriptions and flexible enterprise business arrangements are classified and presented in a single line item.</w:t>
      </w:r>
    </w:p>
    <w:p>
      <w:pPr>
        <w:spacing w:after="0" w:line="18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Maintenance revenue is presented as a separate line item in the new presentation and consists of revenue from our existing maintenance plan agreements and related renewals.</w:t>
      </w:r>
    </w:p>
    <w:p>
      <w:pPr>
        <w:spacing w:after="0" w:line="17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License and other revenue will continue to be presented as a separate line item and include any residual perpetual licenses sold, standalone consulting services, and other immaterial items.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160" w:firstLine="405"/>
        <w:spacing w:after="0" w:line="342" w:lineRule="auto"/>
        <w:rPr>
          <w:sz w:val="20"/>
          <w:szCs w:val="20"/>
          <w:color w:val="auto"/>
        </w:rPr>
      </w:pPr>
      <w:r>
        <w:rPr>
          <w:rFonts w:ascii="Arial" w:cs="Arial" w:eastAsia="Arial" w:hAnsi="Arial"/>
          <w:sz w:val="16"/>
          <w:szCs w:val="16"/>
          <w:color w:val="auto"/>
        </w:rPr>
        <w:t>In connection with these revisions, the Company also revised its cost of revenue classification to present cost of subscription and maintenance revenue and amortization of developed technology separately. Cost of license and other revenue will continue to be presented as a separate line item.</w:t>
      </w:r>
    </w:p>
    <w:p>
      <w:pPr>
        <w:spacing w:after="0" w:line="124"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This change in presentation does not affect our total net revenues, total cost of net revenues or overall gross margin. The following table shows reclassified amounts to conform to the current period presentation: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center"/>
              <w:ind w:right="94"/>
              <w:spacing w:after="0"/>
              <w:rPr>
                <w:sz w:val="20"/>
                <w:szCs w:val="20"/>
                <w:color w:val="auto"/>
              </w:rPr>
            </w:pPr>
            <w:r>
              <w:rPr>
                <w:rFonts w:ascii="Arial" w:cs="Arial" w:eastAsia="Arial" w:hAnsi="Arial"/>
                <w:sz w:val="14"/>
                <w:szCs w:val="14"/>
                <w:b w:val="1"/>
                <w:bCs w:val="1"/>
                <w:color w:val="auto"/>
                <w:w w:val="93"/>
              </w:rPr>
              <w:t>Three Months Ended July 31, 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774"/>
              <w:spacing w:after="0"/>
              <w:rPr>
                <w:sz w:val="20"/>
                <w:szCs w:val="20"/>
                <w:color w:val="auto"/>
              </w:rPr>
            </w:pPr>
            <w:r>
              <w:rPr>
                <w:rFonts w:ascii="Arial" w:cs="Arial" w:eastAsia="Arial" w:hAnsi="Arial"/>
                <w:sz w:val="14"/>
                <w:szCs w:val="14"/>
                <w:b w:val="1"/>
                <w:bCs w:val="1"/>
                <w:color w:val="auto"/>
              </w:rPr>
              <w:t>Six Months Ended July 31, 2016</w:t>
            </w: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Previously</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Change in</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Previously</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Change in</w:t>
            </w:r>
          </w:p>
        </w:tc>
        <w:tc>
          <w:tcPr>
            <w:tcW w:w="160" w:type="dxa"/>
            <w:vAlign w:val="bottom"/>
          </w:tcPr>
          <w:p>
            <w:pPr>
              <w:spacing w:after="0"/>
              <w:rPr>
                <w:sz w:val="13"/>
                <w:szCs w:val="13"/>
                <w:color w:val="auto"/>
              </w:rPr>
            </w:pPr>
          </w:p>
        </w:tc>
        <w:tc>
          <w:tcPr>
            <w:tcW w:w="9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Presentation</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Presentation</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Reclassification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Presentation</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Reclassification</w:t>
            </w:r>
          </w:p>
        </w:tc>
        <w:tc>
          <w:tcPr>
            <w:tcW w:w="160" w:type="dxa"/>
            <w:vAlign w:val="bottom"/>
          </w:tcPr>
          <w:p>
            <w:pPr>
              <w:spacing w:after="0"/>
              <w:rPr>
                <w:sz w:val="16"/>
                <w:szCs w:val="16"/>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Presentation</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Maintenance (1)</w:t>
            </w:r>
          </w:p>
        </w:tc>
        <w:tc>
          <w:tcPr>
            <w:tcW w:w="20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N/A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License and other</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1,062.6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1,062.6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Maintenance and subscription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License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Amortization of developed technology (1)</w:t>
            </w:r>
          </w:p>
        </w:tc>
        <w:tc>
          <w:tcPr>
            <w:tcW w:w="20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These lines were not previously reported in the Condensed Consolidated Statement of Operations.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titled "Subscription."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six months ended July 31, 2017, that are of significance, or potential significance, to the Company.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 adopted in the current fiscal year</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Autodesk adopted FASB's Accounting Standards Update No. 2017-04 ("ASU 2017-04"), "Intangibles—Goodwill and Other (Topic 350): Simplifying the Test for Goodwill Impairment" during the three months ended April 30, 2017. The ASU simplifies the accounting for goodwill impairment by removing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guidance is required to be applied on a prospective basis and as such, Autodesk will use the simplified test in its annual fourth fiscal quarter testing or more often if circumstances indicate a potential impairment may exist, or if events have affected the composition of reporting units. Autodesk does not believe ASU 2017-04 will have a material impact on its consolidated financial statements.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 but not yet adopted</w:t>
      </w:r>
    </w:p>
    <w:p>
      <w:pPr>
        <w:spacing w:after="0" w:line="225"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In August 2017, FASB issued Accounting Standards Update No. 2017-12 ("ASU 2017-12"), "Derivatives and Hedging (Topic 815): Targeted Improvements to Accounting for Hedging Activities." The targeted amendments help simplify certain aspects of hedge accounting and result in a more accurate portrayal of the economics of an entity’s risk management activities in its financial statements. For cash flow and net investment hedges as of the adoption date, the guidance requires a modified retrospective approach. The amended presentation and disclosure guidance is required only prospectively. The amendments are effective for Autodesk's fiscal year beginning February 1, 2019, with early adoption permitted. Autodesk is currently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evaluating the accounting, transition, and disclosure requirements of the standard and cannot currently estimate the financial statement impact of adoption.</w:t>
      </w:r>
    </w:p>
    <w:p>
      <w:pPr>
        <w:spacing w:after="0" w:line="248" w:lineRule="exact"/>
        <w:rPr>
          <w:sz w:val="20"/>
          <w:szCs w:val="20"/>
          <w:color w:val="auto"/>
        </w:rPr>
      </w:pPr>
    </w:p>
    <w:p>
      <w:pPr>
        <w:ind w:right="220" w:firstLine="405"/>
        <w:spacing w:after="0" w:line="271" w:lineRule="auto"/>
        <w:rPr>
          <w:sz w:val="20"/>
          <w:szCs w:val="20"/>
          <w:color w:val="auto"/>
        </w:rPr>
      </w:pPr>
      <w:r>
        <w:rPr>
          <w:rFonts w:ascii="Arial" w:cs="Arial" w:eastAsia="Arial" w:hAnsi="Arial"/>
          <w:sz w:val="17"/>
          <w:szCs w:val="17"/>
          <w:color w:val="auto"/>
        </w:rPr>
        <w:t>In February 2017, FASB issued Accounting Standards Update No. 2017-05 ("ASU 2017-05"), "Other Income– Gains and Losses from the Derecognition of Nonfinancial Assets (Subtopic 610-20): Clarifying the Scope of Asset Derecognition Guidance and Accounting for Partial Sales of Nonfinancial Assets." The ASU, among other things, clarifies the scope of the derecognition of nonfinancial assets, the definition of in substance financial assets, and impacts the accounting for partial sales of nonfinancial assets by requiring full gain recognition upon the sale. The amendments are effective for Autodesk's fiscal year beginning February 1, 2018. The guidance may be applied retrospectively for all periods presented or retrospectively with a cumulative-effect adjustment at the date of adoption. The effect of the implementation will depend upon the nature of the Company's future acquisitions or dispositions, if any. The adoption of the guidance would not have had a material impact on acquisitions prior to the current period and on the Company's consolidated statements of financial condition and results of operations.</w:t>
      </w:r>
    </w:p>
    <w:p>
      <w:pPr>
        <w:spacing w:after="0" w:line="17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In January 2017, FASB issued Accounting Standards Update No. 2017-01 ("ASU 2017-01"), "Business Combinations: Clarifying the Definition of a Business" which provides a more robust framework to use in determining when a set of assets and activities is considered a business. The amendments will be effective for Autodesk's fiscal year beginning February 1, 2018 unless Autodesk elects early adoption, which Autodesk is still evaluating. The new guidance is required to be applied on a prospective basis. The effect of the implementation will depend upon the nature of the Company's future acquisitions, if any.</w:t>
      </w:r>
    </w:p>
    <w:p>
      <w:pPr>
        <w:spacing w:after="0" w:line="154"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In October 2016, FASB issued Accounting Standards Update No. 2016-16 ("ASU 2016-16"), “Income Taxes: Intra-Entity Transfers of Assets Other than Inventory” which requires that entities recognize the income tax consequences of an intra-entity transfer of an asset, other than inventory, when the transfer occurs. The amendments will be effective for Autodesk's fiscal year beginning February 1, 2018. The new guidance is required to be applied on a modified retrospective basis through a cumulative-effect adjustment directly to retained earnings as of the beginning of the period of adoption. Autodesk is currently evaluating the accounting and disclosure requirements of the standard. Furthermore, the actual impact of implementation will largely depend on future intra-entity asset transfers, if any.</w:t>
      </w:r>
    </w:p>
    <w:p>
      <w:pPr>
        <w:spacing w:after="0" w:line="19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2016, FASB issued Accounting Standards Update No. 2016-13 ("ASU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2016,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Autodesk plans to adopt ASU 2016-02 in Autodesk’s fiscal year beginning February 1, 2019.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January 2016, FASB issued Accounting Standards Update No. 2016-01 ("ASU 2016-01") regarding ASC Topic 825-10, "Financial Instruments - Overall." The amendments address certain aspects of recognition, measurement, presentation, and disclosure of financial instruments, and require equity securities to be measured at fair value with changes in fair value recognized through net income. The amendments also simplify the impairment assessment of equity investments without readily determinable fair values by requiring a qualitative assessment for impairment quarterly at each reporting period. The amendments in ASU 2016-01 will be effective for Autodesk's fiscal year beginning February 1, 2018. An entity should apply the amendments by means of a cumulative-effect adjustment to the balance sheet as of the beginning of the fiscal year of adoption, with prospective adoption of the amendments related to equity securities without readily determinable fair values existing as of the date of adoption. Autodesk does not believe ASU 2016-01 will have a material impact on its consolidated financial statements.</w:t>
      </w:r>
    </w:p>
    <w:p>
      <w:pPr>
        <w:spacing w:after="0" w:line="179"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In May 2014, FASB issued Accounting Standards Update No.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August 2015, FASB issued Accounting Standards Update No. 2015-14 to defer the effective date by one year with early adoption permitted as of the original effective date. In addition, FASB issued Accounting Standards Update No. 2016-08, Accounting Standards Update No. 2016-10, Accounting Standards Update No. 2016-12, and Accounting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Standard Update No. 2016-20 in March 2016, April 2016, May 2016, and December 2016, respectively, to help provide interpretive clarifications on the new guidance in ASC Topic 606.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currently plans to adopt ASU 2014-09 as of February 1, 2018, using the modified retrospective transition method.</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terms of Autodesk's evaluation efforts, the Company has assigned internal resources in addition to the engagement of third party service providers to assist in the evaluation. The Company's preliminary assessment is that there should be no material change in the timing and amount of the recognition of revenue for the majority of the Company's product subscription offerings and enterprise arrangements. This preliminary assessment is based on the Company's analysis that the related software and cloud services in a majority of the product subscription and enterprise arrangements are not distinct in the context of the contract as they are considered highly interrelated and represent a single combined performance obligation that should be recognized over time. Due to the complexity of certain contracts, the actual revenue recognition treatment required under the new standard for these arrangements may be dependent on contract-specific terms and vary in some instances.</w:t>
      </w:r>
    </w:p>
    <w:p>
      <w:pPr>
        <w:spacing w:after="0" w:line="178"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A limited number of Autodesk's product subscriptions do not incorporate substantial cloud services, and under ASU 2014-09 will be recognized as distinct license and service performance obligations. Revenue allocated to the licenses in these offerings will be recognized at a point in time instead of over the contract term. While we are still evaluating, Autodesk believes the impact of the change to timing of revenue recognition for these limited offerings, and other revenue streams that Autodesk is currently evaluating, may have a material balance sheet impact on the adoption date with the application of the modified retrospective transition method. It is not expected to have a material impact to reported revenue in subsequent reporting periods.</w:t>
      </w:r>
    </w:p>
    <w:p>
      <w:pPr>
        <w:spacing w:after="0" w:line="15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Another significant provision under ASU 2014-09 includes the capitalization and amortization of costs associated with obtaining a contract, such as sales commission. The Company expects there to be a material balance sheet impact at the period of adoption capturing the sales commission capitalization and is currently evaluating the magnitude at implementation.</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Furthermore, the Company has made and will continue to make investments in systems and processes to enable timely and accurate reporting under the new standard. The Company currently expects that necessary operational and internal control structural changes will be implemented prior to the adoption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31% of Autodesk’s total net revenue for both the three months ended July 31, 2017 and 2016 and 30% of Autodesk’s total net revenue for both the six months ended July 31, 2017 and 2016. The majority of the net revenue from sales to Tech Data is for sales made outside of the United States. In addition, Tech Data accounted for 30% and 20% of trade accounts receivable at July 31, 2017 and January 31, 2017, respectively.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July 31, 2017 and January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July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6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Custody cash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Short-term available-for-sale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(3)</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Derivative contract liabilities (4)</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January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Short-term available-for-sale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(3)</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Derivative contract liabilities (4)</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16" w:lineRule="exact"/>
        <w:rPr>
          <w:rFonts w:ascii="Arial" w:cs="Arial" w:eastAsia="Arial" w:hAnsi="Arial"/>
          <w:sz w:val="15"/>
          <w:szCs w:val="15"/>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022" w:right="259" w:bottom="1440" w:gutter="0" w:footer="0" w:header="0"/>
        </w:sectPr>
      </w:pPr>
    </w:p>
    <w:bookmarkStart w:id="12" w:name="page13"/>
    <w:bookmarkEnd w:id="12"/>
    <w:p>
      <w:pPr>
        <w:ind w:right="100"/>
        <w:spacing w:after="0" w:line="271" w:lineRule="auto"/>
        <w:rPr>
          <w:sz w:val="20"/>
          <w:szCs w:val="20"/>
          <w:color w:val="auto"/>
        </w:rPr>
      </w:pPr>
      <w:r>
        <w:rPr>
          <w:rFonts w:ascii="Arial" w:cs="Arial" w:eastAsia="Arial" w:hAnsi="Arial"/>
          <w:sz w:val="17"/>
          <w:szCs w:val="17"/>
          <w:color w:val="auto"/>
        </w:rPr>
        <w:t>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six months ended July 31, 2017.</w:t>
      </w:r>
    </w:p>
    <w:p>
      <w:pPr>
        <w:spacing w:after="0" w:line="1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available-for-sale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six months ended July 31, 2017 follows:</w:t>
      </w:r>
    </w:p>
    <w:p>
      <w:pPr>
        <w:spacing w:after="0" w:line="37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Derivative Contracts</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320" w:type="dxa"/>
            <w:vAlign w:val="bottom"/>
          </w:tcPr>
          <w:p>
            <w:pPr>
              <w:spacing w:after="0"/>
              <w:rPr>
                <w:sz w:val="13"/>
                <w:szCs w:val="13"/>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2017</w:t>
            </w:r>
          </w:p>
        </w:tc>
        <w:tc>
          <w:tcPr>
            <w:tcW w:w="68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6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Losses included in earnings</w:t>
            </w: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Losses included in OCI</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31, 2017</w:t>
            </w:r>
          </w:p>
        </w:tc>
        <w:tc>
          <w:tcPr>
            <w:tcW w:w="68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2017</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475.7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243.3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244.0</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725.5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726.2</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of July 31, 2017 and January 31, 2017, Autodesk had no securities, individually and in the aggregate, in a continuous unrealized loss position for greater than twelve months.</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of July 31, 2017 and January 31, 2017, Autodesk had $108.5 million and $117.2 million, respectively, in direct investments in privately held companies accounted for under the cost method, which are periodically assessed for other-than-temporary impairment. Other than the amounts disclosed in the following paragraph, Autodesk does not intend to sell these cost method investments and it is not more likely than not that Autodesk will be required to sell the investment before recovery of the amortized cost bases, which may be maturity. Therefore, Autodesk does not consider those investments to be other-than-temporarily impaired at July 31, 2017.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40" w:firstLine="405"/>
        <w:spacing w:after="0" w:line="259" w:lineRule="auto"/>
        <w:rPr>
          <w:sz w:val="20"/>
          <w:szCs w:val="20"/>
          <w:color w:val="auto"/>
        </w:rPr>
      </w:pPr>
      <w:r>
        <w:rPr>
          <w:rFonts w:ascii="Arial" w:cs="Arial" w:eastAsia="Arial" w:hAnsi="Arial"/>
          <w:sz w:val="18"/>
          <w:szCs w:val="18"/>
          <w:color w:val="auto"/>
        </w:rPr>
        <w:t>If Autodesk determines that an other-than-temporary impairment has occurred, Autodesk writes down the investment to its fair value. During the three and six months ended July 31, 2017, Autodesk recorded $3.6 million and $4.1 million, respectively, in other-than-temporary impairments on its privately held equity investments. During each of the three and six months ended July 31, 2016, Autodesk recorded $0.3 million in other-than-temporary impairments on its privately held equity investment.</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There was no loss or gain for the sales or redemptions of “available-for-sale securities” during the six months ended July 31, 2017. The sales or redemptions of “available-for-sale securities” during the six months ended July 31, 2016 resulted in a gain of $0.4 million. Gains and losses resulting from the sale or redemption of "available-for-sale securities" are recorded in “Interest and other expense, net” on the Company's Condensed Consolidated Statements of Operations.</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six months ended July 31, 2017 and 2016 were $531.1 million and $1,146.0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Condensed Consolidated Financial Statements at that time.</w:t>
      </w:r>
    </w:p>
    <w:p>
      <w:pPr>
        <w:spacing w:after="0" w:line="179"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 net notional amounts of these contracts are presented net settled and were $441.6 million at July 31, 2017 and $369.4 million at January 31, 2017. Outstanding contracts are recognized as either assets or liabilities on the balance sheet at fair value. The majority of the net gain of $1.6 million remaining in “Accumulated other comprehensive loss” as of July 31, 2017 is expected to be recognized into earnings within the next twelve months.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$175.4 million at July 31, 2017 and $270.6 million at January 31, 2017.</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16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net.”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July 31, 2017 and January 31, 2017: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620" w:type="dxa"/>
            <w:vAlign w:val="bottom"/>
          </w:tcPr>
          <w:p>
            <w:pPr>
              <w:spacing w:after="0"/>
              <w:rPr>
                <w:sz w:val="22"/>
                <w:szCs w:val="22"/>
                <w:color w:val="auto"/>
              </w:rPr>
            </w:pPr>
          </w:p>
        </w:tc>
        <w:tc>
          <w:tcPr>
            <w:tcW w:w="274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2017</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6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62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10.1</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284"/>
        </w:trPr>
        <w:tc>
          <w:tcPr>
            <w:tcW w:w="56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r>
      <w:tr>
        <w:trPr>
          <w:trHeight w:val="244"/>
        </w:trPr>
        <w:tc>
          <w:tcPr>
            <w:tcW w:w="56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six months ended July 31, 2017 and 2016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Foreign Currency Contracts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July 31,</w:t>
            </w:r>
          </w:p>
        </w:tc>
        <w:tc>
          <w:tcPr>
            <w:tcW w:w="240" w:type="dxa"/>
            <w:vAlign w:val="bottom"/>
          </w:tcPr>
          <w:p>
            <w:pPr>
              <w:spacing w:after="0"/>
              <w:rPr>
                <w:sz w:val="22"/>
                <w:szCs w:val="22"/>
                <w:color w:val="auto"/>
              </w:rPr>
            </w:pPr>
          </w:p>
        </w:tc>
        <w:tc>
          <w:tcPr>
            <w:tcW w:w="21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Six Months Ended July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1"/>
                <w:shd w:val="clear" w:color="auto" w:fill="CCEEFF"/>
              </w:rPr>
              <w:t xml:space="preserve">Amount </w:t>
            </w:r>
            <w:r>
              <w:rPr>
                <w:rFonts w:ascii="Arial" w:cs="Arial" w:eastAsia="Arial" w:hAnsi="Arial"/>
                <w:sz w:val="16"/>
                <w:szCs w:val="16"/>
                <w:i w:val="1"/>
                <w:iCs w:val="1"/>
                <w:color w:val="auto"/>
                <w:w w:val="91"/>
              </w:rPr>
              <w:t>of (loss) gain recognized</w:t>
            </w:r>
            <w:r>
              <w:rPr>
                <w:rFonts w:ascii="Arial" w:cs="Arial" w:eastAsia="Arial" w:hAnsi="Arial"/>
                <w:sz w:val="16"/>
                <w:szCs w:val="16"/>
                <w:i w:val="1"/>
                <w:iCs w:val="1"/>
                <w:color w:val="auto"/>
                <w:w w:val="91"/>
                <w:shd w:val="clear" w:color="auto" w:fill="CCEEFF"/>
              </w:rPr>
              <w:t xml:space="preserve"> in accumulated other comprehensive (loss) income on derivatives</w:t>
            </w:r>
          </w:p>
        </w:tc>
        <w:tc>
          <w:tcPr>
            <w:tcW w:w="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(9.3)</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shd w:val="clear" w:color="auto" w:fill="CCEEFF"/>
              </w:rPr>
              <w:t>(effective portion)</w:t>
            </w:r>
          </w:p>
        </w:tc>
        <w:tc>
          <w:tcPr>
            <w:tcW w:w="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vMerge w:val="continue"/>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i w:val="1"/>
                <w:iCs w:val="1"/>
                <w:color w:val="auto"/>
                <w:w w:val="98"/>
              </w:rPr>
              <w:t>Amount and location of gain (loss) reclassified from accumulated other comprehensive (loss)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5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gridSpan w:val="2"/>
          </w:tcPr>
          <w:p>
            <w:pPr>
              <w:ind w:left="160"/>
              <w:spacing w:after="0"/>
              <w:rPr>
                <w:sz w:val="20"/>
                <w:szCs w:val="20"/>
                <w:color w:val="auto"/>
              </w:rPr>
            </w:pPr>
            <w:r>
              <w:rPr>
                <w:rFonts w:ascii="Arial" w:cs="Arial" w:eastAsia="Arial" w:hAnsi="Arial"/>
                <w:sz w:val="16"/>
                <w:szCs w:val="16"/>
                <w:i w:val="1"/>
                <w:iCs w:val="1"/>
                <w:color w:val="auto"/>
              </w:rPr>
              <w:t>income into (loss) income (effective portion)</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80" w:type="dxa"/>
            <w:vAlign w:val="bottom"/>
            <w:gridSpan w:val="2"/>
          </w:tcPr>
          <w:p>
            <w:pPr>
              <w:ind w:left="340"/>
              <w:spacing w:after="0"/>
              <w:rPr>
                <w:sz w:val="20"/>
                <w:szCs w:val="20"/>
                <w:color w:val="auto"/>
              </w:rPr>
            </w:pPr>
            <w:r>
              <w:rPr>
                <w:rFonts w:ascii="Arial" w:cs="Arial" w:eastAsia="Arial" w:hAnsi="Arial"/>
                <w:sz w:val="16"/>
                <w:szCs w:val="16"/>
                <w:color w:val="auto"/>
              </w:rPr>
              <w:t>Operating expenses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7"/>
              </w:rPr>
              <w:t>(0.5)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w w:val="95"/>
              </w:rPr>
              <w:t>Amount and location of gain (loss) recognized in (loss) income on derivatives (ineffective portion</w:t>
            </w: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gridSpan w:val="2"/>
          </w:tcPr>
          <w:p>
            <w:pPr>
              <w:ind w:left="160"/>
              <w:spacing w:after="0"/>
              <w:rPr>
                <w:sz w:val="20"/>
                <w:szCs w:val="20"/>
                <w:color w:val="auto"/>
              </w:rPr>
            </w:pPr>
            <w:r>
              <w:rPr>
                <w:rFonts w:ascii="Arial" w:cs="Arial" w:eastAsia="Arial" w:hAnsi="Arial"/>
                <w:sz w:val="16"/>
                <w:szCs w:val="16"/>
                <w:i w:val="1"/>
                <w:iCs w:val="1"/>
                <w:color w:val="auto"/>
              </w:rPr>
              <w:t>and amount excluded from effectiveness testing)</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Interest and other expense, net</w:t>
            </w: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six months ended July 31, 2017 and 2016 (amounts presented include any income tax effects):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4"/>
                <w:szCs w:val="14"/>
                <w:b w:val="1"/>
                <w:bCs w:val="1"/>
                <w:color w:val="auto"/>
                <w:w w:val="98"/>
              </w:rPr>
              <w:t>Three Months Ended July 31,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4"/>
                <w:szCs w:val="14"/>
                <w:b w:val="1"/>
                <w:bCs w:val="1"/>
                <w:color w:val="auto"/>
                <w:w w:val="99"/>
              </w:rPr>
              <w:t>Six Months Ended July 31,</w:t>
            </w:r>
          </w:p>
        </w:tc>
      </w:tr>
      <w:tr>
        <w:trPr>
          <w:trHeight w:val="264"/>
        </w:trPr>
        <w:tc>
          <w:tcPr>
            <w:tcW w:w="65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loss recognized in (loss) income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(10.9)</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220" w:right="4760" w:hanging="212"/>
        <w:spacing w:after="0" w:line="501" w:lineRule="auto"/>
        <w:tabs>
          <w:tab w:leader="none" w:pos="184"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activity for the six months ended July 31,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July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7,622.4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60.13</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815.8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93.97</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(1,269.2)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58.17</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(331.4)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61.31</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61.79</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6,862.3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65.30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951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620" w:space="720"/>
            <w:col w:w="3080"/>
          </w:cols>
          <w:pgMar w:left="240" w:top="584" w:right="239" w:bottom="1440" w:gutter="0" w:footer="0" w:header="0"/>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-130175</wp:posOffset>
            </wp:positionV>
            <wp:extent cx="951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420" w:right="340" w:hanging="412"/>
        <w:spacing w:after="0" w:line="263"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2017 performance period. The performance stock units were attained at rates ranging from 99.7% to 114.7%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six months ended July 31, 2017 and 2016 was $116.9 million and $93.4 million, respectively.</w:t>
      </w:r>
    </w:p>
    <w:p>
      <w:pPr>
        <w:spacing w:after="0" w:line="23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During the six months ended July 31, 2017, Autodesk granted 0.5 million restricted stock units. Autodesk recorded stock-based compensation expense related to restricted stock units of $52.0 million and $41.5 million during the three months ended July 31, 2017 and 2016, respectively. Autodesk recorded stock-based compensation expense related to restricted stock units of $102.0 million and $80.3 million during the six months ended July 31, 2017 and 2016, respectively. The $52.0 million and $102.0 million of stock-based compensation expense for the three and six months ended July 31, 2017, respectively, includes $5.9 million and $9.1 million, respectively, related to the acceleration of eligible restricted stock awards in conjunction with the Company's CEO transition.</w:t>
      </w:r>
    </w:p>
    <w:p>
      <w:pPr>
        <w:spacing w:after="0" w:line="193"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During the six months ended July 31, 2017, Autodesk granted 0.3 million performance stock units for which the ultimate number of shares earned is determined based on the achievement of performance criteria at the end of the stated service and performance period. During the period, we granted two different types of performance stock units.</w:t>
      </w:r>
    </w:p>
    <w:p>
      <w:pPr>
        <w:spacing w:after="0" w:line="18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performance criteria for the first type of performance stock units were based on a mix of net subscription additions, Annualized Recurring Revenue ("ARR"), non-GAAP total spend, and total subscription renewal rate goals adopted by the Compensation and Human Resource Committee, as well as total stockholder return compared against companies in the S&amp;P Computer Software Select Index or the S&amp;P North American Technology Software Index (“Relative TSR”). These performance stock units vest over a three-year period and have the following vesting schedule:</w:t>
      </w:r>
    </w:p>
    <w:p>
      <w:pPr>
        <w:spacing w:after="0" w:line="171" w:lineRule="exact"/>
        <w:rPr>
          <w:sz w:val="20"/>
          <w:szCs w:val="20"/>
          <w:color w:val="auto"/>
        </w:rPr>
      </w:pPr>
    </w:p>
    <w:p>
      <w:pPr>
        <w:ind w:left="660" w:right="2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2018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70"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performance criteria for the second type of performance stock units granted to our Chief Executive Officer during the six months ended July 31, 2017 were based on fiscal 2020 free cash flow per share and ARR goals adopted by the Compensation and Human Resource Committee. These performance stock units vest in March 2020 based on the Company’s fiscal 2020 performance against the performance criteria.</w:t>
      </w:r>
    </w:p>
    <w:p>
      <w:pPr>
        <w:spacing w:after="0" w:line="17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 Autodesk has determined the grant date fair value for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right="20"/>
        <w:spacing w:after="0" w:line="293" w:lineRule="auto"/>
        <w:rPr>
          <w:sz w:val="20"/>
          <w:szCs w:val="20"/>
          <w:color w:val="auto"/>
        </w:rPr>
      </w:pPr>
      <w:r>
        <w:rPr>
          <w:rFonts w:ascii="Arial" w:cs="Arial" w:eastAsia="Arial" w:hAnsi="Arial"/>
          <w:sz w:val="16"/>
          <w:szCs w:val="16"/>
          <w:color w:val="auto"/>
        </w:rPr>
        <w:t>awards using stock price on the date of grant or if the awards are also subject to a market condition, a Monte Carlo simulation model. The fair value of the performance stock units is expensed using the accelerated attribution over the vesting period. Autodesk recorded stock-based compensation expense related to performance stock units of $9.7 million and $5.9 million for the three months ended July 31, 2017 and 2016, respectively. Autodesk recorded stock-based compensation expense related to performance stock units of $20.6 million and $12.2 million for the six months ended July 31, 2017 and 2016, respectively. The $9.7 million and $20.6 million of stock-based compensation expense for the three and six months ended July 31, 2017, respectively, includes $2.8 million and $7.5 million, respectively, related to the acceleration of eligible performance stock awards in conjunction with the Company's CEO transition.</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Autodesk issued 1.1 million and 1.2 million shares under the ESPP during the six months ended July 31, 2017 and 2016, respectively, with an average price of $38.34 and $36.67 per share. The weighted average grant date fair value of awards granted under the ESPP was $25.13 and $17.88 during the six months ended July 31, 2017 and 2016, respectively, calculated as of the award grant date using the Black-Scholes Merton (“BSM") option pricing model.</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stock-based compensation expense for the six months ended July 31, 2017 and 2016, respectively,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July 31,</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maintenance and subscription revenue (1)</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license and other revenue (1)</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200"/>
              <w:spacing w:after="0"/>
              <w:rPr>
                <w:sz w:val="20"/>
                <w:szCs w:val="20"/>
                <w:color w:val="auto"/>
              </w:rPr>
            </w:pPr>
            <w:r>
              <w:rPr>
                <w:rFonts w:ascii="Arial" w:cs="Arial" w:eastAsia="Arial" w:hAnsi="Arial"/>
                <w:sz w:val="16"/>
                <w:szCs w:val="16"/>
                <w:color w:val="auto"/>
              </w:rPr>
              <w:t>purchases</w:t>
            </w:r>
          </w:p>
        </w:tc>
        <w:tc>
          <w:tcPr>
            <w:tcW w:w="9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vMerge w:val="restart"/>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7"/>
                <w:szCs w:val="17"/>
                <w:color w:val="auto"/>
              </w:rPr>
            </w:pPr>
          </w:p>
        </w:tc>
        <w:tc>
          <w:tcPr>
            <w:tcW w:w="980" w:type="dxa"/>
            <w:vAlign w:val="bottom"/>
            <w:tcBorders>
              <w:top w:val="single" w:sz="8" w:color="auto"/>
            </w:tcBorders>
            <w:vMerge w:val="restart"/>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06"/>
        </w:trPr>
        <w:tc>
          <w:tcPr>
            <w:tcW w:w="5160" w:type="dxa"/>
            <w:vAlign w:val="bottom"/>
          </w:tcPr>
          <w:p>
            <w:pPr>
              <w:ind w:left="200"/>
              <w:spacing w:after="0"/>
              <w:rPr>
                <w:sz w:val="20"/>
                <w:szCs w:val="20"/>
                <w:color w:val="auto"/>
              </w:rPr>
            </w:pPr>
            <w:r>
              <w:rPr>
                <w:rFonts w:ascii="Arial" w:cs="Arial" w:eastAsia="Arial" w:hAnsi="Arial"/>
                <w:sz w:val="16"/>
                <w:szCs w:val="16"/>
                <w:color w:val="auto"/>
              </w:rPr>
              <w:t>purchases, net of tax</w:t>
            </w:r>
          </w:p>
        </w:tc>
        <w:tc>
          <w:tcPr>
            <w:tcW w:w="9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12700</wp:posOffset>
            </wp:positionV>
            <wp:extent cx="3978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3978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period's presentation. See Note 1, "Basis of Presentation," for additional information.</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Three Months Ended July 31, 2017</w:t>
            </w:r>
          </w:p>
        </w:tc>
        <w:tc>
          <w:tcPr>
            <w:tcW w:w="120" w:type="dxa"/>
            <w:vAlign w:val="bottom"/>
          </w:tcPr>
          <w:p>
            <w:pPr>
              <w:spacing w:after="0"/>
              <w:rPr>
                <w:sz w:val="16"/>
                <w:szCs w:val="16"/>
                <w:color w:val="auto"/>
              </w:rPr>
            </w:pPr>
          </w:p>
        </w:tc>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July 31, 2016</w:t>
            </w:r>
          </w:p>
        </w:tc>
        <w:tc>
          <w:tcPr>
            <w:tcW w:w="0" w:type="dxa"/>
            <w:vAlign w:val="bottom"/>
          </w:tcPr>
          <w:p>
            <w:pPr>
              <w:spacing w:after="0"/>
              <w:rPr>
                <w:sz w:val="1"/>
                <w:szCs w:val="1"/>
                <w:color w:val="auto"/>
              </w:rPr>
            </w:pPr>
          </w:p>
        </w:tc>
      </w:tr>
      <w:tr>
        <w:trPr>
          <w:trHeight w:val="152"/>
        </w:trPr>
        <w:tc>
          <w:tcPr>
            <w:tcW w:w="16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ESPP (1)</w:t>
            </w:r>
          </w:p>
        </w:tc>
        <w:tc>
          <w:tcPr>
            <w:tcW w:w="120" w:type="dxa"/>
            <w:vAlign w:val="bottom"/>
            <w:vMerge w:val="restart"/>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ESPP (1)</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12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 (2)</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Pr>
          <w:p>
            <w:pPr>
              <w:jc w:val="center"/>
              <w:spacing w:after="0"/>
              <w:rPr>
                <w:sz w:val="20"/>
                <w:szCs w:val="20"/>
                <w:color w:val="auto"/>
              </w:rPr>
            </w:pPr>
            <w:r>
              <w:rPr>
                <w:rFonts w:ascii="Arial" w:cs="Arial" w:eastAsia="Arial" w:hAnsi="Arial"/>
                <w:sz w:val="16"/>
                <w:szCs w:val="16"/>
                <w:color w:val="auto"/>
                <w:w w:val="92"/>
              </w:rPr>
              <w:t>31.8%</w:t>
            </w:r>
          </w:p>
        </w:tc>
        <w:tc>
          <w:tcPr>
            <w:tcW w:w="1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148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120" w:type="dxa"/>
            <w:vAlign w:val="bottom"/>
          </w:tcPr>
          <w:p>
            <w:pPr>
              <w:spacing w:after="0"/>
              <w:rPr>
                <w:sz w:val="23"/>
                <w:szCs w:val="23"/>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Six Months Ended July 31, 2017</w:t>
            </w:r>
          </w:p>
        </w:tc>
        <w:tc>
          <w:tcPr>
            <w:tcW w:w="120" w:type="dxa"/>
            <w:vAlign w:val="bottom"/>
          </w:tcPr>
          <w:p>
            <w:pPr>
              <w:spacing w:after="0"/>
              <w:rPr>
                <w:sz w:val="19"/>
                <w:szCs w:val="19"/>
                <w:color w:val="auto"/>
              </w:rPr>
            </w:pPr>
          </w:p>
        </w:tc>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Six Months Ended July 31, 2016</w:t>
            </w:r>
          </w:p>
        </w:tc>
        <w:tc>
          <w:tcPr>
            <w:tcW w:w="0" w:type="dxa"/>
            <w:vAlign w:val="bottom"/>
          </w:tcPr>
          <w:p>
            <w:pPr>
              <w:spacing w:after="0"/>
              <w:rPr>
                <w:sz w:val="1"/>
                <w:szCs w:val="1"/>
                <w:color w:val="auto"/>
              </w:rPr>
            </w:pPr>
          </w:p>
        </w:tc>
      </w:tr>
      <w:tr>
        <w:trPr>
          <w:trHeight w:val="152"/>
        </w:trPr>
        <w:tc>
          <w:tcPr>
            <w:tcW w:w="16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ESPP</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ESPP</w:t>
            </w:r>
          </w:p>
        </w:tc>
        <w:tc>
          <w:tcPr>
            <w:tcW w:w="0" w:type="dxa"/>
            <w:vAlign w:val="bottom"/>
          </w:tcPr>
          <w:p>
            <w:pPr>
              <w:spacing w:after="0"/>
              <w:rPr>
                <w:sz w:val="1"/>
                <w:szCs w:val="1"/>
                <w:color w:val="auto"/>
              </w:rPr>
            </w:pPr>
          </w:p>
        </w:tc>
      </w:tr>
      <w:tr>
        <w:trPr>
          <w:trHeight w:val="192"/>
        </w:trPr>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60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31.8%</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31.4 - 33.7%</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38.4 - 38.6%</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35.0 - 40.2%</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480" w:type="dxa"/>
            <w:vAlign w:val="bottom"/>
          </w:tcPr>
          <w:p>
            <w:pPr>
              <w:jc w:val="center"/>
              <w:spacing w:after="0"/>
              <w:rPr>
                <w:sz w:val="20"/>
                <w:szCs w:val="20"/>
                <w:color w:val="auto"/>
              </w:rPr>
            </w:pPr>
            <w:r>
              <w:rPr>
                <w:rFonts w:ascii="Arial" w:cs="Arial" w:eastAsia="Arial" w:hAnsi="Arial"/>
                <w:sz w:val="16"/>
                <w:szCs w:val="16"/>
                <w:color w:val="auto"/>
                <w:w w:val="93"/>
              </w:rPr>
              <w:t>1.0 - 1.2%</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0.9 - 1.3%</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0.6 - 0.7%</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0.5 - 0.9%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-1710690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-1367790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-664210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-321310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440" w:space="720"/>
            <w:col w:w="6260"/>
          </w:cols>
          <w:pgMar w:left="240" w:top="584" w:right="239" w:bottom="1440" w:gutter="0" w:footer="0" w:header="0"/>
          <w:type w:val="continuous"/>
        </w:sect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Autodesk does not issue any shares under its ESPP in the second or fourth quarter.</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Autodesk did not grant PSUs in the three months ended July 31, 2016 that were subject to market conditions.</w:t>
      </w:r>
    </w:p>
    <w:p>
      <w:pPr>
        <w:spacing w:after="0" w:line="20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Computer Software Select Index or S&amp;P North American Technology Software Index with a market capitalization over $2.00 billion, depending on the award type.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As permitted by ASU 2016-09, Autodesk accounts for forfeitures of our stock-based awards as those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100" w:firstLine="467"/>
        <w:spacing w:after="0" w:line="272" w:lineRule="auto"/>
        <w:rPr>
          <w:sz w:val="20"/>
          <w:szCs w:val="20"/>
          <w:color w:val="auto"/>
        </w:rPr>
      </w:pPr>
      <w:r>
        <w:rPr>
          <w:rFonts w:ascii="Arial" w:cs="Arial" w:eastAsia="Arial" w:hAnsi="Arial"/>
          <w:sz w:val="17"/>
          <w:szCs w:val="17"/>
          <w:color w:val="auto"/>
        </w:rPr>
        <w:t>Autodesk's income tax expense was $17.6 million and $25.2 million for the three months ended July 31, 2017 and 2016, respectively, relative to a pre-tax losses of $126.4 million and $73.0 million, respectively, for the same periods. The decrease in income tax expense was primarily due to the settlement of the China audit which occurred during the three months ended July 31, 2016. Autodesk's income tax expense was $25.8 million and $39.6 million for the six months ended July 31, 2017 and 2016, respectively, relative to a pre-tax losses of $247.8 million and $226.3 million, respectively, for the same periods. The decrease in income tax expense was primarily due to the settlement of the China audit which occurred during the six months ended July 31, 2016, and the reversal of foreign withholding tax accruals during the six months ended July 31, 2017. Income tax expense consists primarily of foreign taxes, U.S. tax expense related to indefinite-lived intangibles, and withholding taxes.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type w:val="continuous"/>
        </w:sectPr>
      </w:pPr>
    </w:p>
    <w:bookmarkStart w:id="18" w:name="page19"/>
    <w:bookmarkEnd w:id="18"/>
    <w:p>
      <w:pPr>
        <w:ind w:right="260" w:firstLine="432"/>
        <w:spacing w:after="0" w:line="293" w:lineRule="auto"/>
        <w:rPr>
          <w:sz w:val="20"/>
          <w:szCs w:val="20"/>
          <w:color w:val="auto"/>
        </w:rPr>
      </w:pPr>
      <w:r>
        <w:rPr>
          <w:rFonts w:ascii="Arial" w:cs="Arial" w:eastAsia="Arial" w:hAnsi="Arial"/>
          <w:sz w:val="16"/>
          <w:szCs w:val="16"/>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in the United States arising from the Company's business model transition as a significant piece of negative evidence and established a valuation allowance against the Company’s U.S. deferred tax assets in fiscal 2016. Based on the positive and negative evidence as of July 31, 2017, the Company's valuation allowance position established for the U.S. deferred tax assets has not changed.</w:t>
      </w:r>
    </w:p>
    <w:p>
      <w:pPr>
        <w:spacing w:after="0" w:line="13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As of July 31, 2017, the Company had $267.5 million of gross unrecognized tax benefits, excluding interest, of which approximately $253.6 million represents the amount of unrecognized tax benefits that would impact the effective tax rate, if recognized. However, this rate impact would be $32.8 million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Internal Revenue Service has started an examination of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8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July 31, 2017, Autodesk did not complete any business combinations or technology acquisitions.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records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records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2017</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23"/>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577.0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583.6</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367.1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375.9</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944.1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959.5</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(862.0)</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97.5</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800" w:right="239" w:bottom="1440" w:gutter="0" w:footer="0" w:header="0"/>
          <w:type w:val="continuous"/>
        </w:sectPr>
      </w:pPr>
    </w:p>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Goodwill consists of the excess of consideration transferred over the fair value of net assets acquired in business combinations. The following table summarizes the changes in the carrying amount of goodwill for the periods ended July 31, 2017 and January 31,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2017</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beginning of the period (as of February 1, 2017 and February 1, 2016, respectively)</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1,684.2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w w:val="95"/>
              </w:rPr>
              <w:t>Less: accumulated impairment losses, beginning of the period (as of February 1, 2017 and February 1, 2016, respectively)</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goodwill, beginning of the period (as of February 1, 2017 and February 1, 2016,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1,535.0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Additions arising from acquisitions during the period</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foreign currency translation, purchase accounting adjustments,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Goodwill, end of the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1,588.6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1,561.1</w:t>
            </w: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quantitative impairment test is necessary when either Autodesk does not use the optional assessment or, as a result of the optional assessment, it is not more likely than not that the fair value of the reporting unit is greater than its carrying value.</w:t>
      </w:r>
    </w:p>
    <w:p>
      <w:pPr>
        <w:spacing w:after="0" w:line="1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As described in Note 2, "Recently Issued Accounting Standards," Autodesk early adopted ASU 2017-04, which simplifies the subsequent measurement of goodwill to eliminate Step 2 from the goodwill impairment test, removing the need to determine the implied fair value of goodwill and comparing it to the carrying amount of that goodwill to measure the impairment loss, if any. In situations in which an entity's reporting unit is publicly traded, the fair value of the Company may be approximated by its market capitalization, in performing the quantitative impairment test.</w:t>
      </w:r>
    </w:p>
    <w:p>
      <w:pPr>
        <w:spacing w:after="0" w:line="171"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our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and six months July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July 31, 2017, Autodesk had marketable securities totaling $769.6 million, of which $54.4 million related to investments in debt and equity securities that are held in a rabbi trust under non-qualified deferred compensation plans. The total related deferred compensation liability was $54.4 million at July 31, 2017, of which $3.0 million was classified as current and $51.4 million was classified as non-current liabilities. The total related deferred compensation liability at January 31, 2017 was $47.3 million, of which $3.1 million was classified as current and $44.2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9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2017</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73.5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58.2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(385.5)</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158.6</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 of their principal amount, plus accrued and unpaid interest to the date of repurchase. The 2017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2017 Notes was approximately $498.2 million as of July 31, 2017.</w:t>
      </w:r>
    </w:p>
    <w:p>
      <w:pPr>
        <w:spacing w:after="0" w:line="167"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$780.9 million as of July 31, 2017.</w:t>
      </w:r>
    </w:p>
    <w:p>
      <w:pPr>
        <w:spacing w:after="0" w:line="17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notes due December 15, 2017 and $350.0 million aggregate principal amount of 3.6%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On July 27, 2017, Autodesk redeemed in full $400.0 million in aggregate principal amount of its outstanding 1.95% senior notes due December 15, 2017.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prepayment was $401.8 million. The Company did not incur any additional early termination penalties in connection with such redemption. Based on the quoted market price, the fair value of the remaining 2012 Notes was approximately $359.9 million as of July 31, 2017.</w:t>
      </w:r>
    </w:p>
    <w:p>
      <w:pPr>
        <w:spacing w:after="0" w:line="167"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As the result of a forecasted inability to comply with the credit agreement's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260"/>
        <w:spacing w:after="0" w:line="264" w:lineRule="auto"/>
        <w:rPr>
          <w:sz w:val="20"/>
          <w:szCs w:val="20"/>
          <w:color w:val="auto"/>
        </w:rPr>
      </w:pPr>
      <w:r>
        <w:rPr>
          <w:rFonts w:ascii="Arial" w:cs="Arial" w:eastAsia="Arial" w:hAnsi="Arial"/>
          <w:sz w:val="18"/>
          <w:szCs w:val="18"/>
          <w:color w:val="auto"/>
        </w:rPr>
        <w:t>minimum interest coverage ratio in the first quarter of fiscal 2018, the Company renegotiated the credit agreement's financial covenants in April 2017. The financial covenants now consist of a maximum debt to total cash ratio, a fixed charge coverage ratio through April 30, 2018, and after April 30, 2018, a minimum interest coverage ratio.</w:t>
      </w:r>
    </w:p>
    <w:p>
      <w:pPr>
        <w:spacing w:after="0" w:line="18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line of credit is syndicated with various financial institutions, including Citibank, N.A., an affiliate of Citigroup, which is one of the lead lenders and an agent. The maturity date on the line of credit is May 2020. At July 31, 2017, Autodesk was in compliance with the credit facility's covenants and had no outstanding borrowings on this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 charges and other facility exit costs, net</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February 2016, the Board of Directors approved a world-wide restructuring plan (“Fiscal 2017 Plan”) in order to re-balance staffing levels and reduce operating expenses to better align them with the evolving needs of the business. The Company paid substantially all of the employee termination benefits and facility related liabilities under the Fiscal 2017 Plan by the end of fiscal 2017.</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restructuring charges and other lease termination exit costs during the six months ended July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321"/>
              <w:spacing w:after="0"/>
              <w:rPr>
                <w:sz w:val="20"/>
                <w:szCs w:val="20"/>
                <w:color w:val="auto"/>
              </w:rPr>
            </w:pPr>
            <w:r>
              <w:rPr>
                <w:rFonts w:ascii="Arial" w:cs="Arial" w:eastAsia="Arial" w:hAnsi="Arial"/>
                <w:sz w:val="14"/>
                <w:szCs w:val="14"/>
                <w:b w:val="1"/>
                <w:bCs w:val="1"/>
                <w:color w:val="auto"/>
              </w:rPr>
              <w:t>Balances,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Adjustments (1)</w:t>
            </w:r>
          </w:p>
        </w:tc>
        <w:tc>
          <w:tcPr>
            <w:tcW w:w="12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4"/>
                <w:szCs w:val="14"/>
                <w:b w:val="1"/>
                <w:bCs w:val="1"/>
                <w:color w:val="auto"/>
                <w:w w:val="91"/>
              </w:rPr>
              <w:t>Balances, July 31,</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January 31, 2017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2017 Plan</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other exit costs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Other Lease Termination Costs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1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Adjustments primarily include the impact from a change in sublease assumptions related to certain lease terminations.</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and six months ended July 31, 2017, Autodesk repurchased and retired 1.2 million and 3.4 million shares at an average repurchase price of $102.71 and $91.33 per share, respectively. Common stock and additional paid-in capital and accumulated deficit were reduced by $20.8 million and $97.8 million, respectively, during the three months ended July 31, 2017. Common stock and additional paid-in capital and accumulated deficit were reduced by $82.0 million and $228.6 million, respectively, during the six months ended July 31, 2017.</w:t>
      </w:r>
    </w:p>
    <w:p>
      <w:pPr>
        <w:spacing w:after="0" w:line="16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At July 31, 2017, 23.2 million shares remained available for repurchase under the repurchase program approved by the Board of Directors. During the six months ended July 31, 2017,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July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Pre-tax (gains)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Balances, July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expense, net." Refer to Note 4,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Per Share</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220" w:type="dxa"/>
            <w:vAlign w:val="bottom"/>
          </w:tcPr>
          <w:p>
            <w:pPr>
              <w:spacing w:after="0"/>
              <w:rPr>
                <w:sz w:val="16"/>
                <w:szCs w:val="16"/>
                <w:color w:val="auto"/>
              </w:rPr>
            </w:pPr>
          </w:p>
        </w:tc>
        <w:tc>
          <w:tcPr>
            <w:tcW w:w="2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Six Months Ended July 31,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520" w:type="dxa"/>
            <w:vAlign w:val="bottom"/>
          </w:tcPr>
          <w:p>
            <w:pPr>
              <w:ind w:left="38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5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0" w:hanging="412"/>
        <w:spacing w:after="0" w:line="25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dilutive securities of 4.8 million and 4.2 million shares in the three months ended July 31, 2017 and 2016, respectively, have been excluded from the calculation of diluted net loss per share as those shares would have been anti-dilutive due to the net loss incurred during those periods. The effect of dilutive securities of 4.7 million and 4.0 million shares in the six months ended July 31, 2017 and 2016, respectively, have been excluded from the calculation of diluted net loss per share as those shares would have been anti-dilutive due to the net loss incurred during those periods.</w:t>
      </w:r>
    </w:p>
    <w:p>
      <w:pPr>
        <w:spacing w:after="0" w:line="18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computation of diluted net loss per share does not include shares that are anti-dilutive under the treasury stock method because their exercise prices are higher than the average market value of Autodesk’s stock during the period. For both the three months ended July 31, 2017 and 2016, zero potentially anti-dilutive shares were excluded from the computation of diluted net loss per share. For both the six months ended July 31, 2017 and 2016, 0.1 million potentially anti-dilutive shares were excluded from the computation of diluted net loss per share.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18. Segment, Geographic and Product Family Information</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Autodesk’s revenue by geographic area and product family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220" w:type="dxa"/>
            <w:vAlign w:val="bottom"/>
          </w:tcPr>
          <w:p>
            <w:pPr>
              <w:spacing w:after="0"/>
              <w:rPr>
                <w:sz w:val="16"/>
                <w:szCs w:val="16"/>
                <w:color w:val="auto"/>
              </w:rPr>
            </w:pPr>
          </w:p>
        </w:tc>
        <w:tc>
          <w:tcPr>
            <w:tcW w:w="2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Six Months Ended July 31,</w:t>
            </w:r>
          </w:p>
        </w:tc>
      </w:tr>
      <w:tr>
        <w:trPr>
          <w:trHeight w:val="264"/>
        </w:trPr>
        <w:tc>
          <w:tcPr>
            <w:tcW w:w="65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60"/>
        </w:trPr>
        <w:tc>
          <w:tcPr>
            <w:tcW w:w="6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24"/>
        </w:trPr>
        <w:tc>
          <w:tcPr>
            <w:tcW w:w="65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6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379.9</w:t>
            </w:r>
          </w:p>
        </w:tc>
      </w:tr>
      <w:tr>
        <w:trPr>
          <w:trHeight w:val="237"/>
        </w:trPr>
        <w:tc>
          <w:tcPr>
            <w:tcW w:w="652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67.9</w:t>
            </w:r>
          </w:p>
        </w:tc>
      </w:tr>
      <w:tr>
        <w:trPr>
          <w:trHeight w:val="3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447.8</w:t>
            </w:r>
          </w:p>
        </w:tc>
      </w:tr>
      <w:tr>
        <w:trPr>
          <w:trHeight w:val="217"/>
        </w:trPr>
        <w:tc>
          <w:tcPr>
            <w:tcW w:w="65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220.5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389.0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423.1</w:t>
            </w:r>
          </w:p>
        </w:tc>
      </w:tr>
      <w:tr>
        <w:trPr>
          <w:trHeight w:val="3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191.7</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550.7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987.5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1,062.6</w:t>
            </w:r>
          </w:p>
        </w:tc>
      </w:tr>
      <w:tr>
        <w:trPr>
          <w:trHeight w:val="73"/>
        </w:trPr>
        <w:tc>
          <w:tcPr>
            <w:tcW w:w="65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78"/>
        </w:trPr>
        <w:tc>
          <w:tcPr>
            <w:tcW w:w="6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bl>
    <w:p>
      <w:pPr>
        <w:spacing w:after="0" w:line="17" w:lineRule="exact"/>
        <w:rPr>
          <w:sz w:val="20"/>
          <w:szCs w:val="20"/>
          <w:color w:val="auto"/>
        </w:rPr>
      </w:pPr>
    </w:p>
    <w:p>
      <w:pPr>
        <w:sectPr>
          <w:pgSz w:w="11900" w:h="16838" w:orient="portrait"/>
          <w:cols w:equalWidth="0" w:num="1">
            <w:col w:w="11420"/>
          </w:cols>
          <w:pgMar w:left="240" w:top="584" w:right="239" w:bottom="1440" w:gutter="0" w:footer="0" w:header="0"/>
        </w:sectPr>
      </w:pPr>
    </w:p>
    <w:p>
      <w:pPr>
        <w:ind w:left="40"/>
        <w:spacing w:after="0"/>
        <w:rPr>
          <w:sz w:val="20"/>
          <w:szCs w:val="20"/>
          <w:color w:val="auto"/>
        </w:rPr>
      </w:pPr>
      <w:r>
        <w:rPr>
          <w:rFonts w:ascii="Arial" w:cs="Arial" w:eastAsia="Arial" w:hAnsi="Arial"/>
          <w:sz w:val="16"/>
          <w:szCs w:val="16"/>
          <w:color w:val="auto"/>
        </w:rPr>
        <w:t>Net revenue by product family: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Architecture, Engineering and Construction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AutoCAD and AutoCAD LT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208.8</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253.2</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413.3</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472.1</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176.9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334.9</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159.0</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69.4</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33"/>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550.7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987.5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1,062.6</w:t>
            </w:r>
          </w:p>
        </w:tc>
      </w:tr>
      <w:tr>
        <w:trPr>
          <w:trHeight w:val="33"/>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-1054100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-711200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-368300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584"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4" w:right="239" w:bottom="1440" w:gutter="0" w:footer="0" w:header="0"/>
          <w:type w:val="continuous"/>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Six Months Ended July 31, 2017 and 2016” below, future net revenue, operating expenses, recurring revenue, annualized recurring revenue, annualized revenue per subscription, other future financial results (by product type and geography) and subscriptions, the effectiveness of our efforts to successfully manage transitions to new business models and markets, our expectations regarding the continued transition of our business model, expectations for our maintenance plan and subscription plan subscriptions, our ability to increase our subscription base, expected market trends, including the growth of cloud and mobile computing, the effect of unemployment, the availability of credit, our expectations for our restructuring, the effects of mixed global economic conditions, the effects of revenue recognition,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remediation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Autodesk makes software for people who make things. If you've ever driven a high-performance car, admired a towering skyscraper, used a smartphone, or watched a great film, chances are you've experienced what millions of Autodesk customers are doing with our software. Autodesk gives you the power to make anything.</w:t>
      </w:r>
    </w:p>
    <w:p>
      <w:pPr>
        <w:spacing w:after="0" w:line="18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Our product subscriptions currently represent a hybrid of desktop software and cloud-based functionality, which provides a device-independent, collaborative design workflow for designers, makers, and their stakeholders. Our cloud service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2"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Our strategy is to lead the industries we serve to cloud-based technologies and business models. This entails both a technological shift and a business model shift. As part of the transition, we discontinued selling new perpetual licenses of most individual software products effective February 1, 2016, and discontinued selling new perpetual licenses of suites while introducing industry collections effective August 1, 2016. Industry collections allow access to a broad set of products and services that exceeds those previously available in suites - simplifying the customer ability to get access to a complete set of tools for their industry. We now offer subscriptions for individual products and industry collections, cloud service offerings, and flexible enterprise business agreements (collectively referred to as "subscription plan" and previously called "new model subscription offerings"). These offerings are designed to give our customers more flexibility with how they use our products and service offerings and to attract a broader range of customers, such as project-based users and small businesses.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ind w:firstLine="405"/>
        <w:spacing w:after="0" w:line="279" w:lineRule="auto"/>
        <w:rPr>
          <w:sz w:val="20"/>
          <w:szCs w:val="20"/>
          <w:color w:val="auto"/>
        </w:rPr>
      </w:pPr>
      <w:r>
        <w:rPr>
          <w:rFonts w:ascii="Arial" w:cs="Arial" w:eastAsia="Arial" w:hAnsi="Arial"/>
          <w:sz w:val="17"/>
          <w:szCs w:val="17"/>
          <w:color w:val="auto"/>
        </w:rPr>
        <w:t>With the discontinuation of the sale of most perpetual licenses, we have transitioned away from selling a mix of perpetual licenses and term-based product subscriptions toward a single subscription model. On June 15, 2017, we commenced a program to incentivize maintenance plan customers to move to subscription plan offerings. Through this program we offer discounts to those maintenance customers that move to a subscription plan, while at the same time will increase maintenance plan pricing over time for customers that remain on maintenance.</w:t>
      </w:r>
    </w:p>
    <w:p>
      <w:pPr>
        <w:spacing w:after="0" w:line="17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To provide more meaningful information as to the performance of different categories of product and services, we have changed our presentation of revenue and cost of revenue on our Condensed Consolidated Statements of Operations effective the first quarter of fiscal 2018. See Note 1, "Basis of Presentation," for additional information.</w:t>
      </w:r>
    </w:p>
    <w:p>
      <w:pPr>
        <w:spacing w:after="0" w:line="181"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During the transition, revenue, margins, EPS, deferred revenue and cash flow from operations have been and will continue to be impacted as more revenue is recognized ratably rather than upfront and as new product subscription offerings generally have a lower initial purchase price.</w:t>
      </w:r>
    </w:p>
    <w:p>
      <w:pPr>
        <w:spacing w:after="0" w:line="14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As we progress through the business model transition, reported revenue is less relevant to measure the success of the business as perpetual license sales have been discontinued in favor of subscription offerings, which have considerably lower upfront prices. Annualized recurring revenue ("ARR") and growth of total subscriptions better reflect business momentum and provide additional transparency into the transition. To further analyze progress, we disaggregate our growth in these metrics between the original maintenance model ("maintenance plan") and the subscription plan. Maintenance plan subscriptions peaked in the fourth quarter of our fiscal 2016 as we discontinued selling new maintenance plan subscriptions in fiscal 2017, and we expect them to decline slowly over time as maintenance plan customers continue to convert to our subscription plan.</w:t>
      </w:r>
    </w:p>
    <w:p>
      <w:pPr>
        <w:spacing w:after="0" w:line="17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products, and business transacted through our online Autodesk branded store. The following chart shows our split between indirect and direct channels for the three and six months ended July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118110</wp:posOffset>
            </wp:positionV>
            <wp:extent cx="5154295" cy="3344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5429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520" w:firstLine="432"/>
        <w:spacing w:after="0" w:line="259"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as we move beyond the business model transition. We employ a variety of incentive programs and promotions to align our direct and indirect channels with our business strategies. In addition,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00" w:right="25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color w:val="auto"/>
        </w:rPr>
        <w:t>we have a worldwide user group organization and we have created online user communities dedicated to the exchange of information related to the use of our products.</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subscriptions of Autodesk software worldwide to students, educators, and educational institutions.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iTunes U. Our intention is to make Autodesk software ubiquitous and the design software of choice for those poised to become the next generation of professional users.</w:t>
      </w:r>
    </w:p>
    <w:p>
      <w:pPr>
        <w:spacing w:after="0" w:line="193"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2017. In addition,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July 31, 2017 as compared to the those disclosed in our Form 10-K for the fiscal year ended January 31, 2017. We believe these policies are the most critical to aid in fully understanding and evaluating our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Overview of the Three and Six Months Ended July 31, 2017 and 2016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16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6"/>
                <w:szCs w:val="16"/>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As a % of Net</w:t>
            </w: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As a % of Net</w:t>
            </w: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Ended July 31, 2017</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Ended July 31, 2016</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74.6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85.1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427.2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534.8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ind w:right="22"/>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528.5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77"/>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As a % of Net</w:t>
            </w: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As a % of Net</w:t>
            </w:r>
          </w:p>
        </w:tc>
        <w:tc>
          <w:tcPr>
            <w:tcW w:w="0" w:type="dxa"/>
            <w:vAlign w:val="bottom"/>
          </w:tcPr>
          <w:p>
            <w:pPr>
              <w:spacing w:after="0"/>
              <w:rPr>
                <w:sz w:val="1"/>
                <w:szCs w:val="1"/>
                <w:color w:val="auto"/>
              </w:rPr>
            </w:pPr>
          </w:p>
        </w:tc>
      </w:tr>
      <w:tr>
        <w:trPr>
          <w:trHeight w:val="72"/>
        </w:trPr>
        <w:tc>
          <w:tcPr>
            <w:tcW w:w="25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July 31, 2017</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July 31, 2016</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987.5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152.8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177.5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834.7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885.1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1,061.9</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1,097.7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We are undergoing a business model transition in which we have discontinued selling new perpetual licenses for most of our products in favor of subscriptions. During the transition, revenue, margins, EPS, deferred revenue and cash flow from operations have been and will continue to be impacted as more revenue is recognized ratably rather than upfront and as new product subscription offerings generally have a lower initial purchase price.</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Net revenue decreased during the three months ended July 31, 2017, as compared to the same period in the prior fiscal year, primarily due to a 74% decrease in license and other revenue, partially offset by a 93% increase in subscription revenue. Net revenue decreased during the six months ended July 31, 2017, as compared to the same period in the prior fiscal year, primarily due to a 70% decrease in license and other revenue, partially offset by a 97% increase in subscription revenue.</w:t>
      </w:r>
    </w:p>
    <w:p>
      <w:pPr>
        <w:spacing w:after="0" w:line="18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decreases in license and other revenue in the respective three and six months ended July 31, 2017 were primarily a result of the discontinuation of new perpetual licenses of suites effective August 1, 2016 and the sales of most individual perpetual products as of February 1, 2016. The increases in the respective three and six months ended July 31, 2017 within subscription revenue were driven by increases in the number of subscriptions across all subscription plan types, primarily led by product subscription.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Total sales to Tech Data accounted for 31% and 30% of Autodesk’s total net revenue for both the three and six months ended July 31, 2017 and 2016. Our customers through Tech Data are the resellers and end users who purchase our software licenses and services. Should any of our agreements with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operating margin decreased to (21)% for the three months ended July 31, 2017 from (11)% for the three months ended July 31, 2016. Our operating margin decreased to (23)% for the six months ended July 31, 2017 from (20)% for the six months ended July 31, 2016. The decreases in operating margin were primarily driven by decreases in revenue partially offset by decreases in spend during the three and six months months ended July 31, 2017. Further discussion regarding the spend drivers are discussed below under the heading “Results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i w:val="1"/>
          <w:iCs w:val="1"/>
          <w:color w:val="auto"/>
        </w:rPr>
        <w:t>Business Model Transition Metrics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order to help better understand our financial performance during and after the transition, we use several metrics including recurring revenue, total subscriptions, ARR, and annualized revenue per subscription ("ARPS"). ARR, ARPS, and recurring revenue are performance metrics and should be viewed independently of revenue and deferred revenue as ARR and ARPS are not intended to be combined with those items. Our presentation may differ from that of other companies. Please refer to the Glossary of Terms for the definitions of these metrics.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and six months ended July 31, 2017 and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compared to</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 data)</w:t>
            </w: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prior fiscal year end</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July 31, 2016 (1)</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457.4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ind w:left="200"/>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510"/>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compared to</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prior fiscal year end</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July 31, 2016 (1)</w:t>
            </w:r>
          </w:p>
        </w:tc>
        <w:tc>
          <w:tcPr>
            <w:tcW w:w="0" w:type="dxa"/>
            <w:vAlign w:val="bottom"/>
          </w:tcPr>
          <w:p>
            <w:pPr>
              <w:spacing w:after="0"/>
              <w:rPr>
                <w:sz w:val="1"/>
                <w:szCs w:val="1"/>
                <w:color w:val="auto"/>
              </w:rPr>
            </w:pPr>
          </w:p>
        </w:tc>
      </w:tr>
      <w:tr>
        <w:trPr>
          <w:trHeight w:val="223"/>
        </w:trPr>
        <w:tc>
          <w:tcPr>
            <w:tcW w:w="5540" w:type="dxa"/>
            <w:vAlign w:val="bottom"/>
          </w:tcPr>
          <w:p>
            <w:pPr>
              <w:ind w:left="40"/>
              <w:spacing w:after="0"/>
              <w:rPr>
                <w:sz w:val="20"/>
                <w:szCs w:val="20"/>
                <w:color w:val="auto"/>
              </w:rPr>
            </w:pPr>
            <w:r>
              <w:rPr>
                <w:rFonts w:ascii="Arial" w:cs="Arial" w:eastAsia="Arial" w:hAnsi="Arial"/>
                <w:sz w:val="16"/>
                <w:szCs w:val="16"/>
                <w:color w:val="auto"/>
              </w:rPr>
              <w:t>Recurring Revenue (2)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893.3</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600" w:type="dxa"/>
            <w:vAlign w:val="bottom"/>
          </w:tcPr>
          <w:p>
            <w:pPr>
              <w:jc w:val="right"/>
              <w:ind w:right="43"/>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746.4</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0"/>
        </w:trPr>
        <w:tc>
          <w:tcPr>
            <w:tcW w:w="55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period's presentation.</w:t>
      </w:r>
    </w:p>
    <w:p>
      <w:pPr>
        <w:spacing w:after="0" w:line="5" w:lineRule="exact"/>
        <w:rPr>
          <w:rFonts w:ascii="Arial" w:cs="Arial" w:eastAsia="Arial" w:hAnsi="Arial"/>
          <w:sz w:val="16"/>
          <w:szCs w:val="16"/>
          <w:color w:val="auto"/>
        </w:rPr>
      </w:pPr>
    </w:p>
    <w:p>
      <w:pPr>
        <w:ind w:left="420" w:right="20" w:hanging="412"/>
        <w:spacing w:after="0" w:line="257"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Condensed Consolidated Statement of Operations.</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The following table outlines our total subscriptions, ARR and ARPS metrics as of July 31, 2017 and January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4"/>
          </w:tcPr>
          <w:p>
            <w:pPr>
              <w:ind w:left="160"/>
              <w:spacing w:after="0"/>
              <w:rPr>
                <w:sz w:val="20"/>
                <w:szCs w:val="20"/>
                <w:color w:val="auto"/>
              </w:rPr>
            </w:pPr>
            <w:r>
              <w:rPr>
                <w:rFonts w:ascii="Arial" w:cs="Arial" w:eastAsia="Arial" w:hAnsi="Arial"/>
                <w:sz w:val="14"/>
                <w:szCs w:val="14"/>
                <w:b w:val="1"/>
                <w:bCs w:val="1"/>
                <w:color w:val="auto"/>
                <w:w w:val="90"/>
              </w:rPr>
              <w:t>Change compared to</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8"/>
              </w:rPr>
              <w:t>Balances,</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right"/>
              <w:ind w:right="500"/>
              <w:spacing w:after="0" w:line="145" w:lineRule="exact"/>
              <w:rPr>
                <w:sz w:val="20"/>
                <w:szCs w:val="20"/>
                <w:color w:val="auto"/>
              </w:rPr>
            </w:pPr>
            <w:r>
              <w:rPr>
                <w:rFonts w:ascii="Arial" w:cs="Arial" w:eastAsia="Arial" w:hAnsi="Arial"/>
                <w:sz w:val="14"/>
                <w:szCs w:val="14"/>
                <w:b w:val="1"/>
                <w:bCs w:val="1"/>
                <w:color w:val="auto"/>
              </w:rPr>
              <w:t>prior quarter end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4"/>
          </w:tcPr>
          <w:p>
            <w:pPr>
              <w:ind w:left="180"/>
              <w:spacing w:after="0" w:line="145" w:lineRule="exact"/>
              <w:rPr>
                <w:sz w:val="20"/>
                <w:szCs w:val="20"/>
                <w:color w:val="auto"/>
              </w:rPr>
            </w:pPr>
            <w:r>
              <w:rPr>
                <w:rFonts w:ascii="Arial" w:cs="Arial" w:eastAsia="Arial" w:hAnsi="Arial"/>
                <w:sz w:val="14"/>
                <w:szCs w:val="14"/>
                <w:b w:val="1"/>
                <w:bCs w:val="1"/>
                <w:color w:val="auto"/>
                <w:w w:val="93"/>
              </w:rPr>
              <w:t>prior fiscal year end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1120" w:type="dxa"/>
            <w:vAlign w:val="bottom"/>
            <w:gridSpan w:val="3"/>
            <w:vMerge w:val="restart"/>
          </w:tcPr>
          <w:p>
            <w:pPr>
              <w:ind w:left="80"/>
              <w:spacing w:after="0" w:line="139" w:lineRule="exact"/>
              <w:rPr>
                <w:sz w:val="20"/>
                <w:szCs w:val="20"/>
                <w:color w:val="auto"/>
              </w:rPr>
            </w:pPr>
            <w:r>
              <w:rPr>
                <w:rFonts w:ascii="Arial" w:cs="Arial" w:eastAsia="Arial" w:hAnsi="Arial"/>
                <w:sz w:val="14"/>
                <w:szCs w:val="14"/>
                <w:b w:val="1"/>
                <w:bCs w:val="1"/>
                <w:color w:val="auto"/>
              </w:rPr>
              <w:t>Balances, July</w:t>
            </w: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Balances, April</w:t>
            </w:r>
          </w:p>
        </w:tc>
        <w:tc>
          <w:tcPr>
            <w:tcW w:w="1120" w:type="dxa"/>
            <w:vAlign w:val="bottom"/>
            <w:gridSpan w:val="3"/>
            <w:vMerge w:val="restart"/>
          </w:tcPr>
          <w:p>
            <w:pPr>
              <w:ind w:left="60"/>
              <w:spacing w:after="0" w:line="139" w:lineRule="exact"/>
              <w:rPr>
                <w:sz w:val="20"/>
                <w:szCs w:val="20"/>
                <w:color w:val="auto"/>
              </w:rPr>
            </w:pPr>
            <w:r>
              <w:rPr>
                <w:rFonts w:ascii="Arial" w:cs="Arial" w:eastAsia="Arial" w:hAnsi="Arial"/>
                <w:sz w:val="14"/>
                <w:szCs w:val="14"/>
                <w:b w:val="1"/>
                <w:bCs w:val="1"/>
                <w:color w:val="auto"/>
              </w:rPr>
              <w:t>Balances, July</w:t>
            </w: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center"/>
              <w:ind w:right="62"/>
              <w:spacing w:after="0" w:line="139"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65"/>
        </w:trPr>
        <w:tc>
          <w:tcPr>
            <w:tcW w:w="28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31, 2017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30, 2017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31, 2017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2017 (1)</w:t>
            </w:r>
          </w:p>
        </w:tc>
        <w:tc>
          <w:tcPr>
            <w:tcW w:w="0" w:type="dxa"/>
            <w:vAlign w:val="bottom"/>
          </w:tcPr>
          <w:p>
            <w:pPr>
              <w:spacing w:after="0"/>
              <w:rPr>
                <w:sz w:val="1"/>
                <w:szCs w:val="1"/>
                <w:color w:val="auto"/>
              </w:rPr>
            </w:pPr>
          </w:p>
        </w:tc>
      </w:tr>
      <w:tr>
        <w:trPr>
          <w:trHeight w:val="250"/>
        </w:trPr>
        <w:tc>
          <w:tcPr>
            <w:tcW w:w="2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Subscriptions </w:t>
            </w:r>
            <w:r>
              <w:rPr>
                <w:rFonts w:ascii="Arial" w:cs="Arial" w:eastAsia="Arial" w:hAnsi="Arial"/>
                <w:sz w:val="14"/>
                <w:szCs w:val="14"/>
                <w:i w:val="1"/>
                <w:iCs w:val="1"/>
                <w:color w:val="auto"/>
              </w:rPr>
              <w:t>(in thousands)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Maintenance plan</w:t>
            </w: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1,854.0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(117.2)</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1,971.2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1,854.0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(164.0)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2,018.0</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269.7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502.1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46 %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1,087.1</w:t>
            </w:r>
          </w:p>
        </w:tc>
        <w:tc>
          <w:tcPr>
            <w:tcW w:w="0" w:type="dxa"/>
            <w:vAlign w:val="bottom"/>
          </w:tcPr>
          <w:p>
            <w:pPr>
              <w:spacing w:after="0"/>
              <w:rPr>
                <w:sz w:val="1"/>
                <w:szCs w:val="1"/>
                <w:color w:val="auto"/>
              </w:rPr>
            </w:pPr>
          </w:p>
        </w:tc>
      </w:tr>
      <w:tr>
        <w:trPr>
          <w:trHeight w:val="284"/>
        </w:trPr>
        <w:tc>
          <w:tcPr>
            <w:tcW w:w="2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subscriptions</w:t>
            </w: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3,443.2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152.5</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3,290.7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3,443.2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338.1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3"/>
              </w:rPr>
              <w:t>11 %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3,105.1</w:t>
            </w:r>
          </w:p>
        </w:tc>
        <w:tc>
          <w:tcPr>
            <w:tcW w:w="0" w:type="dxa"/>
            <w:vAlign w:val="bottom"/>
          </w:tcPr>
          <w:p>
            <w:pPr>
              <w:spacing w:after="0"/>
              <w:rPr>
                <w:sz w:val="1"/>
                <w:szCs w:val="1"/>
                <w:color w:val="auto"/>
              </w:rPr>
            </w:pPr>
          </w:p>
        </w:tc>
      </w:tr>
      <w:tr>
        <w:trPr>
          <w:trHeight w:val="311"/>
        </w:trPr>
        <w:tc>
          <w:tcPr>
            <w:tcW w:w="2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1,068.0</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Subscription plan ARR</w:t>
            </w: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783.7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91.8</w:t>
            </w:r>
          </w:p>
        </w:tc>
        <w:tc>
          <w:tcPr>
            <w:tcW w:w="88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691.9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783.7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w w:val="99"/>
              </w:rPr>
              <w:t>212.3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3"/>
              </w:rPr>
              <w:t>37 %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ARR (2)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86.1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1,639.4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ARPS </w:t>
      </w:r>
      <w:r>
        <w:rPr>
          <w:rFonts w:ascii="Arial" w:cs="Arial" w:eastAsia="Arial" w:hAnsi="Arial"/>
          <w:sz w:val="14"/>
          <w:szCs w:val="14"/>
          <w:i w:val="1"/>
          <w:iCs w:val="1"/>
          <w:color w:val="auto"/>
        </w:rPr>
        <w:t>(ARR divided by number of Subscriptions)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Pr>
          <w:p>
            <w:pPr>
              <w:ind w:left="40"/>
              <w:spacing w:after="0"/>
              <w:rPr>
                <w:sz w:val="20"/>
                <w:szCs w:val="20"/>
                <w:color w:val="auto"/>
              </w:rPr>
            </w:pPr>
            <w:r>
              <w:rPr>
                <w:rFonts w:ascii="Arial" w:cs="Arial" w:eastAsia="Arial" w:hAnsi="Arial"/>
                <w:sz w:val="16"/>
                <w:szCs w:val="16"/>
                <w:color w:val="auto"/>
              </w:rPr>
              <w:t>Maintenance plan ARPS</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564</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30</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6 %</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564</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35</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7 %</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529</w:t>
            </w:r>
          </w:p>
        </w:tc>
      </w:tr>
      <w:tr>
        <w:trPr>
          <w:trHeight w:val="33"/>
        </w:trPr>
        <w:tc>
          <w:tcPr>
            <w:tcW w:w="2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 ARPS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493</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r>
      <w:tr>
        <w:trPr>
          <w:trHeight w:val="237"/>
        </w:trPr>
        <w:tc>
          <w:tcPr>
            <w:tcW w:w="2240" w:type="dxa"/>
            <w:vAlign w:val="bottom"/>
          </w:tcPr>
          <w:p>
            <w:pPr>
              <w:ind w:left="360"/>
              <w:spacing w:after="0"/>
              <w:rPr>
                <w:sz w:val="20"/>
                <w:szCs w:val="20"/>
                <w:color w:val="auto"/>
              </w:rPr>
            </w:pPr>
            <w:r>
              <w:rPr>
                <w:rFonts w:ascii="Arial" w:cs="Arial" w:eastAsia="Arial" w:hAnsi="Arial"/>
                <w:sz w:val="16"/>
                <w:szCs w:val="16"/>
                <w:color w:val="auto"/>
              </w:rPr>
              <w:t>Total ARPS (3)</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531</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3</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1 %</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249"/>
        </w:trPr>
        <w:tc>
          <w:tcPr>
            <w:tcW w:w="22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period's presentation.</w:t>
      </w:r>
    </w:p>
    <w:p>
      <w:pPr>
        <w:spacing w:after="0" w:line="9" w:lineRule="exact"/>
        <w:rPr>
          <w:rFonts w:ascii="Arial" w:cs="Arial" w:eastAsia="Arial" w:hAnsi="Arial"/>
          <w:sz w:val="16"/>
          <w:szCs w:val="16"/>
          <w:color w:val="auto"/>
        </w:rPr>
      </w:pPr>
    </w:p>
    <w:p>
      <w:pPr>
        <w:ind w:left="420" w:right="80" w:hanging="412"/>
        <w:spacing w:after="0" w:line="246"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Condensed Consolidated Statement of Operations.</w:t>
      </w:r>
    </w:p>
    <w:p>
      <w:pPr>
        <w:ind w:left="420" w:right="40" w:hanging="412"/>
        <w:spacing w:after="0" w:line="25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are small variances between ARR and total subscriptions due in part to the inherent limitation with collecting all subscriptions information. For example, Buzzsaw and Constructware are included with ARR but not in total subscriptions due to these inherent limitations. We do not view these variances as meaningful to amounts or quarterly comparisons presented here for ARPS.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4" w:right="239" w:bottom="1440" w:gutter="0" w:footer="0" w:header="0"/>
          <w:type w:val="continuous"/>
        </w:sectPr>
      </w:pPr>
    </w:p>
    <w:bookmarkStart w:id="30" w:name="page31"/>
    <w:bookmarkEnd w:id="30"/>
    <w:p>
      <w:pPr>
        <w:ind w:firstLine="405"/>
        <w:spacing w:after="0" w:line="297" w:lineRule="auto"/>
        <w:rPr>
          <w:sz w:val="20"/>
          <w:szCs w:val="20"/>
          <w:color w:val="auto"/>
        </w:rPr>
      </w:pPr>
      <w:r>
        <w:rPr>
          <w:rFonts w:ascii="Arial" w:cs="Arial" w:eastAsia="Arial" w:hAnsi="Arial"/>
          <w:sz w:val="16"/>
          <w:szCs w:val="16"/>
          <w:color w:val="auto"/>
        </w:rPr>
        <w:t>Maintenance plan subscriptions decreased 6% or approximately 117.2 thousand from the previous quarter and 8% or approximately 164.0 thousand from the end of fiscal 2017, primarily as a result of the discontinuation of new maintenance agreement sales as well as the maintenance-to-subscription program in which 63.0 thousand maintenance plan subscriptions converted to product subscription. The net decrease was expected and we expect to see ongoing declines in maintenance plan subscriptions going forward. The rate of decline will vary based on the number of subscriptions subject to renewal, the renewal rate, and our ability to incentivize customers to switch over to enterprise business agreements ("EBAs") or product subscriptions.</w:t>
      </w:r>
    </w:p>
    <w:p>
      <w:pPr>
        <w:spacing w:after="0" w:line="15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Subscription plan subscriptions increased 20% or approximately 269.7 thousand as compared to the previous quarter and 46% or approximately 502.1 thousand as compared to the end of fiscal 2017, primarily driven by product subscriptions, followed by cloud subscriptions led by our BIM360 cloud offerings. Subscription plan subscriptions benefited from 63.0 thousand maintenance subscribers that were converted to product subscription under the maintenance-to-subscription program.</w:t>
      </w:r>
    </w:p>
    <w:p>
      <w:pPr>
        <w:spacing w:after="0" w:line="18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Total ARR increased 5%, as of July 31, 2017 as compared to the three months ended April 30, 2017, and 12%, as compared to the end of fiscal 2017, primarily due to a 13% and 37% increase, in the respective periods, in subscription plan ARR driven by growth in all subscription plan types, led by product subscription. The increase was partially offset by a 1% and 2% decrease, in the respective periods, in maintenance plan ARR.</w:t>
      </w:r>
    </w:p>
    <w:p>
      <w:pPr>
        <w:spacing w:after="0" w:line="166"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ARPS as of July 31, 2017 was $531, a slight increase compared to the previous quarter primarily driven by growth in maintenance plan ARPS related to the maintenance-to-subscription program and other changes to pricing. It was primarily offset by decreases in all subscription plan ARPS.</w:t>
      </w:r>
    </w:p>
    <w:p>
      <w:pPr>
        <w:spacing w:after="0" w:line="147"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ARPS had a slight increase compared to the end of fiscal 2017 due to an increase in maintenance plan ARPS primarily driven by the maintenance-to-subscription program and other changes to pricing. ARPS was also impacted by an increase in product subscription ARPS, partially offset by decreases in both EBAs and cloud service offerings ARPS.</w:t>
      </w:r>
    </w:p>
    <w:p>
      <w:pPr>
        <w:spacing w:after="0" w:line="181" w:lineRule="exact"/>
        <w:rPr>
          <w:sz w:val="20"/>
          <w:szCs w:val="20"/>
          <w:color w:val="auto"/>
        </w:rPr>
      </w:pPr>
    </w:p>
    <w:p>
      <w:pPr>
        <w:jc w:val="both"/>
        <w:ind w:right="300" w:firstLine="405"/>
        <w:spacing w:after="0" w:line="277" w:lineRule="auto"/>
        <w:rPr>
          <w:sz w:val="20"/>
          <w:szCs w:val="20"/>
          <w:color w:val="auto"/>
        </w:rPr>
      </w:pPr>
      <w:r>
        <w:rPr>
          <w:rFonts w:ascii="Arial" w:cs="Arial" w:eastAsia="Arial" w:hAnsi="Arial"/>
          <w:sz w:val="18"/>
          <w:szCs w:val="18"/>
          <w:color w:val="auto"/>
        </w:rPr>
        <w:t>When adjusted for the impact of the maintenance-to-subscription program, subscription plan ARPS would have been $509 with product subscription ARPS growing 3% sequentially and 11% from the end of fiscal 2017.</w:t>
      </w:r>
    </w:p>
    <w:p>
      <w:pPr>
        <w:spacing w:after="0" w:line="251" w:lineRule="exact"/>
        <w:rPr>
          <w:sz w:val="20"/>
          <w:szCs w:val="20"/>
          <w:color w:val="auto"/>
        </w:rPr>
      </w:pPr>
    </w:p>
    <w:p>
      <w:pPr>
        <w:jc w:val="both"/>
        <w:ind w:right="300" w:firstLine="405"/>
        <w:spacing w:after="0" w:line="302" w:lineRule="auto"/>
        <w:rPr>
          <w:sz w:val="20"/>
          <w:szCs w:val="20"/>
          <w:color w:val="auto"/>
        </w:rPr>
      </w:pPr>
      <w:r>
        <w:rPr>
          <w:rFonts w:ascii="Arial" w:cs="Arial" w:eastAsia="Arial" w:hAnsi="Arial"/>
          <w:sz w:val="16"/>
          <w:szCs w:val="16"/>
          <w:color w:val="auto"/>
        </w:rPr>
        <w:t>Our ARPS is affected by various factors including subscription term-length, migration from maintenance plan subscriptions, geography and product mix, sales linearity within a quarter pricing changes, and foreign currency. Going forward the ARPS calculation will continue to be extremely sensitive to subscription term-length, geography mix and price changes. We expect to see ARPS fluctuate up or down on a quarterly basis and we do not expect it will increase evenly throughout the year. As we complete our business model transition, we expect all of these impacts to start to stabilize.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Germany, Japan, the United Kingdom, and Canada.</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impact of foreign exchanges rate changes on our net revenue and total spend: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July 31, 2017</w:t>
            </w:r>
          </w:p>
        </w:tc>
        <w:tc>
          <w:tcPr>
            <w:tcW w:w="1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Six Months Ended July 31, 2017</w:t>
            </w:r>
          </w:p>
        </w:tc>
      </w:tr>
      <w:tr>
        <w:trPr>
          <w:trHeight w:val="152"/>
        </w:trPr>
        <w:tc>
          <w:tcPr>
            <w:tcW w:w="104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Constant Currency percent</w:t>
            </w:r>
          </w:p>
        </w:tc>
        <w:tc>
          <w:tcPr>
            <w:tcW w:w="1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Positive/Negative/Neutral</w:t>
            </w: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3"/>
                <w:szCs w:val="13"/>
                <w:color w:val="auto"/>
              </w:rPr>
            </w:pPr>
          </w:p>
        </w:tc>
        <w:tc>
          <w:tcPr>
            <w:tcW w:w="18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Constant Currency percent</w:t>
            </w: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Positive/Negative/Neutral</w:t>
            </w:r>
          </w:p>
        </w:tc>
      </w:tr>
      <w:tr>
        <w:trPr>
          <w:trHeight w:val="149"/>
        </w:trPr>
        <w:tc>
          <w:tcPr>
            <w:tcW w:w="10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impact from foreign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00" w:type="dxa"/>
            <w:vAlign w:val="bottom"/>
          </w:tcPr>
          <w:p>
            <w:pPr>
              <w:spacing w:after="0"/>
              <w:rPr>
                <w:sz w:val="12"/>
                <w:szCs w:val="12"/>
                <w:color w:val="auto"/>
              </w:rPr>
            </w:pPr>
          </w:p>
        </w:tc>
        <w:tc>
          <w:tcPr>
            <w:tcW w:w="1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impact from foreign</w:t>
            </w:r>
          </w:p>
        </w:tc>
      </w:tr>
      <w:tr>
        <w:trPr>
          <w:trHeight w:val="192"/>
        </w:trPr>
        <w:tc>
          <w:tcPr>
            <w:tcW w:w="10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prior fiscal year (2)</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prior fiscal year (2)</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r>
      <w:tr>
        <w:trPr>
          <w:trHeight w:val="236"/>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Negative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Negative</w:t>
            </w: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Spend (1)</w:t>
            </w:r>
          </w:p>
        </w:tc>
        <w:tc>
          <w:tcPr>
            <w:tcW w:w="15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Positive</w:t>
            </w:r>
          </w:p>
        </w:tc>
        <w:tc>
          <w:tcPr>
            <w:tcW w:w="1520" w:type="dxa"/>
            <w:vAlign w:val="bottom"/>
          </w:tcPr>
          <w:p>
            <w:pPr>
              <w:jc w:val="right"/>
              <w:spacing w:after="0"/>
              <w:rPr>
                <w:sz w:val="20"/>
                <w:szCs w:val="20"/>
                <w:color w:val="auto"/>
              </w:rPr>
            </w:pPr>
            <w:r>
              <w:rPr>
                <w:rFonts w:ascii="Arial" w:cs="Arial" w:eastAsia="Arial" w:hAnsi="Arial"/>
                <w:sz w:val="16"/>
                <w:szCs w:val="16"/>
                <w:color w:val="auto"/>
              </w:rPr>
              <w:t>(5)%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Positive</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total spend is defined as cost of revenue plus operating expenses.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20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i w:val="1"/>
          <w:iCs w:val="1"/>
          <w:color w:val="auto"/>
        </w:rPr>
        <w:t>Deferred Revenue and Unbilled Deferred Revenue</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deferred revenue balance at July 31, 2017 was $1.78 billion and primarily relates to software agreements invoiced for which the revenue has not yet been recognized but will be recognized as revenue ratably over the life of the contracts. The term of our subscription contracts is typically between one and three years.</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define unbilled deferred revenue as contractually stated or committed orders under multi-year billing plans for subscription, services, license and maintenance for which the associated revenue has not been recognized and the customer has not been invoiced. Unbilled deferred revenue is not included on our Condensed Consolidated Balance Sheet until invoiced to the customer.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July 31, 2017</w:t>
            </w:r>
          </w:p>
        </w:tc>
        <w:tc>
          <w:tcPr>
            <w:tcW w:w="0" w:type="dxa"/>
            <w:vAlign w:val="bottom"/>
          </w:tcPr>
          <w:p>
            <w:pPr>
              <w:spacing w:after="0"/>
              <w:rPr>
                <w:sz w:val="1"/>
                <w:szCs w:val="1"/>
                <w:color w:val="auto"/>
              </w:rPr>
            </w:pPr>
          </w:p>
        </w:tc>
      </w:tr>
      <w:tr>
        <w:trPr>
          <w:trHeight w:val="236"/>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1,776.0</w:t>
            </w:r>
          </w:p>
        </w:tc>
        <w:tc>
          <w:tcPr>
            <w:tcW w:w="0" w:type="dxa"/>
            <w:vAlign w:val="bottom"/>
          </w:tcPr>
          <w:p>
            <w:pPr>
              <w:spacing w:after="0"/>
              <w:rPr>
                <w:sz w:val="1"/>
                <w:szCs w:val="1"/>
                <w:color w:val="auto"/>
              </w:rPr>
            </w:pP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Unbilled deferred revenue (1)</w:t>
            </w:r>
          </w:p>
        </w:tc>
        <w:tc>
          <w:tcPr>
            <w:tcW w:w="14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33"/>
        </w:trPr>
        <w:tc>
          <w:tcPr>
            <w:tcW w:w="9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1,838.6</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0" w:hanging="412"/>
        <w:spacing w:after="0" w:line="26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is our first year presenting this metric and we are not able to provide historical information at this time. Comparative information will not be available until our first quarter of fiscal 2019.</w:t>
      </w:r>
    </w:p>
    <w:p>
      <w:pPr>
        <w:spacing w:after="0" w:line="177"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We expect that the amount of unbilled deferred revenue and deferred revenue will change from quarter to quarter for several reasons, including the specific timing, duration and size of large customer subscription and support agreements, varying billing cycles of such agreements, the specific timing of customer renewals, foreign currency fluctuations and the timing of when unbilled deferred revenue is recognized as revenue.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At July 31, 2017, we had $1.94 billion in cash, cash equivalents and marketable securities. This amount includes the aggregate net proceeds of $492.0 million, after deducting the underwriting discounts and related offering expenses, from our June 2017 registered underwritten public offering of $500.0 million aggregate principal amount of 3.5% notes due June 15, 2027. On July 27, 2017, we redeemed in full $400.0 million in aggregate principal amount of outstanding 1.95% senior notes due December 15, 2017. To redeem the notes, we used the proceeds of the 2017 notes to pay a redemption price of approximately $400.9 million, plus accrued and unpaid interest from June 15, 2017 to, but excluding, the redemption date. Total cash prepayment was $401.8 million.</w:t>
      </w:r>
    </w:p>
    <w:p>
      <w:pPr>
        <w:spacing w:after="0" w:line="19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completed the six months ended July 31, 2017 with lower accounts receivable and slightly lower deferred revenue balances as compared to the fiscal year ended January 31, 2017.</w:t>
      </w:r>
    </w:p>
    <w:p>
      <w:pPr>
        <w:spacing w:after="0" w:line="1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cash flow used in operations was $27.3 million, a decrease of 119% for the six months ended July 31, 2017 compared to $146.4 million of cash flow provided by operations in the six months ended July 31,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Further discussion regarding the balance sheet and cash flow activities are discussed below under the heading “Liquidity and Capital Resources.”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Change compared to</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Six Months</w:t>
            </w:r>
          </w:p>
        </w:tc>
        <w:tc>
          <w:tcPr>
            <w:tcW w:w="300" w:type="dxa"/>
            <w:vAlign w:val="bottom"/>
          </w:tcPr>
          <w:p>
            <w:pPr>
              <w:spacing w:after="0"/>
              <w:rPr>
                <w:sz w:val="14"/>
                <w:szCs w:val="14"/>
                <w:color w:val="auto"/>
              </w:rPr>
            </w:pPr>
          </w:p>
        </w:tc>
        <w:tc>
          <w:tcPr>
            <w:tcW w:w="1500" w:type="dxa"/>
            <w:vAlign w:val="bottom"/>
            <w:gridSpan w:val="4"/>
            <w:vMerge w:val="restart"/>
          </w:tcPr>
          <w:p>
            <w:pPr>
              <w:jc w:val="center"/>
              <w:ind w:left="108"/>
              <w:spacing w:after="0"/>
              <w:rPr>
                <w:sz w:val="20"/>
                <w:szCs w:val="20"/>
                <w:color w:val="auto"/>
              </w:rPr>
            </w:pPr>
            <w:r>
              <w:rPr>
                <w:rFonts w:ascii="Arial" w:cs="Arial" w:eastAsia="Arial" w:hAnsi="Arial"/>
                <w:sz w:val="14"/>
                <w:szCs w:val="14"/>
                <w:b w:val="1"/>
                <w:bCs w:val="1"/>
                <w:color w:val="auto"/>
                <w:w w:val="91"/>
              </w:rPr>
              <w:t>Change compared to</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Months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Months</w:t>
            </w:r>
          </w:p>
        </w:tc>
        <w:tc>
          <w:tcPr>
            <w:tcW w:w="10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prior fiscal year</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3"/>
              </w:rPr>
              <w:t>prior fiscal year</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2017</w:t>
            </w:r>
          </w:p>
        </w:tc>
        <w:tc>
          <w:tcPr>
            <w:tcW w:w="2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2016</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2017</w:t>
            </w:r>
          </w:p>
        </w:tc>
        <w:tc>
          <w:tcPr>
            <w:tcW w:w="3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July 31, 2016</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5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261.8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277.5</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525.4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561.9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 (1)</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9"/>
              </w:rPr>
              <w:t>182.2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187.3</w:t>
            </w:r>
          </w:p>
        </w:tc>
        <w:tc>
          <w:tcPr>
            <w:tcW w:w="0" w:type="dxa"/>
            <w:vAlign w:val="bottom"/>
          </w:tcPr>
          <w:p>
            <w:pPr>
              <w:spacing w:after="0"/>
              <w:rPr>
                <w:sz w:val="1"/>
                <w:szCs w:val="1"/>
                <w:color w:val="auto"/>
              </w:rPr>
            </w:pPr>
          </w:p>
        </w:tc>
      </w:tr>
      <w:tr>
        <w:trPr>
          <w:trHeight w:val="200"/>
        </w:trPr>
        <w:tc>
          <w:tcPr>
            <w:tcW w:w="2500" w:type="dxa"/>
            <w:vAlign w:val="bottom"/>
          </w:tcPr>
          <w:p>
            <w:pPr>
              <w:ind w:left="560"/>
              <w:spacing w:after="0"/>
              <w:rPr>
                <w:sz w:val="20"/>
                <w:szCs w:val="20"/>
                <w:color w:val="auto"/>
              </w:rPr>
            </w:pPr>
            <w:r>
              <w:rPr>
                <w:rFonts w:ascii="Arial" w:cs="Arial" w:eastAsia="Arial" w:hAnsi="Arial"/>
                <w:sz w:val="16"/>
                <w:szCs w:val="16"/>
                <w:color w:val="auto"/>
              </w:rPr>
              <w:t>Total maintenance and</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ind w:left="520"/>
              <w:spacing w:after="0"/>
              <w:rPr>
                <w:sz w:val="20"/>
                <w:szCs w:val="20"/>
                <w:color w:val="auto"/>
              </w:rPr>
            </w:pPr>
            <w:r>
              <w:rPr>
                <w:rFonts w:ascii="Arial" w:cs="Arial" w:eastAsia="Arial" w:hAnsi="Arial"/>
                <w:sz w:val="16"/>
                <w:szCs w:val="16"/>
                <w:color w:val="auto"/>
              </w:rPr>
              <w:t>subscription revenue</w:t>
            </w:r>
          </w:p>
        </w:tc>
        <w:tc>
          <w:tcPr>
            <w:tcW w:w="16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457.9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379.3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894.9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145.7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749.2</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 (1)</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(220.8)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313.4</w:t>
            </w:r>
          </w:p>
        </w:tc>
        <w:tc>
          <w:tcPr>
            <w:tcW w:w="0" w:type="dxa"/>
            <w:vAlign w:val="bottom"/>
          </w:tcPr>
          <w:p>
            <w:pPr>
              <w:spacing w:after="0"/>
              <w:rPr>
                <w:sz w:val="1"/>
                <w:szCs w:val="1"/>
                <w:color w:val="auto"/>
              </w:rPr>
            </w:pPr>
          </w:p>
        </w:tc>
      </w:tr>
      <w:tr>
        <w:trPr>
          <w:trHeight w:val="244"/>
        </w:trPr>
        <w:tc>
          <w:tcPr>
            <w:tcW w:w="25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550.7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987.5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1,062.6</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60" w:hanging="412"/>
        <w:spacing w:after="0" w:line="263"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 See Note 1, "Basis of Presentation", of our condensed consolidated financial statements for additional information.</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Maintenance and Subscription Revenue</w:t>
      </w:r>
    </w:p>
    <w:p>
      <w:pPr>
        <w:spacing w:after="0" w:line="225"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Our maintenance plans provide our customers with a cost effective and predictable budgetary option to obtain the productivity benefits of our new releases and enhancements when and if released during the term of their contracts. Under our maintenance plan, customers are eligible to receive unspecified upgrades, when and if available, and technical support. We recognize maintenance revenue over the term of the agreements, generally between one and three years. Subscription revenue consists of our term-based product subscriptions, cloud service offerings, and flexible enterprise business arrangements. Note that with the change in our condensed consolidated statement of operations in the first quarter of fiscal 2018, our term-based product subscriptions and flexible enterprise business arrangements are classified and presented in a single line item. Revenue from these arrangements is recognized ratably over the contract term. Revenue for our cloud service offerings is recognized ratably over the contract term commencing with the date our service is made available to customers.</w:t>
      </w:r>
    </w:p>
    <w:p>
      <w:pPr>
        <w:spacing w:after="0" w:line="19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6% decrease in maintenance revenue during both the three and six months ended July 31, 2017, as compared to the same periods in the prior fiscal year, was primarily attributable to the discontinuation of new maintenance agreements. We expect maintenance revenue will slowly decline; however, the rate of decline will vary based on the number of renewals, the renewal rate, and our ability to incentivize maintenance plan customers to switch over to subscription plan offerings.</w:t>
      </w:r>
    </w:p>
    <w:p>
      <w:pPr>
        <w:spacing w:after="0" w:line="187"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Subscription revenue increased 93% during the three months ended July 31, 2017, as compared to the three months ended July 31, 2016, primarily driven by a 164% increase in product subscription revenue and a 33% increase in revenue from enterprise business agreements.</w:t>
      </w:r>
    </w:p>
    <w:p>
      <w:pPr>
        <w:spacing w:after="0" w:line="14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Subscription revenue increased 97% during the six months ended July 31, 2017, as compared to the six months ended July 31, 2016, primarily driven by a 189% increase in product subscription revenue and a 32% increase in revenue from enterprise business agreements.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License and other revenue consists of (1) perpetual license revenue and (2) other revenue. Perpetual license revenue includes software license revenue from the sale of perpetual licenses and Creative Finishing. Other revenue includes revenue such as consulting and training, and is recognized over time as the services are performed.</w:t>
      </w:r>
    </w:p>
    <w:p>
      <w:pPr>
        <w:spacing w:after="0" w:line="18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License and other revenue decreased 74% and 70% during the three and six months ended July 31, 2017, respectively, as compared to the same periods in the prior fiscal year primarily due to a decrease in license revenue. The decrease in license revenue is a result of the business model transition, resulting in a respective 85% and 83% decrease in revenue from perpetual licenses as we have discontinued selling perpetual seats for most of our product offerings.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ind w:right="80" w:firstLine="405"/>
        <w:spacing w:after="0" w:line="264" w:lineRule="auto"/>
        <w:rPr>
          <w:sz w:val="20"/>
          <w:szCs w:val="20"/>
          <w:color w:val="auto"/>
        </w:rPr>
      </w:pPr>
      <w:r>
        <w:rPr>
          <w:rFonts w:ascii="Arial" w:cs="Arial" w:eastAsia="Arial" w:hAnsi="Arial"/>
          <w:sz w:val="18"/>
          <w:szCs w:val="18"/>
          <w:color w:val="auto"/>
        </w:rPr>
        <w:t>Within license and other revenue, there was a 21% decrease in other revenue during the three and six months ended July 31, 2017, as compared to the same periods in the prior fiscal year. Other revenue represented 5% of total net revenue for both the three and six months ended July 31, 2017 as compared to 5% and 6% for the three and six months ended July 31, 2016, respectively.</w:t>
      </w:r>
    </w:p>
    <w:p>
      <w:pPr>
        <w:spacing w:after="0" w:line="3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Product Family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Change compared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10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4"/>
                <w:szCs w:val="14"/>
                <w:color w:val="auto"/>
              </w:rPr>
            </w:pPr>
          </w:p>
        </w:tc>
        <w:tc>
          <w:tcPr>
            <w:tcW w:w="18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8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July 31, 2017</w:t>
            </w:r>
          </w:p>
        </w:tc>
        <w:tc>
          <w:tcPr>
            <w:tcW w:w="2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July 31, 2016</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31, 2017</w:t>
            </w:r>
          </w:p>
        </w:tc>
        <w:tc>
          <w:tcPr>
            <w:tcW w:w="260" w:type="dxa"/>
            <w:vAlign w:val="bottom"/>
          </w:tcPr>
          <w:p>
            <w:pPr>
              <w:spacing w:after="0"/>
              <w:rPr>
                <w:sz w:val="22"/>
                <w:szCs w:val="22"/>
                <w:color w:val="auto"/>
              </w:rPr>
            </w:pPr>
          </w:p>
        </w:tc>
        <w:tc>
          <w:tcPr>
            <w:tcW w:w="640" w:type="dxa"/>
            <w:vAlign w:val="bottom"/>
          </w:tcPr>
          <w:p>
            <w:pPr>
              <w:jc w:val="right"/>
              <w:ind w:right="34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July 31, 2016</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8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360"/>
              <w:spacing w:after="0"/>
              <w:rPr>
                <w:sz w:val="20"/>
                <w:szCs w:val="20"/>
                <w:color w:val="auto"/>
              </w:rPr>
            </w:pPr>
            <w:r>
              <w:rPr>
                <w:rFonts w:ascii="Arial" w:cs="Arial" w:eastAsia="Arial" w:hAnsi="Arial"/>
                <w:sz w:val="16"/>
                <w:szCs w:val="16"/>
                <w:color w:val="auto"/>
              </w:rPr>
              <w:t>Architecture, Engineering and</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tcPr>
          <w:p>
            <w:pPr>
              <w:ind w:left="520"/>
              <w:spacing w:after="0"/>
              <w:rPr>
                <w:sz w:val="20"/>
                <w:szCs w:val="20"/>
                <w:color w:val="auto"/>
              </w:rPr>
            </w:pPr>
            <w:r>
              <w:rPr>
                <w:rFonts w:ascii="Arial" w:cs="Arial" w:eastAsia="Arial" w:hAnsi="Arial"/>
                <w:sz w:val="16"/>
                <w:szCs w:val="16"/>
                <w:color w:val="auto"/>
              </w:rPr>
              <w:t>Construction ("AEC")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208.8</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8"/>
              </w:rPr>
              <w:t>(18)%</w:t>
            </w:r>
          </w:p>
        </w:tc>
        <w:tc>
          <w:tcPr>
            <w:tcW w:w="10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413.3</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(58.8)</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 ("MFG")</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334.9</w:t>
            </w:r>
          </w:p>
        </w:tc>
        <w:tc>
          <w:tcPr>
            <w:tcW w:w="0" w:type="dxa"/>
            <w:vAlign w:val="bottom"/>
          </w:tcPr>
          <w:p>
            <w:pPr>
              <w:spacing w:after="0"/>
              <w:rPr>
                <w:sz w:val="1"/>
                <w:szCs w:val="1"/>
                <w:color w:val="auto"/>
              </w:rPr>
            </w:pPr>
          </w:p>
        </w:tc>
      </w:tr>
      <w:tr>
        <w:trPr>
          <w:trHeight w:val="220"/>
        </w:trPr>
        <w:tc>
          <w:tcPr>
            <w:tcW w:w="2820" w:type="dxa"/>
            <w:vAlign w:val="bottom"/>
          </w:tcPr>
          <w:p>
            <w:pPr>
              <w:ind w:left="360"/>
              <w:spacing w:after="0"/>
              <w:rPr>
                <w:sz w:val="20"/>
                <w:szCs w:val="20"/>
                <w:color w:val="auto"/>
              </w:rPr>
            </w:pPr>
            <w:r>
              <w:rPr>
                <w:rFonts w:ascii="Arial" w:cs="Arial" w:eastAsia="Arial" w:hAnsi="Arial"/>
                <w:sz w:val="16"/>
                <w:szCs w:val="16"/>
                <w:color w:val="auto"/>
              </w:rPr>
              <w:t>AutoCAD and AutoCAD LT</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tcPr>
          <w:p>
            <w:pPr>
              <w:ind w:left="520"/>
              <w:spacing w:after="0"/>
              <w:rPr>
                <w:sz w:val="20"/>
                <w:szCs w:val="20"/>
                <w:color w:val="auto"/>
              </w:rPr>
            </w:pPr>
            <w:r>
              <w:rPr>
                <w:rFonts w:ascii="Arial" w:cs="Arial" w:eastAsia="Arial" w:hAnsi="Arial"/>
                <w:sz w:val="16"/>
                <w:szCs w:val="16"/>
                <w:color w:val="auto"/>
              </w:rPr>
              <w:t>("ACAD") (1)</w:t>
            </w:r>
          </w:p>
        </w:tc>
        <w:tc>
          <w:tcPr>
            <w:tcW w:w="16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29.0</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Media and Entertainment ("M&amp;E")</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37"/>
        </w:trPr>
        <w:tc>
          <w:tcPr>
            <w:tcW w:w="2820" w:type="dxa"/>
            <w:vAlign w:val="bottom"/>
          </w:tcPr>
          <w:p>
            <w:pPr>
              <w:ind w:left="380"/>
              <w:spacing w:after="0"/>
              <w:rPr>
                <w:sz w:val="20"/>
                <w:szCs w:val="20"/>
                <w:color w:val="auto"/>
              </w:rPr>
            </w:pPr>
            <w:r>
              <w:rPr>
                <w:rFonts w:ascii="Arial" w:cs="Arial" w:eastAsia="Arial" w:hAnsi="Arial"/>
                <w:sz w:val="16"/>
                <w:szCs w:val="16"/>
                <w:color w:val="auto"/>
              </w:rPr>
              <w:t>Other (1)</w:t>
            </w:r>
          </w:p>
        </w:tc>
        <w:tc>
          <w:tcPr>
            <w:tcW w:w="160" w:type="dxa"/>
            <w:vAlign w:val="bottom"/>
          </w:tcPr>
          <w:p>
            <w:pPr>
              <w:spacing w:after="0"/>
              <w:rPr>
                <w:sz w:val="20"/>
                <w:szCs w:val="20"/>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8"/>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1,062.6</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w:t>
      </w:r>
    </w:p>
    <w:p>
      <w:pPr>
        <w:spacing w:after="0" w:line="20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product offerings are focused in four primary product families: AEC, MFG, ACAD, and M&amp;E. During the business model transition, revenue has been and will be negatively impacted as more revenue is recognized ratably rather than upfront and as new product offerings generally have a lower initial purchase price. As noted in the discussion under the heading "Strategy," we discontinued selling new perpetual licenses of most individual software products in fiscal 2017 and we discontinued selling new perpetual licenses of suites as of August 1, 2016 with the introduction of industry collections. These broad impacts are reflected in the drivers below.</w:t>
      </w:r>
    </w:p>
    <w:p>
      <w:pPr>
        <w:spacing w:after="0" w:line="188"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During the three months ended July 31, 2017, net revenue for the AEC product family decreased 18% as compared to the same period in the prior fiscal year primarily due to a 48% decrease in revenue from AEC suites, partially offset by a 35% increase from AEC EBAs.</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During the six months ended July 31, 2017, net revenue for the AEC product family decreased 12% as compared to the same period in the prior fiscal year primarily due to a 40% decrease in revenue from our AEC suites, partially offset by a 36% increase from AEC EBAs.</w:t>
      </w:r>
    </w:p>
    <w:p>
      <w:pPr>
        <w:spacing w:after="0" w:line="170"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During the three and six months ended July 31, 2017, net revenue for the MFG product family decreased 17% and 14% as compared to the same periods in the prior fiscal year, respectively, primarily due to a respective 39% and 33% decrease in our MFG suites.</w:t>
      </w:r>
    </w:p>
    <w:p>
      <w:pPr>
        <w:spacing w:after="0" w:line="1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During the three and six months ended July 31, 2017, net revenue for the ACAD product family increased 32% and 18%, as compared to the same periods in the prior fiscal year, respectively, primarily due to a respective 64% and 46% increase in AutoCAD LT as well as a respective 18% and 6% increase in AutoCAD.</w:t>
      </w:r>
    </w:p>
    <w:p>
      <w:pPr>
        <w:spacing w:after="0" w:line="18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During the three and six months ended July 31, 2017, net revenue for the M&amp;E product family increased 10% and 7% as compared to the same periods in the prior fiscal year, respectively, primarily due to a respective 14% and 13% increase in Animation, partially offset by a respective 19% and 30% decrease in Creative Finishing.</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As a % of Net</w:t>
            </w:r>
          </w:p>
        </w:tc>
        <w:tc>
          <w:tcPr>
            <w:tcW w:w="100" w:type="dxa"/>
            <w:vAlign w:val="bottom"/>
          </w:tcPr>
          <w:p>
            <w:pPr>
              <w:spacing w:after="0"/>
              <w:rPr>
                <w:sz w:val="14"/>
                <w:szCs w:val="14"/>
                <w:color w:val="auto"/>
              </w:rPr>
            </w:pPr>
          </w:p>
        </w:tc>
        <w:tc>
          <w:tcPr>
            <w:tcW w:w="124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c>
          <w:tcPr>
            <w:tcW w:w="0" w:type="dxa"/>
            <w:vAlign w:val="bottom"/>
          </w:tcPr>
          <w:p>
            <w:pPr>
              <w:spacing w:after="0"/>
              <w:rPr>
                <w:sz w:val="1"/>
                <w:szCs w:val="1"/>
                <w:color w:val="auto"/>
              </w:rPr>
            </w:pPr>
          </w:p>
        </w:tc>
      </w:tr>
      <w:tr>
        <w:trPr>
          <w:trHeight w:val="192"/>
        </w:trPr>
        <w:tc>
          <w:tcPr>
            <w:tcW w:w="55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Ended July 31, 2017</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Ended July 31, 2016</w:t>
            </w: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214.0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230.1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 ("EMEA")</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5580" w:type="dxa"/>
            <w:vAlign w:val="bottom"/>
          </w:tcPr>
          <w:p>
            <w:pPr>
              <w:ind w:left="380"/>
              <w:spacing w:after="0"/>
              <w:rPr>
                <w:sz w:val="20"/>
                <w:szCs w:val="20"/>
                <w:color w:val="auto"/>
              </w:rPr>
            </w:pPr>
            <w:r>
              <w:rPr>
                <w:rFonts w:ascii="Arial" w:cs="Arial" w:eastAsia="Arial" w:hAnsi="Arial"/>
                <w:sz w:val="16"/>
                <w:szCs w:val="16"/>
                <w:color w:val="auto"/>
              </w:rPr>
              <w:t>Asia Pacific ("APAC")</w:t>
            </w:r>
          </w:p>
        </w:tc>
        <w:tc>
          <w:tcPr>
            <w:tcW w:w="1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88.5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100.1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501.8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550.7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As a % of Net</w:t>
            </w:r>
          </w:p>
        </w:tc>
        <w:tc>
          <w:tcPr>
            <w:tcW w:w="100" w:type="dxa"/>
            <w:vAlign w:val="bottom"/>
          </w:tcPr>
          <w:p>
            <w:pPr>
              <w:spacing w:after="0"/>
              <w:rPr>
                <w:sz w:val="24"/>
                <w:szCs w:val="24"/>
                <w:color w:val="auto"/>
              </w:rPr>
            </w:pPr>
          </w:p>
        </w:tc>
        <w:tc>
          <w:tcPr>
            <w:tcW w:w="124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c>
          <w:tcPr>
            <w:tcW w:w="0" w:type="dxa"/>
            <w:vAlign w:val="bottom"/>
          </w:tcPr>
          <w:p>
            <w:pPr>
              <w:spacing w:after="0"/>
              <w:rPr>
                <w:sz w:val="1"/>
                <w:szCs w:val="1"/>
                <w:color w:val="auto"/>
              </w:rPr>
            </w:pPr>
          </w:p>
        </w:tc>
      </w:tr>
      <w:tr>
        <w:trPr>
          <w:trHeight w:val="192"/>
        </w:trPr>
        <w:tc>
          <w:tcPr>
            <w:tcW w:w="55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July 31, 2017</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6"/>
                <w:szCs w:val="16"/>
                <w:color w:val="auto"/>
              </w:rPr>
            </w:pPr>
          </w:p>
        </w:tc>
        <w:tc>
          <w:tcPr>
            <w:tcW w:w="1240" w:type="dxa"/>
            <w:vAlign w:val="bottom"/>
          </w:tcPr>
          <w:p>
            <w:pPr>
              <w:jc w:val="center"/>
              <w:ind w:right="1"/>
              <w:spacing w:after="0"/>
              <w:rPr>
                <w:sz w:val="20"/>
                <w:szCs w:val="20"/>
                <w:color w:val="auto"/>
              </w:rPr>
            </w:pPr>
            <w:r>
              <w:rPr>
                <w:rFonts w:ascii="Arial" w:cs="Arial" w:eastAsia="Arial" w:hAnsi="Arial"/>
                <w:sz w:val="14"/>
                <w:szCs w:val="14"/>
                <w:b w:val="1"/>
                <w:bCs w:val="1"/>
                <w:color w:val="auto"/>
                <w:w w:val="92"/>
              </w:rPr>
              <w:t>July 31, 2016</w:t>
            </w: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424.1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447.8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EMEA</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389.0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423.1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5580" w:type="dxa"/>
            <w:vAlign w:val="bottom"/>
          </w:tcPr>
          <w:p>
            <w:pPr>
              <w:ind w:left="380"/>
              <w:spacing w:after="0"/>
              <w:rPr>
                <w:sz w:val="20"/>
                <w:szCs w:val="20"/>
                <w:color w:val="auto"/>
              </w:rPr>
            </w:pPr>
            <w:r>
              <w:rPr>
                <w:rFonts w:ascii="Arial" w:cs="Arial" w:eastAsia="Arial" w:hAnsi="Arial"/>
                <w:sz w:val="16"/>
                <w:szCs w:val="16"/>
                <w:color w:val="auto"/>
              </w:rPr>
              <w:t>APAC</w:t>
            </w:r>
          </w:p>
        </w:tc>
        <w:tc>
          <w:tcPr>
            <w:tcW w:w="1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174.4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191.7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987.5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1,062.6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80" w:type="dxa"/>
            <w:vAlign w:val="bottom"/>
          </w:tcPr>
          <w:p>
            <w:pPr>
              <w:spacing w:after="0"/>
              <w:rPr>
                <w:sz w:val="20"/>
                <w:szCs w:val="20"/>
                <w:color w:val="auto"/>
              </w:rPr>
            </w:pPr>
            <w:r>
              <w:rPr>
                <w:rFonts w:ascii="Arial" w:cs="Arial" w:eastAsia="Arial" w:hAnsi="Arial"/>
                <w:sz w:val="16"/>
                <w:szCs w:val="16"/>
                <w:color w:val="auto"/>
              </w:rPr>
              <w:t>(1)   Totals may not sum due to rounding.</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Net revenue in the Americas geography decreased by 7% both on an as reported basis and on a constant currency basis during the three months ended July 31, 2017, as compared to the same period in the prior fiscal year. Net revenue in the Americas attributable to the United States was approximately 86% and 85% for the three months ended July 31, 2017 and 2016, respectively.</w:t>
      </w:r>
    </w:p>
    <w:p>
      <w:pPr>
        <w:spacing w:after="0" w:line="18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Net revenue in the Americas geography decreased by 5% both on an as reported basis and on a constant currency basis during the six months ended July 31, 2017, as compared to the same period in the prior fiscal year. Net revenue in the Americas attributable to the United States was approximately 86% and 85% for the six months ended July 31, 2017 and 2016, respectively.</w:t>
      </w:r>
    </w:p>
    <w:p>
      <w:pPr>
        <w:spacing w:after="0" w:line="18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International net revenue represented 63% and 65% of our net revenue for the three months ended July 31, 2017 and 2016, respectively. Net revenue in the EMEA geography decreased by 10% on an as reported basis and 7% on a constant currency basis during the three months ended July 31, 2017 as compared to the same period in the prior fiscal year. Net revenue in the APAC geography decreased by 12% both on an as reported basis and on a constant currency basis during the three months ended July 31, 2017 as compared to the same period in the prior fiscal year.</w:t>
      </w:r>
    </w:p>
    <w:p>
      <w:pPr>
        <w:spacing w:after="0" w:line="17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International net revenue represented 63% and 64% of our net revenue for the six months ended July 31, 2017 and 2016, respectively. Net revenue in the EMEA geography decreased by 8% on an as reported basis and 5% on a constant currency basis during the six months ended July 31, 2017 as compared to the same period in the prior fiscal year. Net revenue in the APAC geography decreased by 9% on an as reported basis and 10% on a constant currency basis during the six months ended July 31, 2017 as compared to the same period in the prior fiscal year.</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Weak global economic conditions that have been characterized by restructuring of sovereign debt, high unemployment, and volatility in the financial markets may impact our future financial results. Additionally, during the business model transition, revenue has been and will be negatively impacted as more revenue is recognized ratably rather than upfront and as new product offerings generally have a lower initial purchase price. This transition has a particular impact to emerging economies as sales of perpetual licenses have historically comprised a greater percentage of total emerging economy sales in comparison to mature markets.</w:t>
      </w:r>
    </w:p>
    <w:p>
      <w:pPr>
        <w:spacing w:after="0" w:line="18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Net revenue in emerging economies decreased by 14% on an as reported basis and 13% on a constant currency basis during the three months ended July 31, 2017, as compared to the same period in the prior fiscal year. Revenue from emerging economies represented 11% of net revenue for both the three months ended July 31, 2017 and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26" w:right="239" w:bottom="1440" w:gutter="0" w:footer="0" w:header="0"/>
        </w:sectPr>
      </w:pPr>
    </w:p>
    <w:bookmarkStart w:id="35" w:name="page36"/>
    <w:bookmarkEnd w:id="35"/>
    <w:p>
      <w:pPr>
        <w:ind w:right="340" w:firstLine="432"/>
        <w:spacing w:after="0" w:line="264" w:lineRule="auto"/>
        <w:rPr>
          <w:sz w:val="20"/>
          <w:szCs w:val="20"/>
          <w:color w:val="auto"/>
        </w:rPr>
      </w:pPr>
      <w:r>
        <w:rPr>
          <w:rFonts w:ascii="Arial" w:cs="Arial" w:eastAsia="Arial" w:hAnsi="Arial"/>
          <w:sz w:val="18"/>
          <w:szCs w:val="18"/>
          <w:color w:val="auto"/>
        </w:rPr>
        <w:t>Net revenue in emerging economies decreased by 11% both on an as reported basis and on a constant currency basis during the six months ended July 31, 2017, as compared to the same period in the prior fiscal year. Revenue from emerging economies represented 11% of net revenue for both the six months ended July 31,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jc w:val="both"/>
        <w:ind w:right="260" w:firstLine="432"/>
        <w:spacing w:after="0" w:line="259" w:lineRule="auto"/>
        <w:rPr>
          <w:sz w:val="20"/>
          <w:szCs w:val="20"/>
          <w:color w:val="auto"/>
        </w:rPr>
      </w:pPr>
      <w:r>
        <w:rPr>
          <w:rFonts w:ascii="Arial" w:cs="Arial" w:eastAsia="Arial" w:hAnsi="Arial"/>
          <w:sz w:val="18"/>
          <w:szCs w:val="18"/>
          <w:color w:val="auto"/>
        </w:rPr>
        <w:t>Cost of maintenance and subscription revenue includes the labor costs of providing product support to our maintenance and subscription customers, including allocated IT and facilities costs, shipping and handling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Cost of license and other revenue includes labor costs associated with product setup and fulfillment for perpetual licenses and costs of consulting and training services contracts and collaborative project management services contracts. Cost of license and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payment processing fees, the cost of supplies and equipment, gains and losses on our operating expense cash flow hedges, and allocated IT and facilities costs.</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General and administrative expenses include salaries, bonuses, transition costs,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and the cost of supplies and equipment.</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Three</w:t>
            </w:r>
          </w:p>
        </w:tc>
        <w:tc>
          <w:tcPr>
            <w:tcW w:w="200" w:type="dxa"/>
            <w:vAlign w:val="bottom"/>
          </w:tcPr>
          <w:p>
            <w:pPr>
              <w:spacing w:after="0"/>
              <w:rPr>
                <w:sz w:val="14"/>
                <w:szCs w:val="14"/>
                <w:color w:val="auto"/>
              </w:rPr>
            </w:pPr>
          </w:p>
        </w:tc>
        <w:tc>
          <w:tcPr>
            <w:tcW w:w="18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Change compared to</w:t>
            </w:r>
          </w:p>
        </w:tc>
        <w:tc>
          <w:tcPr>
            <w:tcW w:w="120" w:type="dxa"/>
            <w:vAlign w:val="bottom"/>
          </w:tcPr>
          <w:p>
            <w:pPr>
              <w:spacing w:after="0"/>
              <w:rPr>
                <w:sz w:val="14"/>
                <w:szCs w:val="14"/>
                <w:color w:val="auto"/>
              </w:rPr>
            </w:pPr>
          </w:p>
        </w:tc>
        <w:tc>
          <w:tcPr>
            <w:tcW w:w="660" w:type="dxa"/>
            <w:vAlign w:val="bottom"/>
          </w:tcPr>
          <w:p>
            <w:pPr>
              <w:jc w:val="center"/>
              <w:ind w:right="43"/>
              <w:spacing w:after="0"/>
              <w:rPr>
                <w:sz w:val="20"/>
                <w:szCs w:val="20"/>
                <w:color w:val="auto"/>
              </w:rPr>
            </w:pPr>
            <w:r>
              <w:rPr>
                <w:rFonts w:ascii="Arial" w:cs="Arial" w:eastAsia="Arial" w:hAnsi="Arial"/>
                <w:sz w:val="14"/>
                <w:szCs w:val="14"/>
                <w:b w:val="1"/>
                <w:bCs w:val="1"/>
                <w:color w:val="auto"/>
                <w:w w:val="99"/>
              </w:rPr>
              <w:t>Three</w:t>
            </w:r>
          </w:p>
        </w:tc>
        <w:tc>
          <w:tcPr>
            <w:tcW w:w="1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c>
          <w:tcPr>
            <w:tcW w:w="20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00" w:type="dxa"/>
            <w:vAlign w:val="bottom"/>
          </w:tcPr>
          <w:p>
            <w:pPr>
              <w:spacing w:after="0"/>
              <w:rPr>
                <w:sz w:val="13"/>
                <w:szCs w:val="13"/>
                <w:color w:val="auto"/>
              </w:rPr>
            </w:pPr>
          </w:p>
        </w:tc>
        <w:tc>
          <w:tcPr>
            <w:tcW w:w="6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23"/>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48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7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66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4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20" w:type="dxa"/>
            <w:vAlign w:val="bottom"/>
          </w:tcPr>
          <w:p>
            <w:pPr>
              <w:ind w:left="360"/>
              <w:spacing w:after="0"/>
              <w:rPr>
                <w:sz w:val="20"/>
                <w:szCs w:val="20"/>
                <w:color w:val="auto"/>
              </w:rPr>
            </w:pPr>
            <w:r>
              <w:rPr>
                <w:rFonts w:ascii="Arial" w:cs="Arial" w:eastAsia="Arial" w:hAnsi="Arial"/>
                <w:sz w:val="16"/>
                <w:szCs w:val="16"/>
                <w:color w:val="auto"/>
                <w:w w:val="98"/>
              </w:rPr>
              <w:t>Maintenance and subscription (1)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6.0</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Driven by increases in employee-related costs</w:t>
            </w:r>
          </w:p>
        </w:tc>
        <w:tc>
          <w:tcPr>
            <w:tcW w:w="0" w:type="dxa"/>
            <w:vAlign w:val="bottom"/>
          </w:tcPr>
          <w:p>
            <w:pPr>
              <w:spacing w:after="0"/>
              <w:rPr>
                <w:sz w:val="1"/>
                <w:szCs w:val="1"/>
                <w:color w:val="auto"/>
              </w:rPr>
            </w:pPr>
          </w:p>
        </w:tc>
      </w:tr>
      <w:tr>
        <w:trPr>
          <w:trHeight w:val="33"/>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lower employee-related costs from reduced headcount</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associated with license and other revenue products and services, and</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decreases in direct material costs as a result of the business model</w:t>
            </w:r>
          </w:p>
        </w:tc>
        <w:tc>
          <w:tcPr>
            <w:tcW w:w="0" w:type="dxa"/>
            <w:vAlign w:val="bottom"/>
          </w:tcPr>
          <w:p>
            <w:pPr>
              <w:spacing w:after="0"/>
              <w:rPr>
                <w:sz w:val="1"/>
                <w:szCs w:val="1"/>
                <w:color w:val="auto"/>
              </w:rPr>
            </w:pPr>
          </w:p>
        </w:tc>
      </w:tr>
      <w:tr>
        <w:trPr>
          <w:trHeight w:val="219"/>
        </w:trPr>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 (1)</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19"/>
                <w:szCs w:val="19"/>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transition</w:t>
            </w:r>
          </w:p>
        </w:tc>
        <w:tc>
          <w:tcPr>
            <w:tcW w:w="0" w:type="dxa"/>
            <w:vAlign w:val="bottom"/>
          </w:tcPr>
          <w:p>
            <w:pPr>
              <w:spacing w:after="0"/>
              <w:rPr>
                <w:sz w:val="1"/>
                <w:szCs w:val="1"/>
                <w:color w:val="auto"/>
              </w:rPr>
            </w:pPr>
          </w:p>
        </w:tc>
      </w:tr>
      <w:tr>
        <w:trPr>
          <w:trHeight w:val="220"/>
        </w:trPr>
        <w:tc>
          <w:tcPr>
            <w:tcW w:w="2720" w:type="dxa"/>
            <w:vAlign w:val="bottom"/>
          </w:tcPr>
          <w:p>
            <w:pPr>
              <w:ind w:left="360"/>
              <w:spacing w:after="0"/>
              <w:rPr>
                <w:sz w:val="20"/>
                <w:szCs w:val="20"/>
                <w:color w:val="auto"/>
              </w:rPr>
            </w:pPr>
            <w:r>
              <w:rPr>
                <w:rFonts w:ascii="Arial" w:cs="Arial" w:eastAsia="Arial" w:hAnsi="Arial"/>
                <w:sz w:val="16"/>
                <w:szCs w:val="16"/>
                <w:color w:val="auto"/>
              </w:rPr>
              <w:t>Amortization of developed</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w w:val="92"/>
              </w:rPr>
              <w:t>Down as previously acquired developed technologies continue to become</w:t>
            </w:r>
          </w:p>
        </w:tc>
        <w:tc>
          <w:tcPr>
            <w:tcW w:w="0" w:type="dxa"/>
            <w:vAlign w:val="bottom"/>
          </w:tcPr>
          <w:p>
            <w:pPr>
              <w:spacing w:after="0"/>
              <w:rPr>
                <w:sz w:val="1"/>
                <w:szCs w:val="1"/>
                <w:color w:val="auto"/>
              </w:rPr>
            </w:pPr>
          </w:p>
        </w:tc>
      </w:tr>
      <w:tr>
        <w:trPr>
          <w:trHeight w:val="206"/>
        </w:trPr>
        <w:tc>
          <w:tcPr>
            <w:tcW w:w="2720" w:type="dxa"/>
            <w:vAlign w:val="bottom"/>
          </w:tcPr>
          <w:p>
            <w:pPr>
              <w:ind w:left="520"/>
              <w:spacing w:after="0"/>
              <w:rPr>
                <w:sz w:val="20"/>
                <w:szCs w:val="20"/>
                <w:color w:val="auto"/>
              </w:rPr>
            </w:pPr>
            <w:r>
              <w:rPr>
                <w:rFonts w:ascii="Arial" w:cs="Arial" w:eastAsia="Arial" w:hAnsi="Arial"/>
                <w:sz w:val="16"/>
                <w:szCs w:val="16"/>
                <w:color w:val="auto"/>
              </w:rPr>
              <w:t>technology (1)</w:t>
            </w:r>
          </w:p>
        </w:tc>
        <w:tc>
          <w:tcPr>
            <w:tcW w:w="12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fully amortized and there were no acquisitions in the current period</w:t>
            </w:r>
          </w:p>
        </w:tc>
        <w:tc>
          <w:tcPr>
            <w:tcW w:w="0" w:type="dxa"/>
            <w:vAlign w:val="bottom"/>
          </w:tcPr>
          <w:p>
            <w:pPr>
              <w:spacing w:after="0"/>
              <w:rPr>
                <w:sz w:val="1"/>
                <w:szCs w:val="1"/>
                <w:color w:val="auto"/>
              </w:rPr>
            </w:pPr>
          </w:p>
        </w:tc>
      </w:tr>
      <w:tr>
        <w:trPr>
          <w:trHeight w:val="33"/>
        </w:trPr>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w w:val="91"/>
              </w:rPr>
              <w:t>Driven by employee-related costs and stock-based compensation expense</w:t>
            </w:r>
          </w:p>
        </w:tc>
        <w:tc>
          <w:tcPr>
            <w:tcW w:w="0" w:type="dxa"/>
            <w:vAlign w:val="bottom"/>
          </w:tcPr>
          <w:p>
            <w:pPr>
              <w:spacing w:after="0"/>
              <w:rPr>
                <w:sz w:val="1"/>
                <w:szCs w:val="1"/>
                <w:color w:val="auto"/>
              </w:rPr>
            </w:pPr>
          </w:p>
        </w:tc>
      </w:tr>
      <w:tr>
        <w:trPr>
          <w:trHeight w:val="206"/>
        </w:trPr>
        <w:tc>
          <w:tcPr>
            <w:tcW w:w="272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257.6</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14.5</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on increased headcount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Driven by higher professional fees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9.4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Driven by costs associated with the CEO transition</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Down as previously acquired intangible assets continue to become fully</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intangibles</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amortized and there were no acquisitions in the current period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6"/>
                <w:szCs w:val="16"/>
                <w:color w:val="auto"/>
              </w:rPr>
              <w:t>Restructuring charges and other</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w w:val="94"/>
              </w:rPr>
              <w:t>Down as the majority of the Fiscal 2017 Plan was recognized during the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20" w:type="dxa"/>
            <w:vAlign w:val="bottom"/>
          </w:tcPr>
          <w:p>
            <w:pPr>
              <w:ind w:left="540"/>
              <w:spacing w:after="0"/>
              <w:rPr>
                <w:sz w:val="20"/>
                <w:szCs w:val="20"/>
                <w:color w:val="auto"/>
              </w:rPr>
            </w:pPr>
            <w:r>
              <w:rPr>
                <w:rFonts w:ascii="Arial" w:cs="Arial" w:eastAsia="Arial" w:hAnsi="Arial"/>
                <w:sz w:val="16"/>
                <w:szCs w:val="16"/>
                <w:color w:val="auto"/>
              </w:rPr>
              <w:t>facility exit costs, net (2)</w:t>
            </w:r>
          </w:p>
        </w:tc>
        <w:tc>
          <w:tcPr>
            <w:tcW w:w="12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first half of fiscal 2017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528.5</w:t>
            </w:r>
          </w:p>
        </w:tc>
        <w:tc>
          <w:tcPr>
            <w:tcW w:w="1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220" w:type="dxa"/>
            <w:vAlign w:val="bottom"/>
          </w:tcPr>
          <w:p>
            <w:pPr>
              <w:spacing w:after="0"/>
              <w:rPr>
                <w:sz w:val="24"/>
                <w:szCs w:val="24"/>
                <w:color w:val="auto"/>
              </w:rPr>
            </w:pPr>
          </w:p>
        </w:tc>
        <w:tc>
          <w:tcPr>
            <w:tcW w:w="1800" w:type="dxa"/>
            <w:vAlign w:val="bottom"/>
            <w:gridSpan w:val="4"/>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Six Months</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5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20"/>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48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4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ind w:left="380"/>
              <w:spacing w:after="0"/>
              <w:rPr>
                <w:sz w:val="20"/>
                <w:szCs w:val="20"/>
                <w:color w:val="auto"/>
              </w:rPr>
            </w:pPr>
            <w:r>
              <w:rPr>
                <w:rFonts w:ascii="Arial" w:cs="Arial" w:eastAsia="Arial" w:hAnsi="Arial"/>
                <w:sz w:val="16"/>
                <w:szCs w:val="16"/>
                <w:color w:val="auto"/>
                <w:w w:val="98"/>
              </w:rPr>
              <w:t>Maintenance and subscription (1)</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Driven by increases in employee-related costs and royalties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lower employee-related costs from reduced headcount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associated with license and other revenue products and services,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decreases in direct material costs as a result of the business model</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 (1)</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19"/>
                <w:szCs w:val="19"/>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transition, and decreased royalties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tcPr>
          <w:p>
            <w:pPr>
              <w:ind w:left="360"/>
              <w:spacing w:after="0"/>
              <w:rPr>
                <w:sz w:val="20"/>
                <w:szCs w:val="20"/>
                <w:color w:val="auto"/>
              </w:rPr>
            </w:pPr>
            <w:r>
              <w:rPr>
                <w:rFonts w:ascii="Arial" w:cs="Arial" w:eastAsia="Arial" w:hAnsi="Arial"/>
                <w:sz w:val="16"/>
                <w:szCs w:val="16"/>
                <w:color w:val="auto"/>
              </w:rPr>
              <w:t>Amortization of developed</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w w:val="92"/>
              </w:rPr>
              <w:t>Down as previously acquired developed technologies continue to become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20" w:type="dxa"/>
            <w:vAlign w:val="bottom"/>
          </w:tcPr>
          <w:p>
            <w:pPr>
              <w:ind w:left="520"/>
              <w:spacing w:after="0"/>
              <w:rPr>
                <w:sz w:val="20"/>
                <w:szCs w:val="20"/>
                <w:color w:val="auto"/>
              </w:rPr>
            </w:pPr>
            <w:r>
              <w:rPr>
                <w:rFonts w:ascii="Arial" w:cs="Arial" w:eastAsia="Arial" w:hAnsi="Arial"/>
                <w:sz w:val="16"/>
                <w:szCs w:val="16"/>
                <w:color w:val="auto"/>
              </w:rPr>
              <w:t>technology (1)</w:t>
            </w:r>
          </w:p>
        </w:tc>
        <w:tc>
          <w:tcPr>
            <w:tcW w:w="12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fully amortized and there were no acquisitions in the current period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177.5</w:t>
            </w:r>
          </w:p>
        </w:tc>
        <w:tc>
          <w:tcPr>
            <w:tcW w:w="1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w w:val="91"/>
              </w:rPr>
              <w:t>Driven by employee-related costs and stock-based compensation expense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2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513.3</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29.4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483.9</w:t>
            </w:r>
          </w:p>
        </w:tc>
        <w:tc>
          <w:tcPr>
            <w:tcW w:w="12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on increased headcount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386.5</w:t>
            </w:r>
          </w:p>
        </w:tc>
        <w:tc>
          <w:tcPr>
            <w:tcW w:w="1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Down on a decrease in employee-related costs on lower headcount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w w:val="97"/>
              </w:rPr>
              <w:t>Driven by costs associated with the CEO transition partially offset by 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w w:val="91"/>
              </w:rPr>
              <w:t>decrease in employee-related costs on lower headcount and a decrease in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2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Down as previously acquired intangible assets continue to become fully</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intangibles</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amortized and there were no acquisitions in the current period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6"/>
                <w:szCs w:val="16"/>
                <w:color w:val="auto"/>
              </w:rPr>
              <w:t>Restructuring charges and other</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w w:val="94"/>
              </w:rPr>
              <w:t>Down as the majority of the Fiscal 2017 Plan was recognized during the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20" w:type="dxa"/>
            <w:vAlign w:val="bottom"/>
          </w:tcPr>
          <w:p>
            <w:pPr>
              <w:ind w:left="540"/>
              <w:spacing w:after="0"/>
              <w:rPr>
                <w:sz w:val="20"/>
                <w:szCs w:val="20"/>
                <w:color w:val="auto"/>
              </w:rPr>
            </w:pPr>
            <w:r>
              <w:rPr>
                <w:rFonts w:ascii="Arial" w:cs="Arial" w:eastAsia="Arial" w:hAnsi="Arial"/>
                <w:sz w:val="16"/>
                <w:szCs w:val="16"/>
                <w:color w:val="auto"/>
              </w:rPr>
              <w:t>facility exit costs, net (2)</w:t>
            </w:r>
          </w:p>
        </w:tc>
        <w:tc>
          <w:tcPr>
            <w:tcW w:w="12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first half of fiscal 2017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1,097.7</w:t>
            </w:r>
          </w:p>
        </w:tc>
        <w:tc>
          <w:tcPr>
            <w:tcW w:w="1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jc w:val="right"/>
              <w:ind w:right="859"/>
              <w:spacing w:after="0"/>
              <w:rPr>
                <w:sz w:val="20"/>
                <w:szCs w:val="20"/>
                <w:color w:val="auto"/>
              </w:rPr>
            </w:pPr>
            <w:r>
              <w:rPr>
                <w:rFonts w:ascii="Arial" w:cs="Arial" w:eastAsia="Arial" w:hAnsi="Arial"/>
                <w:sz w:val="18"/>
                <w:szCs w:val="18"/>
                <w:color w:val="auto"/>
                <w:w w:val="88"/>
              </w:rPr>
              <w:t>____________________</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60" w:hanging="412"/>
        <w:spacing w:after="0" w:line="249"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 See Note 1, "Basis of Presentation," of our condensed consolidated financial statements for additional information.</w:t>
      </w:r>
    </w:p>
    <w:p>
      <w:pPr>
        <w:ind w:left="420" w:hanging="412"/>
        <w:spacing w:after="0"/>
        <w:tabs>
          <w:tab w:leader="none" w:pos="4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See Note 13, "Restructuring charges and other facility exit costs, net" in the Notes to Condensed Consolidated Financial Statements for additional information.</w:t>
      </w:r>
    </w:p>
    <w:p>
      <w:pPr>
        <w:spacing w:after="0" w:line="21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third quarter of fiscal 2018, as compared to the third quarter of fiscal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Absolute dollar impact</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net revenue impact</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9"/>
              </w:rPr>
              <w:t>Flat</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Slight Increase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Flat</w:t>
            </w:r>
          </w:p>
        </w:tc>
        <w:tc>
          <w:tcPr>
            <w:tcW w:w="2280" w:type="dxa"/>
            <w:vAlign w:val="bottom"/>
          </w:tcPr>
          <w:p>
            <w:pPr>
              <w:jc w:val="center"/>
              <w:spacing w:after="0"/>
              <w:rPr>
                <w:sz w:val="20"/>
                <w:szCs w:val="20"/>
                <w:color w:val="auto"/>
              </w:rPr>
            </w:pPr>
            <w:r>
              <w:rPr>
                <w:rFonts w:ascii="Arial" w:cs="Arial" w:eastAsia="Arial" w:hAnsi="Arial"/>
                <w:sz w:val="16"/>
                <w:szCs w:val="16"/>
                <w:color w:val="auto"/>
                <w:w w:val="89"/>
              </w:rPr>
              <w:t>Flat</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Slight Decrease</w:t>
            </w:r>
          </w:p>
        </w:tc>
      </w:tr>
      <w:tr>
        <w:trPr>
          <w:trHeight w:val="33"/>
        </w:trPr>
        <w:tc>
          <w:tcPr>
            <w:tcW w:w="67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34" w:right="239" w:bottom="1440" w:gutter="0" w:footer="0" w:header="0"/>
        </w:sectPr>
      </w:pPr>
    </w:p>
    <w:bookmarkStart w:id="37" w:name="page38"/>
    <w:bookmarkEnd w:id="37"/>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220" w:type="dxa"/>
            <w:vAlign w:val="bottom"/>
          </w:tcPr>
          <w:p>
            <w:pPr>
              <w:spacing w:after="0"/>
              <w:rPr>
                <w:sz w:val="16"/>
                <w:szCs w:val="16"/>
                <w:color w:val="auto"/>
              </w:rPr>
            </w:pPr>
          </w:p>
        </w:tc>
        <w:tc>
          <w:tcPr>
            <w:tcW w:w="2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Six Months Ended July 31,</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 and dispositions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3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Interest and other expense, net increased $8.7 million and $6.9 million during the three and six months ended July 31, 2017, respectively, as compared to the same periods in the prior fiscal year, primarily due to non-recurring realized losses on certain dispositions and impairment losses on certain of our privately-held strategic investments.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and debt balances, average maturities and interest rates.</w:t>
      </w:r>
    </w:p>
    <w:p>
      <w:pPr>
        <w:spacing w:after="0" w:line="24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tax expense was $17.6 million and $25.2 million for the three months ended July 31, 2017 and 2016, respectively. Income tax expense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$25.8 million and $39.6 million for the six months ended July 31, 2017 and 2016, respectively. Income tax expense consists primarily of foreign taxes, 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tax expense related to indefinite-lived intangibles</w:t>
      </w:r>
      <w:r>
        <w:rPr>
          <w:rFonts w:ascii="Arial" w:cs="Arial" w:eastAsia="Arial" w:hAnsi="Arial"/>
          <w:sz w:val="19"/>
          <w:szCs w:val="19"/>
          <w:color w:val="auto"/>
        </w:rPr>
        <w:t>, and withholding taxes</w:t>
      </w:r>
      <w:r>
        <w:rPr>
          <w:rFonts w:ascii="Arial" w:cs="Arial" w:eastAsia="Arial" w:hAnsi="Arial"/>
          <w:sz w:val="18"/>
          <w:szCs w:val="18"/>
          <w:color w:val="auto"/>
        </w:rPr>
        <w:t>.</w:t>
      </w:r>
    </w:p>
    <w:p>
      <w:pPr>
        <w:spacing w:after="0" w:line="214" w:lineRule="exact"/>
        <w:rPr>
          <w:sz w:val="20"/>
          <w:szCs w:val="20"/>
          <w:color w:val="auto"/>
        </w:rPr>
      </w:pPr>
    </w:p>
    <w:p>
      <w:pPr>
        <w:ind w:right="140" w:firstLine="432"/>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it was not more likely than not that the Company would realize the U.S. federal and state deferred tax assets and recorded a full valuation allowance. As we continually strive to optimize our overall business model, tax planning strategies may become feasible whereby management may determine that it is more likely than not that the federal and state deferred tax assets will be realized; as a result, we will continue to evaluate the realizability of our net deferred tax assets each quarter, both in the U.S. and in foreign jurisdictions, based on all available evidence, both positive and negative.</w:t>
      </w:r>
    </w:p>
    <w:p>
      <w:pPr>
        <w:spacing w:after="0" w:line="1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of July 31, 2017, we had $267.5 million of gross unrecognized tax benefits, excluding interest, of which approximately $253.6 million represents the amount of unrecognized tax benefits that would impact the effective tax rate, if recognized. However, this rate impact would be $32.8 million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38" w:name="page39"/>
    <w:bookmarkEnd w:id="38"/>
    <w:p>
      <w:pPr>
        <w:ind w:right="20"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APAC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Internal Revenue Service has started an examination of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and six months ended July 31, 2017 and 2016, our gross profit, gross margin, (loss) income from operations, operating margin, net (loss) income, diluted net (loss) income per share and diluted shares used in per share calculation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July 31,</w:t>
            </w:r>
          </w:p>
        </w:tc>
        <w:tc>
          <w:tcPr>
            <w:tcW w:w="400" w:type="dxa"/>
            <w:vAlign w:val="bottom"/>
          </w:tcPr>
          <w:p>
            <w:pPr>
              <w:spacing w:after="0"/>
              <w:rPr>
                <w:sz w:val="16"/>
                <w:szCs w:val="16"/>
                <w:color w:val="auto"/>
              </w:rPr>
            </w:pPr>
          </w:p>
        </w:tc>
        <w:tc>
          <w:tcPr>
            <w:tcW w:w="214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6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r>
      <w:tr>
        <w:trPr>
          <w:trHeight w:val="196"/>
        </w:trPr>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427.2</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465.6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834.7</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885.1</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435.0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479.7</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851.1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913.5</w:t>
            </w: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85 %</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85 %</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87 %</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86 %</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(107.6)</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(227.2)</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(212.6)</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loss from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(28.8)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(68.3)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(1.1)</w:t>
            </w: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(144.0)</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(273.6)</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(265.9)</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net (loss)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(25.2)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(60.0)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(11.1)</w:t>
            </w: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(0.66)</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(1.19)</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diluted net (loss) income per share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(0.11)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(0.27)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(0.05)</w:t>
            </w: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219.5</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219.7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223.8</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240" w:type="dxa"/>
            <w:vAlign w:val="bottom"/>
          </w:tcPr>
          <w:p>
            <w:pPr>
              <w:spacing w:after="0"/>
              <w:rPr>
                <w:sz w:val="20"/>
                <w:szCs w:val="20"/>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219.5</w:t>
            </w:r>
          </w:p>
        </w:tc>
        <w:tc>
          <w:tcPr>
            <w:tcW w:w="34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227.4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219.7</w:t>
            </w:r>
          </w:p>
        </w:tc>
        <w:tc>
          <w:tcPr>
            <w:tcW w:w="340" w:type="dxa"/>
            <w:vAlign w:val="bottom"/>
          </w:tcPr>
          <w:p>
            <w:pPr>
              <w:spacing w:after="0"/>
              <w:rPr>
                <w:sz w:val="20"/>
                <w:szCs w:val="20"/>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223.8</w:t>
            </w:r>
          </w:p>
        </w:tc>
      </w:tr>
      <w:tr>
        <w:trPr>
          <w:trHeight w:val="249"/>
        </w:trPr>
        <w:tc>
          <w:tcPr>
            <w:tcW w:w="6240" w:type="dxa"/>
            <w:vAlign w:val="bottom"/>
          </w:tcPr>
          <w:p>
            <w:pPr>
              <w:spacing w:after="0"/>
              <w:rPr>
                <w:sz w:val="20"/>
                <w:szCs w:val="20"/>
                <w:color w:val="auto"/>
              </w:rPr>
            </w:pPr>
            <w:r>
              <w:rPr>
                <w:rFonts w:ascii="Arial" w:cs="Arial" w:eastAsia="Arial" w:hAnsi="Arial"/>
                <w:sz w:val="18"/>
                <w:szCs w:val="18"/>
                <w:color w:val="auto"/>
              </w:rPr>
              <w:t>_______________</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ind w:left="420" w:right="160" w:hanging="412"/>
        <w:spacing w:after="0" w:line="263"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77"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39" w:name="page40"/>
    <w:bookmarkEnd w:id="39"/>
    <w:p>
      <w:pPr>
        <w:jc w:val="both"/>
        <w:ind w:right="140"/>
        <w:spacing w:after="0" w:line="264" w:lineRule="auto"/>
        <w:rPr>
          <w:sz w:val="20"/>
          <w:szCs w:val="20"/>
          <w:color w:val="auto"/>
        </w:rPr>
      </w:pPr>
      <w:r>
        <w:rPr>
          <w:rFonts w:ascii="Arial" w:cs="Arial" w:eastAsia="Arial" w:hAnsi="Arial"/>
          <w:sz w:val="18"/>
          <w:szCs w:val="18"/>
          <w:color w:val="auto"/>
        </w:rPr>
        <w:t>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8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58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6240" w:type="dxa"/>
        <w:tblCellMar>
          <w:top w:w="0" w:type="dxa"/>
          <w:left w:w="0" w:type="dxa"/>
          <w:bottom w:w="0" w:type="dxa"/>
          <w:right w:w="0" w:type="dxa"/>
        </w:tblCellMar>
      </w:tblPr>
      <w:tr>
        <w:trPr>
          <w:trHeight w:val="192"/>
        </w:trPr>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7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190"/>
        </w:trPr>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charges and other facility exit costs,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loss from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charges and other facility exit costs,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 (2)</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charges and other facility exit costs,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(gain) on strategic investments and dispositions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items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 effect of non-GAAP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net (loss) income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427.2</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834.7</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885.1</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6.8</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21.6</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435.0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479.7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851.1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913.5</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gridSpan w:val="2"/>
          </w:tcPr>
          <w:p>
            <w:pPr>
              <w:ind w:left="48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23"/>
                <w:szCs w:val="23"/>
                <w:color w:val="auto"/>
              </w:rPr>
            </w:pP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(212.6)</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105.9</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21.6</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15.7</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68.3</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gridSpan w:val="2"/>
          </w:tcPr>
          <w:p>
            <w:pPr>
              <w:ind w:left="48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340" w:type="dxa"/>
            <w:vAlign w:val="bottom"/>
          </w:tcPr>
          <w:p>
            <w:pPr>
              <w:spacing w:after="0"/>
              <w:rPr>
                <w:sz w:val="23"/>
                <w:szCs w:val="23"/>
                <w:color w:val="auto"/>
              </w:rPr>
            </w:pP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(265.9)</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105.9</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21.6</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15.7</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68.3</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(0.2)</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13.0</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30.5</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(11.1)</w:t>
            </w:r>
          </w:p>
        </w:tc>
      </w:tr>
      <w:tr>
        <w:trPr>
          <w:trHeight w:val="33"/>
        </w:trPr>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-5239385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-4887595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-4535805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-4184650</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-3832860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-3489960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-3146425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-2786380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-2443480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-2100580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-1748790</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-1397000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-1054100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-711200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-368300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180"/>
          </w:cols>
          <w:pgMar w:left="240" w:top="58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80"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0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Six Months Ended July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diluted net loss per share (3)</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strategic investments and dispositions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Discrete tax items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Non-GAAP diluted net (loss) income per share (3)</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6520" w:type="dxa"/>
            <w:vAlign w:val="bottom"/>
            <w:gridSpan w:val="2"/>
            <w:vMerge w:val="restart"/>
          </w:tcPr>
          <w:p>
            <w:pPr>
              <w:jc w:val="right"/>
              <w:ind w:right="4639"/>
              <w:spacing w:after="0"/>
              <w:rPr>
                <w:sz w:val="20"/>
                <w:szCs w:val="20"/>
                <w:color w:val="auto"/>
              </w:rPr>
            </w:pPr>
            <w:r>
              <w:rPr>
                <w:rFonts w:ascii="Arial" w:cs="Arial" w:eastAsia="Arial" w:hAnsi="Arial"/>
                <w:sz w:val="18"/>
                <w:szCs w:val="18"/>
                <w:color w:val="auto"/>
                <w:w w:val="88"/>
              </w:rPr>
              <w:t>____________________</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00" w:hanging="412"/>
        <w:spacing w:after="0" w:line="249"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CEO transition costs include stock-based compensation of $8.8 million and $16.6 million related to the acceleration of eligible stock awards in the three and six months ended July 31, 2017, respectively.</w:t>
      </w:r>
    </w:p>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5" w:lineRule="exact"/>
        <w:rPr>
          <w:rFonts w:ascii="Arial" w:cs="Arial" w:eastAsia="Arial" w:hAnsi="Arial"/>
          <w:sz w:val="16"/>
          <w:szCs w:val="16"/>
          <w:color w:val="auto"/>
        </w:rPr>
      </w:pPr>
    </w:p>
    <w:p>
      <w:pPr>
        <w:ind w:left="420" w:right="140" w:hanging="412"/>
        <w:spacing w:after="0" w:line="257"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Restructuring charges and other facility exit costs (benefits), net. </w:t>
      </w:r>
      <w:r>
        <w:rPr>
          <w:rFonts w:ascii="Arial" w:cs="Arial" w:eastAsia="Arial" w:hAnsi="Arial"/>
          <w:sz w:val="18"/>
          <w:szCs w:val="18"/>
          <w:color w:val="auto"/>
        </w:rPr>
        <w:t>These expenses are associated with realigning our business strategies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8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Loss (gain) on strategic investments and dispositions. </w:t>
      </w:r>
      <w:r>
        <w:rPr>
          <w:rFonts w:ascii="Arial" w:cs="Arial" w:eastAsia="Arial" w:hAnsi="Arial"/>
          <w:sz w:val="18"/>
          <w:szCs w:val="18"/>
          <w:color w:val="auto"/>
        </w:rPr>
        <w:t>We exclude gains and losses related to our strategic investments and dispositions from our non-GAAP measures primarily because management finds it useful to exclude these variable gains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06" w:right="259" w:bottom="1440" w:gutter="0" w:footer="0" w:header="0"/>
        </w:sectPr>
      </w:pPr>
    </w:p>
    <w:bookmarkStart w:id="42" w:name="page43"/>
    <w:bookmarkEnd w:id="42"/>
    <w:p>
      <w:pPr>
        <w:ind w:right="120"/>
        <w:spacing w:after="0" w:line="279" w:lineRule="auto"/>
        <w:rPr>
          <w:sz w:val="20"/>
          <w:szCs w:val="20"/>
          <w:color w:val="auto"/>
        </w:rPr>
      </w:pPr>
      <w:r>
        <w:rPr>
          <w:rFonts w:ascii="Arial" w:cs="Arial" w:eastAsia="Arial" w:hAnsi="Arial"/>
          <w:sz w:val="17"/>
          <w:szCs w:val="17"/>
          <w:color w:val="auto"/>
        </w:rPr>
        <w:t>and losses on these investments and dispositions in assessing our financial results. Included in these amounts are non-cash unrealized gains and losses on the derivative components,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71" w:lineRule="exact"/>
        <w:rPr>
          <w:sz w:val="20"/>
          <w:szCs w:val="20"/>
          <w:color w:val="auto"/>
        </w:rPr>
      </w:pPr>
    </w:p>
    <w:p>
      <w:pPr>
        <w:ind w:right="60" w:firstLine="405"/>
        <w:spacing w:after="0" w:line="285"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net (loss) 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3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i w:val="1"/>
          <w:iCs w:val="1"/>
          <w:color w:val="auto"/>
        </w:rPr>
        <w:t xml:space="preserve">Income tax effects on the difference between GAAP and non-GAAP costs and expenses. </w:t>
      </w:r>
      <w:r>
        <w:rPr>
          <w:rFonts w:ascii="Arial" w:cs="Arial" w:eastAsia="Arial" w:hAnsi="Arial"/>
          <w:sz w:val="16"/>
          <w:szCs w:val="16"/>
          <w:color w:val="auto"/>
        </w:rPr>
        <w:t>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expenses, primarily due to stock-based compensation, amortization of purchased intangibles and restructuring charges and other facilities exit costs (benefits) for GAAP and non-GAAP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primary source of cash is from the sale and maintenance of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At July 31, 2017, our principal sources of liquidity were cash, cash equivalents and marketable securities totaling $1.94 billion and net accounts receivable of $265.6 million. Net of our senior notes, we have cash, cash equivalents, and marketable securities totaling $358.8 million at July 31, 2017.</w:t>
      </w:r>
    </w:p>
    <w:p>
      <w:pPr>
        <w:spacing w:after="0" w:line="12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June 2017, we issued $500.0 million aggregate principal amount of 3.5% notes due June 15, 2027. In June 2015, we issued $450.0 million aggregate principal amount of 3.125% notes due June 15, 2020 and $300.0 million aggregate principal amount of 4.375% notes due June 15, 2025. In December 2012, we issued $400.0 million aggregate principal amount of 1.95% notes due December 15, 2017 and $350.0 million aggregate principal amount of 3.6% notes due December 15, 2022 (all five series of notes collectively, the “Notes”). On July 27, 2017, we redeemed in full $400.0 million in aggregate principal amount of outstanding 1.95% senior notes due December 15, 2017 . The redemption was completed pursuant to the optional redemption provisions of the first supplemental indenture dated December 13, 2012. To redeem the notes, we used the proceeds of the 2017 Notes to pay a redemption price of approximately $400.9 million, plus accrued and unpaid interest. Total cash prepayment was $401.8 million. The Company did not incur any additional early termination penalties in connection with such redemption.</w:t>
      </w:r>
    </w:p>
    <w:p>
      <w:pPr>
        <w:spacing w:after="0" w:line="17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As of July 31, 2017, we have $1.60 billion aggregate principal amount of Notes outstanding. In addition, we have a line of credit facility that permits unsecured short-term borrowings of up to $400.0 million with a May 2020 maturity date. This credit agreement contains customary covenants that could restrict the imposition of liens on our’s assets, and restrict the Company’s ability to incur additional indebtedness or make dispositions of assets if we fail to maintain the financial covenants. The financial covenants consist of a maximum debt to total cash ratio, a fixed charge coverage ratio through April 30, 2018, and after April 30, 2018, a minimum interest coverage ratio. As of August 31, 2017, we have no amounts outstanding under the credit facility. Borrowings under the credit facility and the net proceeds from the offering of the Notes are available for general corporate purposes.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ind w:right="2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jc w:val="both"/>
        <w:ind w:right="360" w:firstLine="405"/>
        <w:spacing w:after="0" w:line="312" w:lineRule="auto"/>
        <w:rPr>
          <w:sz w:val="20"/>
          <w:szCs w:val="20"/>
          <w:color w:val="auto"/>
        </w:rPr>
      </w:pPr>
      <w:r>
        <w:rPr>
          <w:rFonts w:ascii="Arial" w:cs="Arial" w:eastAsia="Arial" w:hAnsi="Arial"/>
          <w:sz w:val="16"/>
          <w:szCs w:val="16"/>
          <w:color w:val="auto"/>
        </w:rPr>
        <w:t>As of July 31, 2017, other than what was previously discussed in this section regarding our latest debt issuance and repayment,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2017.</w:t>
      </w:r>
    </w:p>
    <w:p>
      <w:pPr>
        <w:spacing w:after="0" w:line="147"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July 31, 2017, approximately 82%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Our intent is that amounts related to foreign earnings permanently reinvested outside the U.S. will remain outside the United States. We expect to meet our U.S. liquidity needs through ongoing cash flows, foreign cash for which U.S. federal income taxes have been provided, external borrowings, or a combination. We regularly review our capital structure and consider a variety of potential financing alternatives and planning strategies to ensure we have the proper liquidity available in the locations in which it is needed.</w:t>
      </w:r>
    </w:p>
    <w:p>
      <w:pPr>
        <w:spacing w:after="0" w:line="16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146.4</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Pr>
          <w:p>
            <w:pPr>
              <w:spacing w:after="0"/>
              <w:rPr>
                <w:sz w:val="20"/>
                <w:szCs w:val="20"/>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200.6</w:t>
            </w:r>
          </w:p>
        </w:tc>
      </w:tr>
      <w:tr>
        <w:trPr>
          <w:trHeight w:val="33"/>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33"/>
        </w:trPr>
        <w:tc>
          <w:tcPr>
            <w:tcW w:w="8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Net cash used in operating activities of $27.3 million for the six months ended July 31, 2017 consisted of our net loss of $273.6 million, partially offset by $197.0 million of non-cash expenses, including stock-based compensation expense, depreciation, amortization and accretion expense and $41.4 million of cash flow provided by changes in operating assets and liabilities.</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primary working capital source of cash was a decrease in accounts receivable. The primary working capital uses of cash were decreases in accrued compensation. Our days sales outstanding in accounts receivables was 48 at July 31, 2017 compared to 86 at January 31, 2017. The days sales outstanding decrease relates primarily to seasonal billings linearity.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584" w:right="279" w:bottom="1440" w:gutter="0" w:footer="0" w:header="0"/>
        </w:sectPr>
      </w:pPr>
    </w:p>
    <w:bookmarkStart w:id="44" w:name="page45"/>
    <w:bookmarkEnd w:id="44"/>
    <w:p>
      <w:pPr>
        <w:ind w:right="800" w:firstLine="405"/>
        <w:spacing w:after="0" w:line="308" w:lineRule="auto"/>
        <w:rPr>
          <w:sz w:val="20"/>
          <w:szCs w:val="20"/>
          <w:color w:val="auto"/>
        </w:rPr>
      </w:pPr>
      <w:r>
        <w:rPr>
          <w:rFonts w:ascii="Arial" w:cs="Arial" w:eastAsia="Arial" w:hAnsi="Arial"/>
          <w:sz w:val="17"/>
          <w:szCs w:val="17"/>
          <w:color w:val="auto"/>
        </w:rPr>
        <w:t>Net cash provided by investing was $200.7 million for the six months ended July 31, 2017 and was primarily due to the sale and maturities of marketable securities. These cash inflows were partially offset by purchases of marketable securities and capital expenditures.</w:t>
      </w:r>
    </w:p>
    <w:p>
      <w:pPr>
        <w:spacing w:after="0" w:line="14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At July 31, 2017, our short-term investment portfolio had an estimated fair value of $533.6 million and a cost basis of $527.7 million. The portfolio fair value consists of $219.4 million invested in corporate debt securities, $98.9 million invested in commercial paper, $59.4 million invested in U.S. government securities, $36.8 million invested in municipal bonds, $30.2 million invested in asset backed securities, $14.0 million invested in sovereign debt, $13.0 million invested in certificates of deposit, and $7.5 million invested in agency bonds.</w:t>
      </w:r>
    </w:p>
    <w:p>
      <w:pPr>
        <w:spacing w:after="0" w:line="18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At July 31, 2017, $54.4 million of short-term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Net cash used in financing activities was $218.0 million for the six months ended July 31, 2017 and was primarily due to the repayment of debt noted earlier in this section and repurchases of our common stock. These cash outflows were offset in part by cash proceeds from the issuance of debt also noted earlier in this section.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the three and six months ended July 31, 2017, we repurchased 1.2 million and 3.4 million shares of our common stock, respectively. At July 31, 2017, 23.2 million shares remained available for repurchase under the repurchase program approved by the Board of Directors. These programs do not have a fixed expiration date. See Note 15, “Common Stock Repurchase Program,” in the Notes to Condensed Consolidated Financial Statements for further discussion.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July 31, 2017:</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 May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94.52</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June 1 - June 30</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104.80</w:t>
            </w:r>
          </w:p>
        </w:tc>
        <w:tc>
          <w:tcPr>
            <w:tcW w:w="120" w:type="dxa"/>
            <w:vAlign w:val="bottom"/>
          </w:tcPr>
          <w:p>
            <w:pPr>
              <w:spacing w:after="0"/>
              <w:rPr>
                <w:sz w:val="20"/>
                <w:szCs w:val="20"/>
                <w:color w:val="auto"/>
              </w:rPr>
            </w:pPr>
          </w:p>
        </w:tc>
        <w:tc>
          <w:tcPr>
            <w:tcW w:w="216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2260" w:type="dxa"/>
            <w:vAlign w:val="bottom"/>
            <w:gridSpan w:val="2"/>
          </w:tcPr>
          <w:p>
            <w:pPr>
              <w:jc w:val="right"/>
              <w:ind w:right="28"/>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106.31</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102.71</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200" w:hanging="412"/>
        <w:spacing w:after="0" w:line="257"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September 2016 that authorized the repurchase of 30.0 million shares. These plans do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six months ended July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2017, we did not have any significant off-balance sheet arrangements, as defined in Item 303(a)(4)(ii) of Regulation 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i w:val="1"/>
          <w:iCs w:val="1"/>
          <w:color w:val="auto"/>
        </w:rPr>
        <w:t>Annualized Recurring Revenue (ARR)—</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54"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Annualized Revenue Per Subscription (ARPS)—</w:t>
      </w:r>
      <w:r>
        <w:rPr>
          <w:rFonts w:ascii="Arial" w:cs="Arial" w:eastAsia="Arial" w:hAnsi="Arial"/>
          <w:sz w:val="17"/>
          <w:szCs w:val="17"/>
          <w:color w:val="auto"/>
        </w:rPr>
        <w:t>Is calculated by dividing our annualized recurring revenue by the total number of subscriptions.</w:t>
      </w:r>
    </w:p>
    <w:p>
      <w:pPr>
        <w:spacing w:after="0" w:line="233" w:lineRule="exact"/>
        <w:rPr>
          <w:sz w:val="20"/>
          <w:szCs w:val="20"/>
          <w:color w:val="auto"/>
        </w:rPr>
      </w:pPr>
    </w:p>
    <w:p>
      <w:pPr>
        <w:jc w:val="both"/>
        <w:ind w:right="500" w:firstLine="405"/>
        <w:spacing w:after="0" w:line="266" w:lineRule="auto"/>
        <w:rPr>
          <w:sz w:val="20"/>
          <w:szCs w:val="20"/>
          <w:color w:val="auto"/>
        </w:rPr>
      </w:pPr>
      <w:r>
        <w:rPr>
          <w:rFonts w:ascii="Arial" w:cs="Arial" w:eastAsia="Arial" w:hAnsi="Arial"/>
          <w:sz w:val="18"/>
          <w:szCs w:val="18"/>
          <w:i w:val="1"/>
          <w:iCs w:val="1"/>
          <w:color w:val="auto"/>
        </w:rPr>
        <w:t>Building Information Modeling (BIM)</w:t>
      </w:r>
      <w:r>
        <w:rPr>
          <w:rFonts w:ascii="Arial" w:cs="Arial" w:eastAsia="Arial" w:hAnsi="Arial"/>
          <w:sz w:val="18"/>
          <w:szCs w:val="18"/>
          <w:b w:val="1"/>
          <w:bCs w:val="1"/>
          <w:color w:val="auto"/>
        </w:rPr>
        <w:t>—</w:t>
      </w:r>
      <w:r>
        <w:rPr>
          <w:rFonts w:ascii="Arial" w:cs="Arial" w:eastAsia="Arial" w:hAnsi="Arial"/>
          <w:sz w:val="18"/>
          <w:szCs w:val="18"/>
          <w:color w:val="auto"/>
        </w:rPr>
        <w:t>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6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ind w:right="40" w:firstLine="405"/>
        <w:spacing w:after="0" w:line="282" w:lineRule="auto"/>
        <w:rPr>
          <w:sz w:val="20"/>
          <w:szCs w:val="20"/>
          <w:color w:val="auto"/>
        </w:rPr>
      </w:pPr>
      <w:r>
        <w:rPr>
          <w:rFonts w:ascii="Arial" w:cs="Arial" w:eastAsia="Arial" w:hAnsi="Arial"/>
          <w:sz w:val="18"/>
          <w:szCs w:val="18"/>
          <w:i w:val="1"/>
          <w:iCs w:val="1"/>
          <w:color w:val="auto"/>
        </w:rPr>
        <w:t>Enterprise Business Agreements (EBAs)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seats to a broad pool of Autodesk products over a defined contract term.</w:t>
      </w:r>
    </w:p>
    <w:p>
      <w:pPr>
        <w:spacing w:after="0" w:line="166"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i w:val="1"/>
          <w:iCs w:val="1"/>
          <w:color w:val="auto"/>
        </w:rPr>
        <w:t>Industry Collections</w:t>
      </w:r>
      <w:r>
        <w:rPr>
          <w:rFonts w:ascii="Arial" w:cs="Arial" w:eastAsia="Arial" w:hAnsi="Arial"/>
          <w:sz w:val="16"/>
          <w:szCs w:val="16"/>
          <w:color w:val="auto"/>
        </w:rPr>
        <w:t>—Autodesk industry collections are a combination of products and services that target a specific user objective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Industry Collections consist of: Autodesk Architecture, Engineering and Construction Collection, Autodesk Product Design Collection, and Autodesk Media and Entertainment Collection. Autodesk introduced industry collections effective August 1, 2016 to replace its suites.</w:t>
      </w:r>
    </w:p>
    <w:p>
      <w:pPr>
        <w:spacing w:after="0" w:line="143" w:lineRule="exact"/>
        <w:rPr>
          <w:sz w:val="20"/>
          <w:szCs w:val="20"/>
          <w:color w:val="auto"/>
        </w:rPr>
      </w:pPr>
    </w:p>
    <w:p>
      <w:pPr>
        <w:jc w:val="both"/>
        <w:ind w:right="540" w:firstLine="405"/>
        <w:spacing w:after="0" w:line="266"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Represents (1) perpetual license revenue and (2) other revenue. Perpetual license revenue includes software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the sale of perpetual licenses, and Creative Finishing. Other revenue includes revenue such as standalone consulting and training, and is recognized over time as the services are performed.</w:t>
      </w:r>
    </w:p>
    <w:p>
      <w:pPr>
        <w:spacing w:after="0" w:line="176" w:lineRule="exact"/>
        <w:rPr>
          <w:sz w:val="20"/>
          <w:szCs w:val="20"/>
          <w:color w:val="auto"/>
        </w:rPr>
      </w:pPr>
    </w:p>
    <w:p>
      <w:pPr>
        <w:ind w:right="280" w:firstLine="405"/>
        <w:spacing w:after="0" w:line="314" w:lineRule="auto"/>
        <w:rPr>
          <w:sz w:val="20"/>
          <w:szCs w:val="20"/>
          <w:color w:val="auto"/>
        </w:rPr>
      </w:pPr>
      <w:r>
        <w:rPr>
          <w:rFonts w:ascii="Arial" w:cs="Arial" w:eastAsia="Arial" w:hAnsi="Arial"/>
          <w:sz w:val="16"/>
          <w:szCs w:val="16"/>
          <w:i w:val="1"/>
          <w:iCs w:val="1"/>
          <w:color w:val="auto"/>
        </w:rPr>
        <w:t>Subscription Plans</w:t>
      </w:r>
      <w:r>
        <w:rPr>
          <w:rFonts w:ascii="Arial" w:cs="Arial" w:eastAsia="Arial" w:hAnsi="Arial"/>
          <w:sz w:val="16"/>
          <w:szCs w:val="16"/>
          <w:b w:val="1"/>
          <w:bCs w:val="1"/>
          <w:color w:val="auto"/>
        </w:rPr>
        <w:t>—</w:t>
      </w:r>
      <w:r>
        <w:rPr>
          <w:rFonts w:ascii="Arial" w:cs="Arial" w:eastAsia="Arial" w:hAnsi="Arial"/>
          <w:sz w:val="16"/>
          <w:szCs w:val="16"/>
          <w:color w:val="auto"/>
        </w:rPr>
        <w:t>Comprises our term-based product subscriptions, cloud service offerings, and enterprise business agreements (EBAs).</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Subscriptions represent a hybrid of desktop and SaaS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4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Maintenance Plans</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between one and three years.</w:t>
      </w:r>
    </w:p>
    <w:p>
      <w:pPr>
        <w:spacing w:after="0" w:line="180"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180" w:lineRule="exact"/>
        <w:rPr>
          <w:sz w:val="20"/>
          <w:szCs w:val="20"/>
          <w:color w:val="auto"/>
        </w:rPr>
      </w:pPr>
    </w:p>
    <w:p>
      <w:pPr>
        <w:ind w:right="600" w:firstLine="392"/>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Includes subscription fees from term-based product subscriptions, flexible enterprise business arrangements and all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as part of a bundled subscription agreement accounted for as a single unit of accounting. (</w:t>
      </w:r>
      <w:r>
        <w:rPr>
          <w:rFonts w:ascii="Arial" w:cs="Arial" w:eastAsia="Arial" w:hAnsi="Arial"/>
          <w:sz w:val="16"/>
          <w:szCs w:val="16"/>
          <w:i w:val="1"/>
          <w:iCs w:val="1"/>
          <w:color w:val="auto"/>
        </w:rPr>
        <w:t>i.e.</w:t>
      </w:r>
      <w:r>
        <w:rPr>
          <w:rFonts w:ascii="Arial" w:cs="Arial" w:eastAsia="Arial" w:hAnsi="Arial"/>
          <w:sz w:val="16"/>
          <w:szCs w:val="16"/>
          <w:color w:val="auto"/>
        </w:rPr>
        <w:t xml:space="preserve"> cloud services, maintenance, and consulting).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80" w:right="259" w:bottom="1440" w:gutter="0" w:footer="0" w:header="0"/>
        </w:sectPr>
      </w:pPr>
    </w:p>
    <w:bookmarkStart w:id="46" w:name="page47"/>
    <w:bookmarkEnd w:id="46"/>
    <w:p>
      <w:pPr>
        <w:ind w:right="60" w:firstLine="405"/>
        <w:spacing w:after="0" w:line="298"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b w:val="1"/>
          <w:bCs w:val="1"/>
          <w:color w:val="auto"/>
        </w:rPr>
        <w:t>—</w:t>
      </w:r>
      <w:r>
        <w:rPr>
          <w:rFonts w:ascii="Arial" w:cs="Arial" w:eastAsia="Arial" w:hAnsi="Arial"/>
          <w:sz w:val="16"/>
          <w:szCs w:val="16"/>
          <w:color w:val="auto"/>
        </w:rPr>
        <w:t>Consists of subscriptions from our maintenance plans and subscription plan offerings that are active and paid as of the quarter end</w:t>
      </w:r>
      <w:r>
        <w:rPr>
          <w:rFonts w:ascii="Arial" w:cs="Arial" w:eastAsia="Arial" w:hAnsi="Arial"/>
          <w:sz w:val="16"/>
          <w:szCs w:val="16"/>
          <w:i w:val="1"/>
          <w:iCs w:val="1"/>
          <w:color w:val="auto"/>
        </w:rPr>
        <w:t xml:space="preserve"> </w:t>
      </w:r>
      <w:r>
        <w:rPr>
          <w:rFonts w:ascii="Arial" w:cs="Arial" w:eastAsia="Arial" w:hAnsi="Arial"/>
          <w:sz w:val="16"/>
          <w:szCs w:val="16"/>
          <w:color w:val="auto"/>
        </w:rPr>
        <w:t>date. For certain cloud service offerings and flexible enterprise business arrangements,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Unbilled deferred revenue</w:t>
      </w:r>
      <w:r>
        <w:rPr>
          <w:rFonts w:ascii="Arial" w:cs="Arial" w:eastAsia="Arial" w:hAnsi="Arial"/>
          <w:sz w:val="18"/>
          <w:szCs w:val="18"/>
          <w:b w:val="1"/>
          <w:bCs w:val="1"/>
          <w:color w:val="auto"/>
        </w:rPr>
        <w:t>—</w:t>
      </w:r>
      <w:r>
        <w:rPr>
          <w:rFonts w:ascii="Arial" w:cs="Arial" w:eastAsia="Arial" w:hAnsi="Arial"/>
          <w:sz w:val="18"/>
          <w:szCs w:val="18"/>
          <w:color w:val="auto"/>
        </w:rPr>
        <w:t>Unbilled deferred revenue represents contractually stated or committed orders under multi-year billing plans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services, license and maintenance for which the associated revenue has not been recognized and the customer has not been invoiced. Unbilled deferred revenue is not included on our Consolidated Balance Sheet until invoiced to the customer.</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2017 and January 31, 2017,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$617.0 million and $640.0 million at July 31, 2017 and January 31, 2017, respectively.</w:t>
      </w:r>
    </w:p>
    <w:p>
      <w:pPr>
        <w:spacing w:after="0" w:line="17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July 31, 2017 indicated that a hypothetical 10% appreciation of the U.S. dollar from its value at July 31, 2017 and January 31, 2017 would increase the fair value of our foreign currency contracts by $26.5 million and $60.9 million, respectively. A hypothetical 10% depreciation of the dollar from its value at July 31, 2017 and January 31, 2017 would decrease the fair value of our foreign currency contracts by $52.5 million and $32.5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July 31, 2017, we had $1.54 billion of cash equivalents and marketable securities, including $533.6 million classified as short-term marketable securities and $236.0 million classified as long-term marketable securities. If interest rates were to move up or down by 50 or 100 basis points over a twelve month period, the market value change of our marketable securities would have an unrealized gain or loss of $2.3 million and $4.7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4, "Financial Instruments," for further discussion regarding our privately held investments.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96" w:right="259" w:bottom="1440" w:gutter="0" w:footer="0" w:header="0"/>
        </w:sectPr>
      </w:pPr>
    </w:p>
    <w:bookmarkStart w:id="47" w:name="page48"/>
    <w:bookmarkEnd w:id="47"/>
    <w:p>
      <w:pPr>
        <w:ind w:right="4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8"/>
        <w:spacing w:after="0" w:line="252"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9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Exchange Act) during the quarter ended July 31, 2017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84" w:right="2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right="220" w:firstLine="392"/>
        <w:spacing w:after="0" w:line="291"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67" w:lineRule="exact"/>
        <w:rPr>
          <w:sz w:val="20"/>
          <w:szCs w:val="20"/>
          <w:color w:val="auto"/>
        </w:rPr>
      </w:pPr>
    </w:p>
    <w:p>
      <w:pPr>
        <w:ind w:right="260" w:firstLine="392"/>
        <w:spacing w:after="0" w:line="302" w:lineRule="auto"/>
        <w:rPr>
          <w:sz w:val="20"/>
          <w:szCs w:val="20"/>
          <w:color w:val="auto"/>
        </w:rPr>
      </w:pPr>
      <w:r>
        <w:rPr>
          <w:rFonts w:ascii="Arial" w:cs="Arial" w:eastAsia="Arial" w:hAnsi="Arial"/>
          <w:sz w:val="16"/>
          <w:szCs w:val="16"/>
          <w:color w:val="auto"/>
        </w:rPr>
        <w:t>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54" w:lineRule="exact"/>
        <w:rPr>
          <w:sz w:val="20"/>
          <w:szCs w:val="20"/>
          <w:color w:val="auto"/>
        </w:rPr>
      </w:pPr>
    </w:p>
    <w:p>
      <w:pPr>
        <w:ind w:right="60" w:firstLine="392"/>
        <w:spacing w:after="0" w:line="286" w:lineRule="auto"/>
        <w:rPr>
          <w:sz w:val="20"/>
          <w:szCs w:val="20"/>
          <w:color w:val="auto"/>
        </w:rPr>
      </w:pPr>
      <w:r>
        <w:rPr>
          <w:rFonts w:ascii="Arial" w:cs="Arial" w:eastAsia="Arial" w:hAnsi="Arial"/>
          <w:sz w:val="17"/>
          <w:szCs w:val="17"/>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To address the industry transition from personal computer to cloud, mobile, and social computing, we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On June 15, 2017, we commenced a program to incentivize maintenance plan customers to move to subscription plan offerings. Through this program we offer discounts to those maintenance plan customers that move to subscription plan offerings, while at the same time will increase maintenance plan pricing over time for customers that remain on maintenance.</w:t>
      </w:r>
    </w:p>
    <w:p>
      <w:pPr>
        <w:spacing w:after="0" w:line="158"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As a result, we expect to derive an increasing portion of our revenues in the future from subscriptions. This subscription model prices and delivers our products in a way that differs from the historical perpetual pricing and delivery methods.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0" w:right="259" w:bottom="1440" w:gutter="0" w:footer="0" w:header="0"/>
        </w:sectPr>
      </w:pPr>
    </w:p>
    <w:bookmarkStart w:id="49" w:name="page50"/>
    <w:bookmarkEnd w:id="49"/>
    <w:p>
      <w:pPr>
        <w:ind w:right="180"/>
        <w:spacing w:after="0" w:line="279" w:lineRule="auto"/>
        <w:rPr>
          <w:sz w:val="20"/>
          <w:szCs w:val="20"/>
          <w:color w:val="auto"/>
        </w:rPr>
      </w:pPr>
      <w:r>
        <w:rPr>
          <w:rFonts w:ascii="Arial" w:cs="Arial" w:eastAsia="Arial" w:hAnsi="Arial"/>
          <w:sz w:val="17"/>
          <w:szCs w:val="17"/>
          <w:color w:val="auto"/>
        </w:rPr>
        <w:t>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billings, gross margin, operating margin, net income (loss), earnings (loss) per share, deferred revenue, and cash flow from operations will be impacted as more revenue is recognized ratably rather than upfront and as new offerings bring a wider variety of price points.</w:t>
      </w:r>
    </w:p>
    <w:p>
      <w:pPr>
        <w:spacing w:after="0" w:line="17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risks and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services. We want customers using individual Autodesk products to expand their portfolio with our other offerings and cloud-based services, and we are taking steps to accelerate this migration. At times, sales of licenses of our AutoCAD and AutoCAD LT or individual Autodesk flagship products have decreased without a corresponding increase in industry collections or cloud-based services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product subscription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6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ind w:right="8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if decreases in maintenance revenue are not offset by increases in subscription revenue, our future revenue and financial results will be negatively impacted.</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maintenance customers have no obligation to renew their maintenance contracts after the expiration of their maintenance period, which is typically one year. The discontinuance of our perpetual licenses for most individual software products on February 1, 2016 and for perpetual suites on August 1, 2016 resulted in the loss of future maintenance attach opportunities. On June 15, 2017, we commenced a program to incentivize maintenance plan customers to move to subscription plan offerings. As a result, we expect customer renewal rates will decline or fluctuate over time as a result of a number of factors, including the overall global economy, the health of their businesses, the perceived value of the maintenance program and planned maintenance pricing increases. If our non-renewing maintenance customers do not transition to our subscriptions, our future revenue and financial results will be negatively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The discontinuance of our perpetual licenses for most individual software products on February 1, 2016 and for perpetual suites on August 1, 2016 has and will continue to result in the loss of future upfront licensing revenue. This also has frozen the growth of our maintenance revenue because there will be no further opportunities to attach maintenance licensing. On June 15, 2017, we commenced a program to incentivize maintenance plan customers to move to subscription plan offerings. As a result, we expect our maintenance revenue to decline over time, but it may decline more quickly than anticipated due to low maintenance renewals. At the same time, our subscription (formerly new model) revenue may not grow as rapidly as anticipated. Our subscription pricing allows customers to use our offerings at a lower initial cost when compared to the sale of a perpetual license. Although our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International net revenue represented 63% and 64% of our net revenue for the six months ended July 31, 2017 and 2016,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w:t>
      </w:r>
    </w:p>
    <w:p>
      <w:pPr>
        <w:spacing w:after="0" w:line="192"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1" w:name="page52"/>
    <w:bookmarkEnd w:id="51"/>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of our business partners also have international operations and are subject to the risks described above.</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Brexit vote has exacerbated and may further exacerbate many of the risks and uncertainties described above. The proposed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9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shipment of certain products and services without the required export authorizations or export to locations, governments, and persons targeted by U.S. sanctions. While we have processes in place to prevent our offerings from being exported in violation of these</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584" w:right="359" w:bottom="1440" w:gutter="0" w:footer="0" w:header="0"/>
        </w:sectPr>
      </w:pPr>
    </w:p>
    <w:bookmarkStart w:id="52" w:name="page53"/>
    <w:bookmarkEnd w:id="52"/>
    <w:p>
      <w:pPr>
        <w:ind w:right="20"/>
        <w:spacing w:after="0" w:line="277" w:lineRule="auto"/>
        <w:rPr>
          <w:sz w:val="20"/>
          <w:szCs w:val="20"/>
          <w:color w:val="auto"/>
        </w:rPr>
      </w:pPr>
      <w:r>
        <w:rPr>
          <w:rFonts w:ascii="Arial" w:cs="Arial" w:eastAsia="Arial" w:hAnsi="Arial"/>
          <w:sz w:val="18"/>
          <w:szCs w:val="18"/>
          <w:color w:val="auto"/>
        </w:rPr>
        <w:t>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w:t>
      </w:r>
    </w:p>
    <w:p>
      <w:pPr>
        <w:spacing w:after="0" w:line="18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Violations of U.S. sanctions or export control laws can result in fines or penalties, including civil penalties of up to $284,582 or twice the value of the transaction, whichever is greater, per violation. In the event of criminal knowing and willful violations of these laws, fines of up to $1 million per violation and possible incarceration for responsible employees and managers could be imposed.</w:t>
      </w:r>
    </w:p>
    <w:p>
      <w:pPr>
        <w:spacing w:after="0" w:line="18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While we have extensive compliance procedures in place, licensing of our product offerings may have been made in potential violation of the export control and economic sanctions laws. We filed a Voluntary Self Disclosure in December 2016 with the U.S. Treasury Department’s Office of Foreign Assets Control (“OFAC”) with respect to the sale of certain licenses in an aggregate amount of less than $700,000. We are currently waiting for OFAC to complete its review of this matter. We could be subject to monetary penalties or other sanctions by OFAC in connection with its review of this issue.</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Actions that we are taking to restructure our business in alignment with our business model transition strategy may be costly and may not be as effective as anticipated.</w:t>
      </w:r>
    </w:p>
    <w:p>
      <w:pPr>
        <w:spacing w:after="0" w:line="170" w:lineRule="exact"/>
        <w:rPr>
          <w:sz w:val="20"/>
          <w:szCs w:val="20"/>
          <w:color w:val="auto"/>
        </w:rPr>
      </w:pPr>
    </w:p>
    <w:p>
      <w:pPr>
        <w:ind w:right="120" w:firstLine="392"/>
        <w:spacing w:after="0" w:line="257" w:lineRule="auto"/>
        <w:rPr>
          <w:sz w:val="20"/>
          <w:szCs w:val="20"/>
          <w:color w:val="auto"/>
        </w:rPr>
      </w:pPr>
      <w:r>
        <w:rPr>
          <w:rFonts w:ascii="Arial" w:cs="Arial" w:eastAsia="Arial" w:hAnsi="Arial"/>
          <w:sz w:val="18"/>
          <w:szCs w:val="18"/>
          <w:color w:val="auto"/>
        </w:rPr>
        <w:t>During the first quarter of fiscal 2017, we commenced a company-wide restructuring plan to accelerate the Company’s move to the cloud and its transition to a subscription-based business model. Through the restructuring, we sought to reduce expenses, streamline the organization, and reallocate resources to align more closely with the Company’s needs going forward. As a result of these actions, we incurred additional costs in the short term that had the effect of reducing our operating margins. If we are unable to realize the expected outcomes from the restructuring efforts, our business and operating results may be harmed.</w:t>
      </w:r>
    </w:p>
    <w:p>
      <w:pPr>
        <w:spacing w:after="0" w:line="18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2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For example,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4" w:right="279" w:bottom="1440" w:gutter="0" w:footer="0" w:header="0"/>
        </w:sectPr>
      </w:pPr>
    </w:p>
    <w:bookmarkStart w:id="53" w:name="page54"/>
    <w:bookmarkEnd w:id="53"/>
    <w:p>
      <w:pPr>
        <w:ind w:right="160"/>
        <w:spacing w:after="0" w:line="264" w:lineRule="auto"/>
        <w:rPr>
          <w:sz w:val="20"/>
          <w:szCs w:val="20"/>
          <w:color w:val="auto"/>
        </w:rPr>
      </w:pPr>
      <w:r>
        <w:rPr>
          <w:rFonts w:ascii="Arial" w:cs="Arial" w:eastAsia="Arial" w:hAnsi="Arial"/>
          <w:sz w:val="18"/>
          <w:szCs w:val="18"/>
          <w:color w:val="auto"/>
        </w:rPr>
        <w:t>June 23, 2016 announcement of Brexit caused significant volatility in global stock markets and currency exchange rate fluctuations that resulted in the strengthening of the U.S. dollar against foreign currencies in which we conduct business. Our exposure to adverse movements in foreign currency exchange rates could have a material adverse impact on our financial results and cash flows.</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For example, cyber attacks could make our customers hesitant to adopt our cloud-based hosted subscription services, which could negatively impact our business model transition. If any of the foregoing were to occur, our reputation may suffer, customers may stop buying our products or services, we could face lawsuits and potential liability, and our financial performance could be negatively impacted.</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Changes in laws or regulations related to the Internet, local data storage or related to privacy and data security concerns may impact our business or expose us to increased liability.</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 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Other countries, including Canada and several Latin American and Asian countries, have constitutional protections for, or have adopted legislation protecting, individuals' personal information. Additionally, some federal, state, or foreign governmental</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4" w:name="page55"/>
    <w:bookmarkEnd w:id="54"/>
    <w:p>
      <w:pPr>
        <w:ind w:right="120"/>
        <w:spacing w:after="0" w:line="259" w:lineRule="auto"/>
        <w:rPr>
          <w:sz w:val="20"/>
          <w:szCs w:val="20"/>
          <w:color w:val="auto"/>
        </w:rPr>
      </w:pPr>
      <w:r>
        <w:rPr>
          <w:rFonts w:ascii="Arial" w:cs="Arial" w:eastAsia="Arial" w:hAnsi="Arial"/>
          <w:sz w:val="18"/>
          <w:szCs w:val="18"/>
          <w:color w:val="auto"/>
        </w:rPr>
        <w:t>bodies have established laws that seek to censor the transmission of certain types of content over the Internet or require that individuals be provided with the ability to permanently delete all electronic personal information, such as the German Multimedia Law of 1997 and the California “Eraser law” for minors. Additionally, some foreign governmental bodies (such as Russia and China) have established laws or have proposed laws that seek to require local data storage.</w:t>
      </w:r>
    </w:p>
    <w:p>
      <w:pPr>
        <w:spacing w:after="0" w:line="187"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In addition, new laws and industry self-regulatory codes have been enacted and more are being considered that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w:t>
      </w:r>
    </w:p>
    <w:p>
      <w:pPr>
        <w:spacing w:after="0" w:line="147"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us to implement additional technological safeguards.</w:t>
      </w:r>
    </w:p>
    <w:p>
      <w:pPr>
        <w:spacing w:after="0" w:line="193" w:lineRule="exact"/>
        <w:rPr>
          <w:sz w:val="20"/>
          <w:szCs w:val="20"/>
          <w:color w:val="auto"/>
        </w:rPr>
      </w:pPr>
    </w:p>
    <w:p>
      <w:pPr>
        <w:ind w:right="200" w:firstLine="392"/>
        <w:spacing w:after="0" w:line="297" w:lineRule="auto"/>
        <w:rPr>
          <w:sz w:val="20"/>
          <w:szCs w:val="20"/>
          <w:color w:val="auto"/>
        </w:rPr>
      </w:pPr>
      <w:r>
        <w:rPr>
          <w:rFonts w:ascii="Arial" w:cs="Arial" w:eastAsia="Arial" w:hAnsi="Arial"/>
          <w:sz w:val="16"/>
          <w:szCs w:val="16"/>
          <w:color w:val="auto"/>
        </w:rPr>
        <w:t>In addition, in October 2015 the European Court of Justice issued a ruling immediately invalidating the U.S.-EU Safe Harbor Framework, which facilitated personal data transfers to the U.S. in compliance with applicable EU data protection laws. In February 2016, the European Commission and the United States agreed on a new framework for transatlantic data flows: the EU-U.S. Privacy Shield. We rely on other legal mechanisms for data transfer and continue to comply with the previous U.S.-EU Safe Harbor Framework and U.S.-Swiss Safe Harbor Framework as set forth by the U.S. Department of Commerce regarding the collection, use, and retention of personal information from European Union member countries and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could impact our new business models and expose us to increased liability.</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Governments, privacy advocates and class action attorneys are increasingly scrutinizing how companies collect, process, use, store, share or transmit personal data. Any perception of our practices or products as an invasion of privacy, whether or not consistent with current regulations and industry practices, may subject us to public criticism, class action lawsuits, reputational harm or claims by regulators, industry groups or other third parties, all of which could disrupt our business and expose us to increased liability.</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and processing of data; any interruption or delay in service from these third parties, breaches of security or privacy could expose us to liability, harm our reputation and adversely impact our financial performance.</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increasingly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4" w:right="259" w:bottom="1440" w:gutter="0" w:footer="0" w:header="0"/>
        </w:sectPr>
      </w:pPr>
    </w:p>
    <w:bookmarkStart w:id="55" w:name="page56"/>
    <w:bookmarkEnd w:id="55"/>
    <w:p>
      <w:pPr>
        <w:ind w:right="4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six months ended July 31, 2017 and 2016, approximately 70% and 75%,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Tech Data accounted for 30% of our total net revenue for both the six months ended July 31, 2017 and July 31, 2016.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8"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perpetual licenses and the introduction of our maintenance to subscription program;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52"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8"/>
          </w:cols>
          <w:pgMar w:left="572" w:top="584" w:right="379" w:bottom="1440" w:gutter="0" w:footer="0" w:header="0"/>
        </w:sectPr>
      </w:pPr>
    </w:p>
    <w:bookmarkStart w:id="57" w:name="page58"/>
    <w:bookmarkEnd w:id="57"/>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16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collections, if these products are not successful, our revenue will be adversely affected.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801" w:right="319" w:bottom="1440" w:gutter="0" w:footer="0" w:header="0"/>
        </w:sectPr>
      </w:pPr>
    </w:p>
    <w:bookmarkStart w:id="58" w:name="page59"/>
    <w:bookmarkEnd w:id="58"/>
    <w:p>
      <w:pPr>
        <w:ind w:right="180" w:firstLine="432"/>
        <w:spacing w:after="0" w:line="293" w:lineRule="auto"/>
        <w:rPr>
          <w:sz w:val="20"/>
          <w:szCs w:val="20"/>
          <w:color w:val="auto"/>
        </w:rPr>
      </w:pPr>
      <w:r>
        <w:rPr>
          <w:rFonts w:ascii="Arial" w:cs="Arial" w:eastAsia="Arial" w:hAnsi="Arial"/>
          <w:sz w:val="16"/>
          <w:szCs w:val="16"/>
          <w:color w:val="auto"/>
        </w:rPr>
        <w:t>We derive a substantial portion of our net revenue from sales of licenses of a limited number of our products, including AutoCAD software, products based on AutoCAD, which include our collections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six months ended July 31, 2017, combined revenue from our AutoCAD and AutoCAD LT products, not including collections (formerly suites) having AutoCAD or AutoCAD LT as a component, represented 19% of total net revenue compared to 15% during the six months ended July 31,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ind w:right="140" w:firstLine="405"/>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As of April 30, 2017, management believed it had sufficient evidence to conclude that the changes, initiated over the preceding 18 months that were designed to remediate the material weakness, had been completely implemented and the material weakness had been remediated.</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shortfalls in our expected financial results, including net revenue, ARR, ARPS, earnings, subscriptions, or other key performance metrics;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0" w:name="page61"/>
    <w:bookmarkEnd w:id="60"/>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1" w:name="page62"/>
    <w:bookmarkEnd w:id="61"/>
    <w:p>
      <w:pPr>
        <w:ind w:right="4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FASB and IASB may result in different accounting principles under GAAP that may result in materially different financial results for us in areas including, but not limited to principles for recognizing revenue and lease accounting.</w:t>
      </w:r>
    </w:p>
    <w:p>
      <w:pPr>
        <w:spacing w:after="0" w:line="19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Furthermore, in May 2014, FASB issued ASU 2014-09, Revenue from Contracts with Customers, which supersedes nearly all existing revenue recognition guidance under U.S. GAAP. This standard establishes a principle for recognizing revenue upon the transfer of promised goods or services to customers, in an amount that reflects the expected consideration received in exchange for those goods or services. The standard also provides guidance on the recognition of costs related to obtaining and fulfilling customer contracts. In August 2015, FASB subsequently issued ASU 2015-14, which deferred the effectiveness of ASU 2014-09, so that it will now be effective for annual reporting periods beginning after December 15, 2017, including interim periods within that reporting period. The revised effective date for the Company under the new standard will be the beginning of fiscal 2019. We are assessing the impact on our consolidated financial statements, defining our operational requirements, and implementing changes to our policies, procedures and systems. This new standard is both technical and complex, and we expect to incur significant ongoing costs to implement and maintain compliance with this new standard. In addition, there may be greater uncertainty with respect to projecting revenue results from future operations as we work through the new revenue recognition standard.</w:t>
      </w:r>
    </w:p>
    <w:p>
      <w:pPr>
        <w:spacing w:after="0" w:line="17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Adoption of ASU 2014-09 along with any other changes in accounting principles or interpretations could have a significant effect on our reported financial results and could affect the reporting of transactions completed before the announcement of a change. Any difficulties in the implementation of new or changed accounting standards including ASU 2014-09 could cause us to fail to meet our financial reporting obligations. If our estimates relating to our critical accounting policies are based on assumptions or judgments that change or prove to be incorrect, our operating results could fall below expectations of securities analysts and investors, resulting in a decline in our stock price. In addition, as we evolve and change our business and sales models, we are currently unable to determine how these potential changes may impact our new models, particularly in the area of revenue recognition.</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We are investing in resources to update and improve our information technology systems. Should our investments not succeed, or if delays or other issues with new or existing internal technology systems disrupt our operations, our business model transition could be compromised and our business could be harmed.</w:t>
      </w:r>
    </w:p>
    <w:p>
      <w:pPr>
        <w:spacing w:after="0" w:line="124"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and environments in order to meet the growing and evolving requirements of our business and customers. In particular, our transition to cloud-based products and a subscription only business model requires considerable investment in the development of technologies, and back office systems for technical, financial, compliance and sales resources to enable a scalable organization.</w:t>
      </w:r>
    </w:p>
    <w:p>
      <w:pPr>
        <w:spacing w:after="0" w:line="188"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 and could compromise our business model transition.</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Increasingly, governmental tax authorities are scrutinizing corporate tax strategies.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584"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80" w:firstLine="392"/>
        <w:spacing w:after="0" w:line="269" w:lineRule="auto"/>
        <w:rPr>
          <w:sz w:val="20"/>
          <w:szCs w:val="20"/>
          <w:color w:val="auto"/>
        </w:rPr>
      </w:pPr>
      <w:r>
        <w:rPr>
          <w:rFonts w:ascii="Arial" w:cs="Arial" w:eastAsia="Arial" w:hAnsi="Arial"/>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we determined that it was more likely than not that the Company would not realize our U.S. deferred tax assets and established a valuation allowance against our U.S. deferred tax assets. We continued to have a full valuation allowance against our U.S. deferred tax assets in fiscal 2017 and increased the amount of the valuation allowance to include deferred tax assets generated in fiscal 2017, including deferred tax assets that were established as a result of the adoption of ASU 2016-09 in the second quarter of fiscal 2017.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$1.6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June 2017, we issued $500.0 million aggregate principal amount of 3.5% notes due June 15, 2027. In June 2015, we issued 3.125% notes due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June 15, 2020 in an aggregate principal amount of $450.0 million and 4.375% notes due June 15, 2025 in an aggregate principal amount of $300.0 million. In December 2012, we issued 3.6% notes due December 15, 2022 in an aggregate principal amount of $350.0 million. As the debt matures, we will have to expend significant resources to either repay or refinance these notes. For example, in July 2017, we redeemed outstanding senior notes due December 15, 2017 for a total cash prepayment of $401.8 million by using the proceeds the from the notes we issued in 2017. If we decide to refinance notes in the future, we may be required to do so on different or less favorable terms or we may be unable to refinance the notes at all, both of which may adversely affect our financial condition.</w:t>
      </w:r>
    </w:p>
    <w:p>
      <w:pPr>
        <w:spacing w:after="0" w:line="194"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July 31, 2017,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This credit agreement contains customary covenants that could restrict the imposition of liens on Autodesk’s assets, and restrict the Company’s ability to incur additional indebtedness or make dispositions of assets if Autodesk fails to maintain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ind w:right="320"/>
        <w:spacing w:after="0" w:line="277" w:lineRule="auto"/>
        <w:rPr>
          <w:sz w:val="20"/>
          <w:szCs w:val="20"/>
          <w:color w:val="auto"/>
        </w:rPr>
      </w:pPr>
      <w:r>
        <w:rPr>
          <w:rFonts w:ascii="Arial" w:cs="Arial" w:eastAsia="Arial" w:hAnsi="Arial"/>
          <w:sz w:val="18"/>
          <w:szCs w:val="18"/>
          <w:color w:val="auto"/>
        </w:rPr>
        <w:t>financial covenants. The financial covenants consist of a maximum debt to total cash ratio, a fixed charge coverage ratio through April 30, 2018, and after April 30, 2018 a minimum interest coverage ratio.</w:t>
      </w:r>
    </w:p>
    <w:p>
      <w:pPr>
        <w:spacing w:after="0" w:line="170"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July 31, 2017.</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240" w:type="dxa"/>
            <w:vAlign w:val="bottom"/>
          </w:tcPr>
          <w:p>
            <w:pPr>
              <w:ind w:left="4900"/>
              <w:spacing w:after="0"/>
              <w:rPr>
                <w:sz w:val="20"/>
                <w:szCs w:val="20"/>
                <w:color w:val="auto"/>
              </w:rPr>
            </w:pPr>
            <w:r>
              <w:rPr>
                <w:rFonts w:ascii="Arial" w:cs="Arial" w:eastAsia="Arial" w:hAnsi="Arial"/>
                <w:sz w:val="16"/>
                <w:szCs w:val="16"/>
                <w:color w:val="auto"/>
              </w:rPr>
              <w:t>Description</w:t>
            </w:r>
          </w:p>
        </w:tc>
      </w:tr>
      <w:tr>
        <w:trPr>
          <w:trHeight w:val="362"/>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6"/>
                <w:szCs w:val="16"/>
                <w:color w:val="auto"/>
                <w:w w:val="92"/>
              </w:rPr>
              <w:t>Third Supplemental Indenture, dated June 8, 2017, by and between Autodesk, Inc. and U.S. Bank National Association. (</w:t>
            </w:r>
            <w:r>
              <w:rPr>
                <w:rFonts w:ascii="Arial" w:cs="Arial" w:eastAsia="Arial" w:hAnsi="Arial"/>
                <w:sz w:val="16"/>
                <w:szCs w:val="16"/>
                <w:i w:val="1"/>
                <w:iCs w:val="1"/>
                <w:color w:val="auto"/>
                <w:w w:val="92"/>
              </w:rPr>
              <w:t>incorporated by reference from</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40" w:type="dxa"/>
            <w:vAlign w:val="bottom"/>
          </w:tcPr>
          <w:p>
            <w:pPr>
              <w:ind w:left="240"/>
              <w:spacing w:after="0"/>
              <w:rPr>
                <w:sz w:val="20"/>
                <w:szCs w:val="20"/>
                <w:color w:val="auto"/>
              </w:rPr>
            </w:pPr>
            <w:r>
              <w:rPr>
                <w:rFonts w:ascii="Arial" w:cs="Arial" w:eastAsia="Arial" w:hAnsi="Arial"/>
                <w:sz w:val="16"/>
                <w:szCs w:val="16"/>
                <w:i w:val="1"/>
                <w:iCs w:val="1"/>
                <w:color w:val="auto"/>
              </w:rPr>
              <w:t>Exhibit 4.1 of the Registrant's Current Report on Form 8-K filed on June 8, 2017</w:t>
            </w:r>
            <w:r>
              <w:rPr>
                <w:rFonts w:ascii="Arial" w:cs="Arial" w:eastAsia="Arial" w:hAnsi="Arial"/>
                <w:sz w:val="16"/>
                <w:szCs w:val="16"/>
                <w:color w:val="auto"/>
              </w:rPr>
              <w:t>)</w:t>
            </w:r>
          </w:p>
        </w:tc>
      </w:tr>
      <w:tr>
        <w:trPr>
          <w:trHeight w:val="415"/>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6"/>
                <w:szCs w:val="16"/>
                <w:color w:val="auto"/>
                <w:w w:val="94"/>
              </w:rPr>
              <w:t>Form of Note for Autodesk, Inc.’s 3.500% Notes due 2027 (</w:t>
            </w:r>
            <w:r>
              <w:rPr>
                <w:rFonts w:ascii="Arial" w:cs="Arial" w:eastAsia="Arial" w:hAnsi="Arial"/>
                <w:sz w:val="16"/>
                <w:szCs w:val="16"/>
                <w:i w:val="1"/>
                <w:iCs w:val="1"/>
                <w:color w:val="auto"/>
                <w:w w:val="94"/>
              </w:rPr>
              <w:t>incorporated by reference from Exhibit 4.1 of the Registrant's Current Report on Form 8-K</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40" w:type="dxa"/>
            <w:vAlign w:val="bottom"/>
          </w:tcPr>
          <w:p>
            <w:pPr>
              <w:ind w:left="240"/>
              <w:spacing w:after="0"/>
              <w:rPr>
                <w:sz w:val="20"/>
                <w:szCs w:val="20"/>
                <w:color w:val="auto"/>
              </w:rPr>
            </w:pPr>
            <w:r>
              <w:rPr>
                <w:rFonts w:ascii="Arial" w:cs="Arial" w:eastAsia="Arial" w:hAnsi="Arial"/>
                <w:sz w:val="16"/>
                <w:szCs w:val="16"/>
                <w:i w:val="1"/>
                <w:iCs w:val="1"/>
                <w:color w:val="auto"/>
              </w:rPr>
              <w:t>filed on June 8, 2017</w:t>
            </w:r>
            <w:r>
              <w:rPr>
                <w:rFonts w:ascii="Arial" w:cs="Arial" w:eastAsia="Arial" w:hAnsi="Arial"/>
                <w:sz w:val="16"/>
                <w:szCs w:val="16"/>
                <w:color w:val="auto"/>
              </w:rPr>
              <w:t>)</w:t>
            </w:r>
          </w:p>
        </w:tc>
      </w:tr>
      <w:tr>
        <w:trPr>
          <w:trHeight w:val="824"/>
        </w:trPr>
        <w:tc>
          <w:tcPr>
            <w:tcW w:w="700" w:type="dxa"/>
            <w:vAlign w:val="bottom"/>
          </w:tcPr>
          <w:p>
            <w:pPr>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6"/>
                <w:szCs w:val="16"/>
                <w:color w:val="auto"/>
              </w:rPr>
              <w:t>Autodesk, Inc. 1998 Employee Qualified Stock Purchase Plan, as amended</w:t>
            </w:r>
          </w:p>
        </w:tc>
      </w:tr>
      <w:tr>
        <w:trPr>
          <w:trHeight w:val="824"/>
        </w:trPr>
        <w:tc>
          <w:tcPr>
            <w:tcW w:w="700" w:type="dxa"/>
            <w:vAlign w:val="bottom"/>
          </w:tcPr>
          <w:p>
            <w:pPr>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6"/>
                <w:szCs w:val="16"/>
                <w:color w:val="auto"/>
              </w:rPr>
              <w:t>Autodesk, Inc. 2012 Employee Stock Plan, as amended</w:t>
            </w:r>
          </w:p>
        </w:tc>
      </w:tr>
      <w:tr>
        <w:trPr>
          <w:trHeight w:val="442"/>
        </w:trPr>
        <w:tc>
          <w:tcPr>
            <w:tcW w:w="700" w:type="dxa"/>
            <w:vAlign w:val="bottom"/>
          </w:tcPr>
          <w:p>
            <w:pPr>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6"/>
                <w:szCs w:val="16"/>
                <w:color w:val="auto"/>
                <w:w w:val="91"/>
              </w:rPr>
              <w:t>Employment Agreement, dated as of June 19, 2017, by and between Autodesk, Inc. and Andrew Anagnost (</w:t>
            </w:r>
            <w:r>
              <w:rPr>
                <w:rFonts w:ascii="Arial" w:cs="Arial" w:eastAsia="Arial" w:hAnsi="Arial"/>
                <w:sz w:val="16"/>
                <w:szCs w:val="16"/>
                <w:i w:val="1"/>
                <w:iCs w:val="1"/>
                <w:color w:val="auto"/>
                <w:w w:val="91"/>
              </w:rPr>
              <w:t>incorporated by reference to Exhibit 10.1 filed</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40" w:type="dxa"/>
            <w:vAlign w:val="bottom"/>
          </w:tcPr>
          <w:p>
            <w:pPr>
              <w:ind w:left="240"/>
              <w:spacing w:after="0"/>
              <w:rPr>
                <w:sz w:val="20"/>
                <w:szCs w:val="20"/>
                <w:color w:val="auto"/>
              </w:rPr>
            </w:pPr>
            <w:r>
              <w:rPr>
                <w:rFonts w:ascii="Arial" w:cs="Arial" w:eastAsia="Arial" w:hAnsi="Arial"/>
                <w:sz w:val="16"/>
                <w:szCs w:val="16"/>
                <w:i w:val="1"/>
                <w:iCs w:val="1"/>
                <w:color w:val="auto"/>
              </w:rPr>
              <w:t>with the Registrant’s Current Report on Form 8-K filed on June 19, 2017</w:t>
            </w:r>
            <w:r>
              <w:rPr>
                <w:rFonts w:ascii="Arial" w:cs="Arial" w:eastAsia="Arial" w:hAnsi="Arial"/>
                <w:sz w:val="16"/>
                <w:szCs w:val="16"/>
                <w:color w:val="auto"/>
              </w:rPr>
              <w:t>)</w:t>
            </w:r>
          </w:p>
        </w:tc>
      </w:tr>
      <w:tr>
        <w:trPr>
          <w:trHeight w:val="631"/>
        </w:trPr>
        <w:tc>
          <w:tcPr>
            <w:tcW w:w="700" w:type="dxa"/>
            <w:vAlign w:val="bottom"/>
          </w:tcPr>
          <w:p>
            <w:pPr>
              <w:spacing w:after="0"/>
              <w:rPr>
                <w:sz w:val="20"/>
                <w:szCs w:val="20"/>
                <w:color w:val="auto"/>
              </w:rPr>
            </w:pPr>
            <w:r>
              <w:rPr>
                <w:rFonts w:ascii="Arial" w:cs="Arial" w:eastAsia="Arial" w:hAnsi="Arial"/>
                <w:sz w:val="16"/>
                <w:szCs w:val="16"/>
                <w:color w:val="auto"/>
              </w:rPr>
              <w:t>10.6*</w:t>
            </w:r>
          </w:p>
        </w:tc>
        <w:tc>
          <w:tcPr>
            <w:tcW w:w="32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6"/>
                <w:szCs w:val="16"/>
                <w:color w:val="auto"/>
                <w:w w:val="91"/>
              </w:rPr>
              <w:t>Separation Agreement, dated as of June 19, 2017, by and between Autodesk, Inc. and Amar Hanspal. (</w:t>
            </w:r>
            <w:r>
              <w:rPr>
                <w:rFonts w:ascii="Arial" w:cs="Arial" w:eastAsia="Arial" w:hAnsi="Arial"/>
                <w:sz w:val="16"/>
                <w:szCs w:val="16"/>
                <w:i w:val="1"/>
                <w:iCs w:val="1"/>
                <w:color w:val="auto"/>
                <w:w w:val="91"/>
              </w:rPr>
              <w:t>incorporated by reference to Exhibit 10.2 filed with</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40" w:type="dxa"/>
            <w:vAlign w:val="bottom"/>
          </w:tcPr>
          <w:p>
            <w:pPr>
              <w:ind w:left="240"/>
              <w:spacing w:after="0"/>
              <w:rPr>
                <w:sz w:val="20"/>
                <w:szCs w:val="20"/>
                <w:color w:val="auto"/>
              </w:rPr>
            </w:pPr>
            <w:r>
              <w:rPr>
                <w:rFonts w:ascii="Arial" w:cs="Arial" w:eastAsia="Arial" w:hAnsi="Arial"/>
                <w:sz w:val="16"/>
                <w:szCs w:val="16"/>
                <w:i w:val="1"/>
                <w:iCs w:val="1"/>
                <w:color w:val="auto"/>
              </w:rPr>
              <w:t>the Registrant’s Current Report on Form 8-K filed on June 19, 2017</w:t>
            </w:r>
            <w:r>
              <w:rPr>
                <w:rFonts w:ascii="Arial" w:cs="Arial" w:eastAsia="Arial" w:hAnsi="Arial"/>
                <w:sz w:val="16"/>
                <w:szCs w:val="16"/>
                <w:color w:val="auto"/>
              </w:rPr>
              <w:t>)</w:t>
            </w:r>
          </w:p>
        </w:tc>
      </w:tr>
      <w:tr>
        <w:trPr>
          <w:trHeight w:val="257"/>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2"/>
                <w:szCs w:val="22"/>
                <w:color w:val="auto"/>
              </w:rPr>
            </w:pPr>
          </w:p>
        </w:tc>
        <w:tc>
          <w:tcPr>
            <w:tcW w:w="10240" w:type="dxa"/>
            <w:vAlign w:val="bottom"/>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r>
      <w:tr>
        <w:trPr>
          <w:trHeight w:val="446"/>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42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240" w:type="dxa"/>
            <w:vAlign w:val="bottom"/>
          </w:tcPr>
          <w:p>
            <w:pPr>
              <w:ind w:left="240"/>
              <w:spacing w:after="0"/>
              <w:rPr>
                <w:sz w:val="20"/>
                <w:szCs w:val="20"/>
                <w:color w:val="auto"/>
              </w:rPr>
            </w:pPr>
            <w:r>
              <w:rPr>
                <w:rFonts w:ascii="Arial" w:cs="Arial" w:eastAsia="Arial" w:hAnsi="Arial"/>
                <w:sz w:val="16"/>
                <w:szCs w:val="16"/>
                <w:color w:val="auto"/>
                <w:w w:val="97"/>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40" w:type="dxa"/>
            <w:vAlign w:val="bottom"/>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4"/>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240" w:type="dxa"/>
            <w:vAlign w:val="bottom"/>
          </w:tcPr>
          <w:p>
            <w:pPr>
              <w:ind w:left="240"/>
              <w:spacing w:after="0"/>
              <w:rPr>
                <w:sz w:val="20"/>
                <w:szCs w:val="20"/>
                <w:color w:val="auto"/>
              </w:rPr>
            </w:pPr>
            <w:r>
              <w:rPr>
                <w:rFonts w:ascii="Arial" w:cs="Arial" w:eastAsia="Arial" w:hAnsi="Arial"/>
                <w:sz w:val="16"/>
                <w:szCs w:val="16"/>
                <w:color w:val="auto"/>
                <w:w w:val="94"/>
              </w:rPr>
              <w:t>XBRL Instance Document - the instance document does not appear in the Interactive Data File because its XBRL tags are embedded within the Inline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40" w:type="dxa"/>
            <w:vAlign w:val="bottom"/>
          </w:tcPr>
          <w:p>
            <w:pPr>
              <w:ind w:left="240"/>
              <w:spacing w:after="0"/>
              <w:rPr>
                <w:sz w:val="20"/>
                <w:szCs w:val="20"/>
                <w:color w:val="auto"/>
              </w:rPr>
            </w:pPr>
            <w:r>
              <w:rPr>
                <w:rFonts w:ascii="Arial" w:cs="Arial" w:eastAsia="Arial" w:hAnsi="Arial"/>
                <w:sz w:val="16"/>
                <w:szCs w:val="16"/>
                <w:color w:val="auto"/>
              </w:rPr>
              <w:t>XBRL document</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240" w:type="dxa"/>
            <w:vAlign w:val="bottom"/>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240" w:type="dxa"/>
            <w:vAlign w:val="bottom"/>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240" w:type="dxa"/>
            <w:vAlign w:val="bottom"/>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240" w:type="dxa"/>
            <w:vAlign w:val="bottom"/>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240" w:type="dxa"/>
            <w:vAlign w:val="bottom"/>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ind w:left="720" w:hanging="685"/>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ind w:left="720" w:right="20" w:hanging="685"/>
        <w:spacing w:after="0" w:line="335" w:lineRule="auto"/>
        <w:tabs>
          <w:tab w:leader="none" w:pos="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66</w:t>
      </w:r>
    </w:p>
    <w:p>
      <w:pPr>
        <w:sectPr>
          <w:pgSz w:w="11900" w:h="16838" w:orient="portrait"/>
          <w:cols w:equalWidth="0" w:num="1">
            <w:col w:w="11300"/>
          </w:cols>
          <w:pgMar w:left="240" w:top="580" w:right="359" w:bottom="1440" w:gutter="0" w:footer="0" w:header="0"/>
        </w:sectPr>
      </w:pPr>
    </w:p>
    <w:bookmarkStart w:id="66" w:name="page67"/>
    <w:bookmarkEnd w:id="66"/>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31,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720"/>
          </w:cols>
          <w:pgMar w:left="240" w:top="580" w:right="939" w:bottom="1440" w:gutter="0" w:footer="0" w:header="0"/>
        </w:sectPr>
      </w:pPr>
    </w:p>
    <w:bookmarkStart w:id="67" w:name="page68"/>
    <w:bookmarkEnd w:id="67"/>
    <w:p>
      <w:pPr>
        <w:jc w:val="center"/>
        <w:ind w:right="-79"/>
        <w:spacing w:after="0"/>
        <w:rPr>
          <w:sz w:val="20"/>
          <w:szCs w:val="20"/>
          <w:color w:val="auto"/>
        </w:rPr>
      </w:pPr>
      <w:r>
        <w:rPr>
          <w:rFonts w:ascii="Arial" w:cs="Arial" w:eastAsia="Arial" w:hAnsi="Arial"/>
          <w:sz w:val="22"/>
          <w:szCs w:val="22"/>
          <w:b w:val="1"/>
          <w:bCs w:val="1"/>
          <w:color w:val="auto"/>
        </w:rPr>
        <w:t>AUTODESK, INC.</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1998 EMPLOYEE QUALIFIED STOCK PURCHASE PLAN</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(As Amended and Restated Effective June 14, 2017)</w:t>
      </w:r>
    </w:p>
    <w:p>
      <w:pPr>
        <w:spacing w:after="0" w:line="226"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The following constitute the provisions of the 1998 Employee Qualified Stock Purchase Plan, as amended and restated (herein called the “Plan”) of Autodesk, Inc. (herein called the “Company”).</w:t>
      </w:r>
    </w:p>
    <w:p>
      <w:pPr>
        <w:spacing w:after="0" w:line="175" w:lineRule="exact"/>
        <w:rPr>
          <w:sz w:val="20"/>
          <w:szCs w:val="20"/>
          <w:color w:val="auto"/>
        </w:rPr>
      </w:pPr>
    </w:p>
    <w:p>
      <w:pPr>
        <w:ind w:right="60" w:firstLine="656"/>
        <w:spacing w:after="0" w:line="260" w:lineRule="auto"/>
        <w:tabs>
          <w:tab w:leader="none" w:pos="1459"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the Plan is to provide employees of the Company and Designated Companies with an opportunity to purchase Common Stock of the Company through accumulated payroll deductions. The Plan consists of the Section 423 Plan and the Non-423 Plan. The Company intends that the Section 423 Plan qualify as an “employee stock purchase plan” under Section 423 of the Code (including any amendments or replacements of such section), and the Section 423 Plan shall be construed accordingly. The Non-423 Plan is not intended to qualify as an “employee stock purchase plan” under Section 423 of the Code and is intended to ensure certain grants to Employees employed by Designated Companies outside the U.S. achieve tax, securities law, or other objectives.</w:t>
      </w:r>
    </w:p>
    <w:p>
      <w:pPr>
        <w:spacing w:after="0" w:line="181" w:lineRule="exact"/>
        <w:rPr>
          <w:rFonts w:ascii="Arial" w:cs="Arial" w:eastAsia="Arial" w:hAnsi="Arial"/>
          <w:sz w:val="21"/>
          <w:szCs w:val="21"/>
          <w:color w:val="auto"/>
        </w:rPr>
      </w:pPr>
    </w:p>
    <w:p>
      <w:pPr>
        <w:ind w:left="1460" w:hanging="804"/>
        <w:spacing w:after="0"/>
        <w:tabs>
          <w:tab w:leader="none" w:pos="14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440" w:firstLine="1305"/>
        <w:spacing w:after="0" w:line="312" w:lineRule="auto"/>
        <w:tabs>
          <w:tab w:leader="none" w:pos="1752" w:val="left"/>
        </w:tabs>
        <w:numPr>
          <w:ilvl w:val="1"/>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133" w:lineRule="exact"/>
        <w:rPr>
          <w:rFonts w:ascii="Arial" w:cs="Arial" w:eastAsia="Arial" w:hAnsi="Arial"/>
          <w:sz w:val="19"/>
          <w:szCs w:val="19"/>
          <w:color w:val="auto"/>
        </w:rPr>
      </w:pPr>
    </w:p>
    <w:p>
      <w:pPr>
        <w:ind w:right="60" w:firstLine="1305"/>
        <w:spacing w:after="0" w:line="250" w:lineRule="auto"/>
        <w:tabs>
          <w:tab w:leader="none" w:pos="1765"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shall mean the laws and regulations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88" w:lineRule="exact"/>
        <w:rPr>
          <w:rFonts w:ascii="Arial" w:cs="Arial" w:eastAsia="Arial" w:hAnsi="Arial"/>
          <w:sz w:val="22"/>
          <w:szCs w:val="22"/>
          <w:color w:val="auto"/>
        </w:rPr>
      </w:pPr>
    </w:p>
    <w:p>
      <w:pPr>
        <w:ind w:left="1760" w:hanging="455"/>
        <w:spacing w:after="0"/>
        <w:tabs>
          <w:tab w:leader="none" w:pos="1760"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Company.</w:t>
      </w:r>
    </w:p>
    <w:p>
      <w:pPr>
        <w:spacing w:after="0" w:line="219" w:lineRule="exact"/>
        <w:rPr>
          <w:rFonts w:ascii="Arial" w:cs="Arial" w:eastAsia="Arial" w:hAnsi="Arial"/>
          <w:sz w:val="22"/>
          <w:szCs w:val="22"/>
          <w:color w:val="auto"/>
        </w:rPr>
      </w:pPr>
    </w:p>
    <w:p>
      <w:pPr>
        <w:ind w:firstLine="1305"/>
        <w:spacing w:after="0" w:line="250" w:lineRule="auto"/>
        <w:tabs>
          <w:tab w:leader="none" w:pos="1765"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88" w:lineRule="exact"/>
        <w:rPr>
          <w:rFonts w:ascii="Arial" w:cs="Arial" w:eastAsia="Arial" w:hAnsi="Arial"/>
          <w:sz w:val="22"/>
          <w:szCs w:val="22"/>
          <w:color w:val="auto"/>
        </w:rPr>
      </w:pPr>
    </w:p>
    <w:p>
      <w:pPr>
        <w:ind w:right="320" w:firstLine="1305"/>
        <w:spacing w:after="0" w:line="263" w:lineRule="auto"/>
        <w:tabs>
          <w:tab w:leader="none" w:pos="1752"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shall mean the Compensation Committee of the Board or any subcommittee appointed by the Board or Committee pursuant to Section 14(f) to administer the Plan.</w:t>
      </w:r>
    </w:p>
    <w:p>
      <w:pPr>
        <w:spacing w:after="0" w:line="174" w:lineRule="exact"/>
        <w:rPr>
          <w:rFonts w:ascii="Arial" w:cs="Arial" w:eastAsia="Arial" w:hAnsi="Arial"/>
          <w:sz w:val="22"/>
          <w:szCs w:val="22"/>
          <w:color w:val="auto"/>
        </w:rPr>
      </w:pPr>
    </w:p>
    <w:p>
      <w:pPr>
        <w:ind w:left="1740" w:hanging="435"/>
        <w:spacing w:after="0"/>
        <w:tabs>
          <w:tab w:leader="none" w:pos="1740"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shall mean the Common Stock, par value $0.01 per share, of the Company.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mean Autodesk, Inc., a Delaware corporation.</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340"/>
          </w:cols>
          <w:pgMar w:left="240" w:top="1017" w:right="319" w:bottom="1440" w:gutter="0" w:footer="0" w:header="0"/>
        </w:sectPr>
      </w:pPr>
    </w:p>
    <w:bookmarkStart w:id="68" w:name="page69"/>
    <w:bookmarkEnd w:id="68"/>
    <w:p>
      <w:pPr>
        <w:ind w:left="-20" w:firstLine="1305"/>
        <w:spacing w:after="0" w:line="288" w:lineRule="auto"/>
        <w:tabs>
          <w:tab w:leader="none" w:pos="1745" w:val="left"/>
        </w:tabs>
        <w:numPr>
          <w:ilvl w:val="0"/>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w:t>
      </w:r>
      <w:r>
        <w:rPr>
          <w:rFonts w:ascii="Arial" w:cs="Arial" w:eastAsia="Arial" w:hAnsi="Arial"/>
          <w:sz w:val="19"/>
          <w:szCs w:val="19"/>
          <w:color w:val="auto"/>
        </w:rPr>
        <w:t>” shall mean all regular straight time earnings or salary (including 13th/14th month payments or similar concepts under Applicable Law), payments for overtime, shift premium and commissions, payments for paid time off, and any portion of such amounts voluntarily deferred or reduced by the Employee (i) under any employee benefit plan of the Company or a Subsidiary or Affiliate available to all levels of employees on a non-discriminatory basis upon satisfaction of eligibility requirements, and (ii) under any executive deferral plan of the Company (provided such amounts would not otherwise have been excluded had they not been deferred). Compensation shall be limited to such amounts actually payable in cash or deferred during the Offering Period. Compensation shall not include: (x) sign-on bonuses, annual or other incentive bonuses, profit-sharing distributions or other incentive-type payments, (y) payments in lieu of notice, payments pursuant to a severance agreement, termination pay, moving allowances, relocation payments, or (z) any amounts directly or indirectly paid pursuant to the Plan or any other stock purchase, stock option or other stock-based compensation plan, or any other compensation not expressly included by this Section. The Committee shall have discretion to determine the application of this definition to Employees outside the U.S.</w:t>
      </w:r>
    </w:p>
    <w:p>
      <w:pPr>
        <w:spacing w:after="0" w:line="154" w:lineRule="exact"/>
        <w:rPr>
          <w:rFonts w:ascii="Arial" w:cs="Arial" w:eastAsia="Arial" w:hAnsi="Arial"/>
          <w:sz w:val="19"/>
          <w:szCs w:val="19"/>
          <w:color w:val="auto"/>
        </w:rPr>
      </w:pPr>
    </w:p>
    <w:p>
      <w:pPr>
        <w:ind w:left="-20" w:right="120" w:firstLine="1305"/>
        <w:spacing w:after="0" w:line="250" w:lineRule="auto"/>
        <w:tabs>
          <w:tab w:leader="none" w:pos="1697"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Continuous Status as an Employee</w:t>
      </w:r>
      <w:r>
        <w:rPr>
          <w:rFonts w:ascii="Arial" w:cs="Arial" w:eastAsia="Arial" w:hAnsi="Arial"/>
          <w:sz w:val="22"/>
          <w:szCs w:val="22"/>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188" w:lineRule="exact"/>
        <w:rPr>
          <w:rFonts w:ascii="Arial" w:cs="Arial" w:eastAsia="Arial" w:hAnsi="Arial"/>
          <w:sz w:val="22"/>
          <w:szCs w:val="22"/>
          <w:color w:val="auto"/>
        </w:rPr>
      </w:pPr>
    </w:p>
    <w:p>
      <w:pPr>
        <w:ind w:left="-20" w:right="20" w:firstLine="1305"/>
        <w:spacing w:after="0" w:line="297" w:lineRule="auto"/>
        <w:tabs>
          <w:tab w:leader="none" w:pos="1697" w:val="left"/>
        </w:tabs>
        <w:numPr>
          <w:ilvl w:val="0"/>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Company</w:t>
      </w:r>
      <w:r>
        <w:rPr>
          <w:rFonts w:ascii="Arial" w:cs="Arial" w:eastAsia="Arial" w:hAnsi="Arial"/>
          <w:sz w:val="19"/>
          <w:szCs w:val="19"/>
          <w:color w:val="auto"/>
        </w:rPr>
        <w:t>” shall mean any Subsidiary or Affiliate, whether now existing or existing in the future, that has been designated by the Committee from time to time in its sole discretion as eligible to participate in the Plan. The Committee may designate Subsidiaries or Affiliates as Designed Companies in the Non-Section 423 Plan. For purposes of the Section 423 Plan, only the Company and its Subsidiaries may be Designated Companies, provided, however, that at any given time, a Subsidiary that is a Designated Company under the Section 423 Plan will not be a Designated Company under the Non-423 Plan.</w:t>
      </w:r>
    </w:p>
    <w:p>
      <w:pPr>
        <w:spacing w:after="0" w:line="147" w:lineRule="exact"/>
        <w:rPr>
          <w:rFonts w:ascii="Arial" w:cs="Arial" w:eastAsia="Arial" w:hAnsi="Arial"/>
          <w:sz w:val="19"/>
          <w:szCs w:val="19"/>
          <w:color w:val="auto"/>
        </w:rPr>
      </w:pPr>
    </w:p>
    <w:p>
      <w:pPr>
        <w:ind w:left="-20" w:right="400" w:firstLine="1305"/>
        <w:spacing w:after="0" w:line="250" w:lineRule="auto"/>
        <w:tabs>
          <w:tab w:leader="none" w:pos="1745"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shall mean any person, including an officer, who is providing services to and is customarily employed for at least twenty (20) hours per week and more than five (5) months in any calendar year by the Company or a Designated Company, or any lesser number of hours per week and/or number of months in any calendar year established by the Committee (if required under Applicable laws) under the Non-423 Plan.</w:t>
      </w:r>
    </w:p>
    <w:p>
      <w:pPr>
        <w:spacing w:after="0" w:line="188" w:lineRule="exact"/>
        <w:rPr>
          <w:rFonts w:ascii="Arial" w:cs="Arial" w:eastAsia="Arial" w:hAnsi="Arial"/>
          <w:sz w:val="22"/>
          <w:szCs w:val="22"/>
          <w:color w:val="auto"/>
        </w:rPr>
      </w:pPr>
    </w:p>
    <w:p>
      <w:pPr>
        <w:ind w:left="-20" w:right="240" w:firstLine="1305"/>
        <w:spacing w:after="0" w:line="263" w:lineRule="auto"/>
        <w:tabs>
          <w:tab w:leader="none" w:pos="1697"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U.S. Securities Exchange Act of 1934, as amended, from time to time, or any successor law thereto, and the regulations promulgated thereunder.</w:t>
      </w:r>
    </w:p>
    <w:p>
      <w:pPr>
        <w:spacing w:after="0" w:line="174" w:lineRule="exact"/>
        <w:rPr>
          <w:rFonts w:ascii="Arial" w:cs="Arial" w:eastAsia="Arial" w:hAnsi="Arial"/>
          <w:sz w:val="22"/>
          <w:szCs w:val="22"/>
          <w:color w:val="auto"/>
        </w:rPr>
      </w:pPr>
    </w:p>
    <w:p>
      <w:pPr>
        <w:ind w:left="-20" w:right="340" w:firstLine="1305"/>
        <w:spacing w:after="0" w:line="263" w:lineRule="auto"/>
        <w:tabs>
          <w:tab w:leader="none" w:pos="1805"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Date</w:t>
      </w:r>
      <w:r>
        <w:rPr>
          <w:rFonts w:ascii="Arial" w:cs="Arial" w:eastAsia="Arial" w:hAnsi="Arial"/>
          <w:sz w:val="22"/>
          <w:szCs w:val="22"/>
          <w:color w:val="auto"/>
        </w:rPr>
        <w:t>” shall mean the last Trading Day of each Exercise Period (or such other Trading Day as the Committee shall determine).</w:t>
      </w:r>
    </w:p>
    <w:p>
      <w:pPr>
        <w:spacing w:after="0" w:line="174" w:lineRule="exact"/>
        <w:rPr>
          <w:rFonts w:ascii="Arial" w:cs="Arial" w:eastAsia="Arial" w:hAnsi="Arial"/>
          <w:sz w:val="22"/>
          <w:szCs w:val="22"/>
          <w:color w:val="auto"/>
        </w:rPr>
      </w:pPr>
    </w:p>
    <w:p>
      <w:pPr>
        <w:ind w:left="-20" w:right="480" w:firstLine="1305"/>
        <w:spacing w:after="0" w:line="253" w:lineRule="auto"/>
        <w:tabs>
          <w:tab w:leader="none" w:pos="1745"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Period</w:t>
      </w:r>
      <w:r>
        <w:rPr>
          <w:rFonts w:ascii="Arial" w:cs="Arial" w:eastAsia="Arial" w:hAnsi="Arial"/>
          <w:sz w:val="22"/>
          <w:szCs w:val="22"/>
          <w:color w:val="auto"/>
        </w:rPr>
        <w:t>” shall mean a period of time within an Offering Period, as may be specified by the Committee in accordance with the Plan, generally beginning on the Offering Date and ending on a Exercise Date. An Offering Period may consist of one or more Exercise Periods.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60" w:top="807" w:right="239" w:bottom="1440" w:gutter="0" w:footer="0" w:header="0"/>
        </w:sectPr>
      </w:pPr>
    </w:p>
    <w:bookmarkStart w:id="69" w:name="page70"/>
    <w:bookmarkEnd w:id="69"/>
    <w:p>
      <w:pPr>
        <w:ind w:right="20" w:firstLine="1305"/>
        <w:spacing w:after="0" w:line="246" w:lineRule="auto"/>
        <w:tabs>
          <w:tab w:leader="none" w:pos="1765"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w:t>
      </w:r>
      <w:r>
        <w:rPr>
          <w:rFonts w:ascii="Arial" w:cs="Arial" w:eastAsia="Arial" w:hAnsi="Arial"/>
          <w:sz w:val="22"/>
          <w:szCs w:val="22"/>
          <w:color w:val="auto"/>
        </w:rPr>
        <w:t>” shall mean an offer of an option to purchase shares of Common Stock under the Section 423 Plan or the Non-423 Plan during an Offering Period. Unless otherwise specified by the Committee, each Offering to the Employees of the Company or a Designated Company shall be deemed a separate Offering, even if the dates and other terms of the applicable Offering Periods of each such Offering are identical, and the provisions of the Plan will separately apply to each such Offering. With respect to the Section 423 Plan, the terms of each Offering need not be identical provided that the terms of the Plan and an Offering together satisfy Section 423 of the Code and the U.S. Treasury Regulations thereunder; a Non-423 Plan Offering need not satisfy such regulations.</w:t>
      </w:r>
    </w:p>
    <w:p>
      <w:pPr>
        <w:spacing w:after="0" w:line="197" w:lineRule="exact"/>
        <w:rPr>
          <w:rFonts w:ascii="Arial" w:cs="Arial" w:eastAsia="Arial" w:hAnsi="Arial"/>
          <w:sz w:val="22"/>
          <w:szCs w:val="22"/>
          <w:color w:val="auto"/>
        </w:rPr>
      </w:pPr>
    </w:p>
    <w:p>
      <w:pPr>
        <w:ind w:left="1780" w:hanging="475"/>
        <w:spacing w:after="0"/>
        <w:tabs>
          <w:tab w:leader="none" w:pos="17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Date</w:t>
      </w:r>
      <w:r>
        <w:rPr>
          <w:rFonts w:ascii="Arial" w:cs="Arial" w:eastAsia="Arial" w:hAnsi="Arial"/>
          <w:sz w:val="22"/>
          <w:szCs w:val="22"/>
          <w:color w:val="auto"/>
        </w:rPr>
        <w:t>” shall mean the first Trading Day of each Offering Period of the Plan.</w:t>
      </w:r>
    </w:p>
    <w:p>
      <w:pPr>
        <w:spacing w:after="0" w:line="219" w:lineRule="exact"/>
        <w:rPr>
          <w:rFonts w:ascii="Arial" w:cs="Arial" w:eastAsia="Arial" w:hAnsi="Arial"/>
          <w:sz w:val="22"/>
          <w:szCs w:val="22"/>
          <w:color w:val="auto"/>
        </w:rPr>
      </w:pPr>
    </w:p>
    <w:p>
      <w:pPr>
        <w:ind w:firstLine="1305"/>
        <w:spacing w:after="0" w:line="253" w:lineRule="auto"/>
        <w:tabs>
          <w:tab w:leader="none" w:pos="1765"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Period</w:t>
      </w:r>
      <w:r>
        <w:rPr>
          <w:rFonts w:ascii="Arial" w:cs="Arial" w:eastAsia="Arial" w:hAnsi="Arial"/>
          <w:sz w:val="22"/>
          <w:szCs w:val="22"/>
          <w:color w:val="auto"/>
        </w:rPr>
        <w:t>” shall mean the periods established in accordance with the Plan during which options to purchase shares of Common Stock may be granted and Shares of Common Stock may be purchased on one or more Exercise Dates. The duration and timing of Offering Periods may be changed pursuant to the Plan.</w:t>
      </w:r>
    </w:p>
    <w:p>
      <w:pPr>
        <w:spacing w:after="0" w:line="185" w:lineRule="exact"/>
        <w:rPr>
          <w:rFonts w:ascii="Arial" w:cs="Arial" w:eastAsia="Arial" w:hAnsi="Arial"/>
          <w:sz w:val="22"/>
          <w:szCs w:val="22"/>
          <w:color w:val="auto"/>
        </w:rPr>
      </w:pPr>
    </w:p>
    <w:p>
      <w:pPr>
        <w:ind w:right="160" w:firstLine="1305"/>
        <w:spacing w:after="0" w:line="263" w:lineRule="auto"/>
        <w:tabs>
          <w:tab w:leader="none" w:pos="1728"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shall mean this 1998 Employee Qualified Stock Purchase Plan, as amended and restated and as may be further amended from time to time.</w:t>
      </w:r>
    </w:p>
    <w:p>
      <w:pPr>
        <w:spacing w:after="0" w:line="174" w:lineRule="exact"/>
        <w:rPr>
          <w:rFonts w:ascii="Arial" w:cs="Arial" w:eastAsia="Arial" w:hAnsi="Arial"/>
          <w:sz w:val="22"/>
          <w:szCs w:val="22"/>
          <w:color w:val="auto"/>
        </w:rPr>
      </w:pPr>
    </w:p>
    <w:p>
      <w:pPr>
        <w:ind w:right="40" w:firstLine="1305"/>
        <w:spacing w:after="0" w:line="253" w:lineRule="auto"/>
        <w:tabs>
          <w:tab w:leader="none" w:pos="1741"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85" w:lineRule="exact"/>
        <w:rPr>
          <w:rFonts w:ascii="Arial" w:cs="Arial" w:eastAsia="Arial" w:hAnsi="Arial"/>
          <w:sz w:val="22"/>
          <w:szCs w:val="22"/>
          <w:color w:val="auto"/>
        </w:rPr>
      </w:pPr>
    </w:p>
    <w:p>
      <w:pPr>
        <w:ind w:left="1720" w:hanging="415"/>
        <w:spacing w:after="0"/>
        <w:tabs>
          <w:tab w:leader="none" w:pos="17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means a day on which the principal exchange that shares of Common Stock are listed on is open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trading.</w:t>
      </w:r>
    </w:p>
    <w:p>
      <w:pPr>
        <w:spacing w:after="0" w:line="201" w:lineRule="exact"/>
        <w:rPr>
          <w:rFonts w:ascii="Arial" w:cs="Arial" w:eastAsia="Arial" w:hAnsi="Arial"/>
          <w:sz w:val="19"/>
          <w:szCs w:val="19"/>
          <w:color w:val="auto"/>
        </w:rPr>
      </w:pPr>
    </w:p>
    <w:p>
      <w:pPr>
        <w:ind w:left="1460" w:hanging="804"/>
        <w:spacing w:after="0"/>
        <w:tabs>
          <w:tab w:leader="none" w:pos="14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40" w:firstLine="1305"/>
        <w:spacing w:after="0" w:line="253" w:lineRule="auto"/>
        <w:tabs>
          <w:tab w:leader="none" w:pos="1741" w:val="left"/>
        </w:tabs>
        <w:numPr>
          <w:ilvl w:val="1"/>
          <w:numId w:val="40"/>
        </w:numPr>
        <w:rPr>
          <w:rFonts w:ascii="Arial" w:cs="Arial" w:eastAsia="Arial" w:hAnsi="Arial"/>
          <w:sz w:val="22"/>
          <w:szCs w:val="22"/>
          <w:color w:val="auto"/>
        </w:rPr>
      </w:pPr>
      <w:r>
        <w:rPr>
          <w:rFonts w:ascii="Arial" w:cs="Arial" w:eastAsia="Arial" w:hAnsi="Arial"/>
          <w:sz w:val="22"/>
          <w:szCs w:val="22"/>
          <w:color w:val="auto"/>
        </w:rPr>
        <w:t>Any Employee as defined in Section 2 who shall be employed by the Company as of the date specified by the Committee (as defined in Section 14) shall be eligible to participate in the Plan, subject to limitations imposed by Section 423(b) of the Code.</w:t>
      </w:r>
    </w:p>
    <w:p>
      <w:pPr>
        <w:spacing w:after="0" w:line="185" w:lineRule="exact"/>
        <w:rPr>
          <w:rFonts w:ascii="Arial" w:cs="Arial" w:eastAsia="Arial" w:hAnsi="Arial"/>
          <w:sz w:val="22"/>
          <w:szCs w:val="22"/>
          <w:color w:val="auto"/>
        </w:rPr>
      </w:pPr>
    </w:p>
    <w:p>
      <w:pPr>
        <w:ind w:right="40" w:firstLine="1305"/>
        <w:spacing w:after="0" w:line="292" w:lineRule="auto"/>
        <w:tabs>
          <w:tab w:leader="none" w:pos="1753" w:val="left"/>
        </w:tabs>
        <w:numPr>
          <w:ilvl w:val="1"/>
          <w:numId w:val="40"/>
        </w:numPr>
        <w:rPr>
          <w:rFonts w:ascii="Arial" w:cs="Arial" w:eastAsia="Arial" w:hAnsi="Arial"/>
          <w:sz w:val="19"/>
          <w:szCs w:val="19"/>
          <w:color w:val="auto"/>
        </w:rPr>
      </w:pPr>
      <w:r>
        <w:rPr>
          <w:rFonts w:ascii="Arial" w:cs="Arial" w:eastAsia="Arial" w:hAnsi="Arial"/>
          <w:sz w:val="19"/>
          <w:szCs w:val="19"/>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or (ii) which permits such Employee’s rights to purchase stock under all employee stock purchase plans of the Company and its subsidiaries to accrue at a rate which exceeds Twenty-Five Thousand Dollars (US$25,000) of fair market value of such stock (determined at the time such option is granted) for each calendar year in which such option is outstanding at any time.</w:t>
      </w:r>
    </w:p>
    <w:p>
      <w:pPr>
        <w:spacing w:after="0" w:line="151" w:lineRule="exact"/>
        <w:rPr>
          <w:rFonts w:ascii="Arial" w:cs="Arial" w:eastAsia="Arial" w:hAnsi="Arial"/>
          <w:sz w:val="19"/>
          <w:szCs w:val="19"/>
          <w:color w:val="auto"/>
        </w:rPr>
      </w:pPr>
    </w:p>
    <w:p>
      <w:pPr>
        <w:ind w:firstLine="656"/>
        <w:spacing w:after="0" w:line="250" w:lineRule="auto"/>
        <w:tabs>
          <w:tab w:leader="none" w:pos="1459"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Offering Periods</w:t>
      </w:r>
      <w:r>
        <w:rPr>
          <w:rFonts w:ascii="Arial" w:cs="Arial" w:eastAsia="Arial" w:hAnsi="Arial"/>
          <w:sz w:val="22"/>
          <w:szCs w:val="22"/>
          <w:color w:val="auto"/>
        </w:rPr>
        <w:t>. The Plan shall be implemented by consecutive Offering Periods with a new Offering Period commencing on the Offering Date of the relevant Offering Period and terminating on the last Trading Date of the relevant Offering Period. Unless and until the Committee determines otherwise in its discretion, each Offering Period shall have a duration of twenty-four (24)</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07" w:right="239" w:bottom="1440" w:gutter="0" w:footer="0" w:header="0"/>
        </w:sectPr>
      </w:pPr>
    </w:p>
    <w:bookmarkStart w:id="70" w:name="page71"/>
    <w:bookmarkEnd w:id="70"/>
    <w:p>
      <w:pPr>
        <w:ind w:right="300"/>
        <w:spacing w:after="0" w:line="261" w:lineRule="auto"/>
        <w:rPr>
          <w:sz w:val="20"/>
          <w:szCs w:val="20"/>
          <w:color w:val="auto"/>
        </w:rPr>
      </w:pPr>
      <w:r>
        <w:rPr>
          <w:rFonts w:ascii="Arial" w:cs="Arial" w:eastAsia="Arial" w:hAnsi="Arial"/>
          <w:sz w:val="21"/>
          <w:szCs w:val="21"/>
          <w:color w:val="auto"/>
        </w:rPr>
        <w:t>months and consist of four (4) consecutive six (6)-month Exercise Periods. The Committee will have the authority to establish additional or alternative sequential or overlapping Offering Periods, a different number of Exercise Periods within an Offering Period, a different duration for one or more Offering Periods or Exercise Periods or different commencement or ending dates for such Offering Periods with respect to future offerings without stockholder approval if such change is announced prior to the scheduled beginning of the first Offering Period to be affected thereafter, provided, however, that no Offering Period may have a duration exceeding twenty-seven (27) months.</w:t>
      </w:r>
    </w:p>
    <w:p>
      <w:pPr>
        <w:spacing w:after="0" w:line="180" w:lineRule="exact"/>
        <w:rPr>
          <w:sz w:val="20"/>
          <w:szCs w:val="20"/>
          <w:color w:val="auto"/>
        </w:rPr>
      </w:pPr>
    </w:p>
    <w:p>
      <w:pPr>
        <w:ind w:left="1460" w:hanging="804"/>
        <w:spacing w:after="0"/>
        <w:tabs>
          <w:tab w:leader="none" w:pos="14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80" w:firstLine="1305"/>
        <w:spacing w:after="0" w:line="302" w:lineRule="auto"/>
        <w:tabs>
          <w:tab w:leader="none" w:pos="1741" w:val="left"/>
        </w:tabs>
        <w:numPr>
          <w:ilvl w:val="1"/>
          <w:numId w:val="41"/>
        </w:numPr>
        <w:rPr>
          <w:rFonts w:ascii="Arial" w:cs="Arial" w:eastAsia="Arial" w:hAnsi="Arial"/>
          <w:sz w:val="19"/>
          <w:szCs w:val="19"/>
          <w:color w:val="auto"/>
        </w:rPr>
      </w:pPr>
      <w:r>
        <w:rPr>
          <w:rFonts w:ascii="Arial" w:cs="Arial" w:eastAsia="Arial" w:hAnsi="Arial"/>
          <w:sz w:val="19"/>
          <w:szCs w:val="19"/>
          <w:color w:val="auto"/>
        </w:rPr>
        <w:t>An eligible Employee may become a participant in the Plan by completing a subscription agreement authorizing payroll deductions on the form provided by the Company and filing it online via the employee portal or with the Company’s payroll office within the period specified by the Committee for the applicable Offering Period, unless a later or earlier time for filing the subscription agreement is set by the Committee for all eligible Employees with respect to a given Offering.</w:t>
      </w:r>
    </w:p>
    <w:p>
      <w:pPr>
        <w:spacing w:after="0" w:line="142" w:lineRule="exact"/>
        <w:rPr>
          <w:rFonts w:ascii="Arial" w:cs="Arial" w:eastAsia="Arial" w:hAnsi="Arial"/>
          <w:sz w:val="19"/>
          <w:szCs w:val="19"/>
          <w:color w:val="auto"/>
        </w:rPr>
      </w:pPr>
    </w:p>
    <w:p>
      <w:pPr>
        <w:ind w:right="80" w:firstLine="1305"/>
        <w:spacing w:after="0" w:line="250" w:lineRule="auto"/>
        <w:tabs>
          <w:tab w:leader="none" w:pos="1765" w:val="left"/>
        </w:tabs>
        <w:numPr>
          <w:ilvl w:val="1"/>
          <w:numId w:val="41"/>
        </w:numPr>
        <w:rPr>
          <w:rFonts w:ascii="Arial" w:cs="Arial" w:eastAsia="Arial" w:hAnsi="Arial"/>
          <w:sz w:val="22"/>
          <w:szCs w:val="22"/>
          <w:color w:val="auto"/>
        </w:rPr>
      </w:pPr>
      <w:r>
        <w:rPr>
          <w:rFonts w:ascii="Arial" w:cs="Arial" w:eastAsia="Arial" w:hAnsi="Arial"/>
          <w:sz w:val="22"/>
          <w:szCs w:val="22"/>
          <w:color w:val="auto"/>
        </w:rPr>
        <w:t>Payroll deductions for a participant shall continue at the rate specified in the subscription agreement throughout the Offering Period with automatic re-enrollment for the subsequent Offering Period at the same rate specified in the original subscription agreement, subject to any change in subscription rate made pursuant to Section 6(c), unless sooner terminated by the participant as provided in Section 10.</w:t>
      </w:r>
    </w:p>
    <w:p>
      <w:pPr>
        <w:spacing w:after="0" w:line="188" w:lineRule="exact"/>
        <w:rPr>
          <w:rFonts w:ascii="Arial" w:cs="Arial" w:eastAsia="Arial" w:hAnsi="Arial"/>
          <w:sz w:val="22"/>
          <w:szCs w:val="22"/>
          <w:color w:val="auto"/>
        </w:rPr>
      </w:pPr>
    </w:p>
    <w:p>
      <w:pPr>
        <w:ind w:left="1460" w:hanging="804"/>
        <w:spacing w:after="0"/>
        <w:tabs>
          <w:tab w:leader="none" w:pos="14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Payroll Deductions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20" w:firstLine="1305"/>
        <w:spacing w:after="0" w:line="265" w:lineRule="auto"/>
        <w:tabs>
          <w:tab w:leader="none" w:pos="1741" w:val="left"/>
        </w:tabs>
        <w:numPr>
          <w:ilvl w:val="1"/>
          <w:numId w:val="41"/>
        </w:numPr>
        <w:rPr>
          <w:rFonts w:ascii="Arial" w:cs="Arial" w:eastAsia="Arial" w:hAnsi="Arial"/>
          <w:sz w:val="21"/>
          <w:szCs w:val="21"/>
          <w:color w:val="auto"/>
        </w:rPr>
      </w:pPr>
      <w:r>
        <w:rPr>
          <w:rFonts w:ascii="Arial" w:cs="Arial" w:eastAsia="Arial" w:hAnsi="Arial"/>
          <w:sz w:val="21"/>
          <w:szCs w:val="21"/>
          <w:color w:val="auto"/>
        </w:rPr>
        <w:t>At the time a participant files his or her subscription agreement, such participant shall elect to have payroll deductions made on each payday during the Offering Period in an amount not exceeding fifteen percent (15%) of his or her Compensation on each payroll date. The aggregate of such payroll deductions during any Offering Period shall not exceed fifteen percent (15%) of his or her aggregate Compensation during said Offering Period.</w:t>
      </w:r>
    </w:p>
    <w:p>
      <w:pPr>
        <w:spacing w:after="0" w:line="175" w:lineRule="exact"/>
        <w:rPr>
          <w:rFonts w:ascii="Arial" w:cs="Arial" w:eastAsia="Arial" w:hAnsi="Arial"/>
          <w:sz w:val="21"/>
          <w:szCs w:val="21"/>
          <w:color w:val="auto"/>
        </w:rPr>
      </w:pPr>
    </w:p>
    <w:p>
      <w:pPr>
        <w:ind w:firstLine="1305"/>
        <w:spacing w:after="0" w:line="260" w:lineRule="auto"/>
        <w:tabs>
          <w:tab w:leader="none" w:pos="1753" w:val="left"/>
        </w:tabs>
        <w:numPr>
          <w:ilvl w:val="1"/>
          <w:numId w:val="41"/>
        </w:numPr>
        <w:rPr>
          <w:rFonts w:ascii="Arial" w:cs="Arial" w:eastAsia="Arial" w:hAnsi="Arial"/>
          <w:sz w:val="21"/>
          <w:szCs w:val="21"/>
          <w:color w:val="auto"/>
        </w:rPr>
      </w:pPr>
      <w:r>
        <w:rPr>
          <w:rFonts w:ascii="Arial" w:cs="Arial" w:eastAsia="Arial" w:hAnsi="Arial"/>
          <w:sz w:val="21"/>
          <w:szCs w:val="21"/>
          <w:color w:val="auto"/>
        </w:rPr>
        <w:t>All payroll deductions made by a participant shall be credited to his or her account under the Plan. A participant may not make any additional payments into such account. Notwithstanding the foregoing, in the event of an administrative error by the Company the result of which a participant’s payroll deductions are not credited to his or her account in accordance with such participant’s election made pursuant to Section 6(a) above, the Company may permit a participant to make a payment to his or her account prior to the next scheduled Exercise Date provided such contributions do not cause such participant’s aggregate credits to his or her account to exceed fifteen percent (15%) of his or her aggregate Compensation for the Offering Period with respect to which such administrative error was made.</w:t>
      </w:r>
    </w:p>
    <w:p>
      <w:pPr>
        <w:spacing w:after="0" w:line="181" w:lineRule="exact"/>
        <w:rPr>
          <w:rFonts w:ascii="Arial" w:cs="Arial" w:eastAsia="Arial" w:hAnsi="Arial"/>
          <w:sz w:val="21"/>
          <w:szCs w:val="21"/>
          <w:color w:val="auto"/>
        </w:rPr>
      </w:pPr>
    </w:p>
    <w:p>
      <w:pPr>
        <w:ind w:right="20" w:firstLine="1305"/>
        <w:spacing w:after="0" w:line="297" w:lineRule="auto"/>
        <w:tabs>
          <w:tab w:leader="none" w:pos="1741" w:val="left"/>
        </w:tabs>
        <w:numPr>
          <w:ilvl w:val="1"/>
          <w:numId w:val="41"/>
        </w:numPr>
        <w:rPr>
          <w:rFonts w:ascii="Arial" w:cs="Arial" w:eastAsia="Arial" w:hAnsi="Arial"/>
          <w:sz w:val="19"/>
          <w:szCs w:val="19"/>
          <w:color w:val="auto"/>
        </w:rPr>
      </w:pPr>
      <w:r>
        <w:rPr>
          <w:rFonts w:ascii="Arial" w:cs="Arial" w:eastAsia="Arial" w:hAnsi="Arial"/>
          <w:sz w:val="19"/>
          <w:szCs w:val="19"/>
          <w:color w:val="auto"/>
        </w:rPr>
        <w:t>A participant may discontinue his or her participation in the Plan as provided in Section 11, or may decrease the rate of his or her payroll deductions at any time during the Offering Period by completing or filing with the Company a form provided by the Company notifying the payroll office of such withdrawal or reduction of withholding rate. The decrease in rate shall be effective as of the next pay date following receipt of the form or at such other time as the Company and the participant may agree. A participant may not increase the rate of his or her payroll deductions during an Offering Period.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07" w:right="239" w:bottom="1440" w:gutter="0" w:footer="0" w:header="0"/>
        </w:sectPr>
      </w:pPr>
    </w:p>
    <w:bookmarkStart w:id="71" w:name="page72"/>
    <w:bookmarkEnd w:id="71"/>
    <w:p>
      <w:pPr>
        <w:ind w:left="1440" w:hanging="804"/>
        <w:spacing w:after="0"/>
        <w:tabs>
          <w:tab w:leader="none" w:pos="144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0" w:right="20" w:firstLine="1305"/>
        <w:spacing w:after="0" w:line="289" w:lineRule="auto"/>
        <w:tabs>
          <w:tab w:leader="none" w:pos="1732" w:val="left"/>
        </w:tabs>
        <w:numPr>
          <w:ilvl w:val="1"/>
          <w:numId w:val="42"/>
        </w:numPr>
        <w:rPr>
          <w:rFonts w:ascii="Arial" w:cs="Arial" w:eastAsia="Arial" w:hAnsi="Arial"/>
          <w:sz w:val="19"/>
          <w:szCs w:val="19"/>
          <w:color w:val="auto"/>
        </w:rPr>
      </w:pPr>
      <w:r>
        <w:rPr>
          <w:rFonts w:ascii="Arial" w:cs="Arial" w:eastAsia="Arial" w:hAnsi="Arial"/>
          <w:sz w:val="19"/>
          <w:szCs w:val="19"/>
          <w:color w:val="auto"/>
        </w:rPr>
        <w:t>On the Offering Date of each Offering Period, each eligible Employee participating in the Plan shall be granted an option to purchase on each Exercise Date during such Offering Period (at the per share option price) up to a number of shares of the Company’s Common Stock determined by dividing such Employee’s payroll deductions to be accumulated prior to such Exercise Date by the lower of (i) eighty-five percent (85%) of the fair market value of a share of the Company’s Common Stock on the Offering Date or (ii) eighty-five percent (85%) of the fair market value of a share of the Company’s Common Stock on the Exercise Date; provided that in no event shall an Employee be permitted to purchase during an Offering Period a number of shares in excess of a number determined by dividing US$50,000 by the fair market value of a share of the Company’s Common Stock on the Offering Date, subject to the limitations set forth in Sections 3(c) and 13 hereof. Fair market value of a share of the Company’s Common Stock shall be determined as provided in Section 7(b) herein.</w:t>
      </w:r>
    </w:p>
    <w:p>
      <w:pPr>
        <w:spacing w:after="0" w:line="157" w:lineRule="exact"/>
        <w:rPr>
          <w:rFonts w:ascii="Arial" w:cs="Arial" w:eastAsia="Arial" w:hAnsi="Arial"/>
          <w:sz w:val="19"/>
          <w:szCs w:val="19"/>
          <w:color w:val="auto"/>
        </w:rPr>
      </w:pPr>
    </w:p>
    <w:p>
      <w:pPr>
        <w:ind w:left="-20" w:right="80" w:firstLine="1305"/>
        <w:spacing w:after="0" w:line="265" w:lineRule="auto"/>
        <w:tabs>
          <w:tab w:leader="none" w:pos="1741"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option price per share of the shares offered in a given Exercise Period shall be the lower of: (i) 85% of the fair market value of a share of the Common Stock of the Company on the Offering Date; or (ii) 85% of the fair market value of a share of the Common Stock of the Company on the Exercise Date. The fair market value of the Company’s Common Stock on a given date shall be the closing price as quoted on the Nasdaq Global Select Market.</w:t>
      </w:r>
    </w:p>
    <w:p>
      <w:pPr>
        <w:spacing w:after="0" w:line="175" w:lineRule="exact"/>
        <w:rPr>
          <w:rFonts w:ascii="Arial" w:cs="Arial" w:eastAsia="Arial" w:hAnsi="Arial"/>
          <w:sz w:val="21"/>
          <w:szCs w:val="21"/>
          <w:color w:val="auto"/>
        </w:rPr>
      </w:pPr>
    </w:p>
    <w:p>
      <w:pPr>
        <w:ind w:left="-20" w:right="40" w:firstLine="656"/>
        <w:spacing w:after="0" w:line="248" w:lineRule="auto"/>
        <w:tabs>
          <w:tab w:leader="none" w:pos="1439"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Unless a participant withdraws from the Plan as provided in Section 11, his or her option for the purchase of shares will be exercised automatically on each Exercise Date of the Offering Period, and the maximum number of full shares subject to option will be purchased for him or her at the applicable option price with the accumulated payroll deductions in his or her account. During his or her lifetime, a participant’s option to purchase shares hereunder is exercisable only by him or her.</w:t>
      </w:r>
    </w:p>
    <w:p>
      <w:pPr>
        <w:spacing w:after="0" w:line="192" w:lineRule="exact"/>
        <w:rPr>
          <w:rFonts w:ascii="Arial" w:cs="Arial" w:eastAsia="Arial" w:hAnsi="Arial"/>
          <w:sz w:val="22"/>
          <w:szCs w:val="22"/>
          <w:color w:val="auto"/>
        </w:rPr>
      </w:pPr>
    </w:p>
    <w:p>
      <w:pPr>
        <w:ind w:left="-20" w:right="180" w:firstLine="656"/>
        <w:spacing w:after="0" w:line="263" w:lineRule="auto"/>
        <w:tabs>
          <w:tab w:leader="none" w:pos="1439"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Delivery</w:t>
      </w:r>
      <w:r>
        <w:rPr>
          <w:rFonts w:ascii="Arial" w:cs="Arial" w:eastAsia="Arial" w:hAnsi="Arial"/>
          <w:sz w:val="21"/>
          <w:szCs w:val="21"/>
          <w:color w:val="auto"/>
        </w:rPr>
        <w:t>. As promptly as practicable after the Exercise Date of each Offering, the Company shall arrange the delivery to each participant, as appropriate, of a certificate representing the shares purchased upon exercise of his or her option. Any cash remaining which is insufficient to purchase a full share of Common Stock at the termination of each Exercise Period or any amount remaining in a participant’s account in excess of the amount that may properly be applied to the purchase of shares of Common Stock due to the limitations under the Plan shall be refunded to the participant.</w:t>
      </w:r>
    </w:p>
    <w:p>
      <w:pPr>
        <w:spacing w:after="0" w:line="175" w:lineRule="exact"/>
        <w:rPr>
          <w:rFonts w:ascii="Arial" w:cs="Arial" w:eastAsia="Arial" w:hAnsi="Arial"/>
          <w:sz w:val="21"/>
          <w:szCs w:val="21"/>
          <w:color w:val="auto"/>
        </w:rPr>
      </w:pPr>
    </w:p>
    <w:p>
      <w:pPr>
        <w:ind w:left="-20" w:firstLine="656"/>
        <w:spacing w:after="0" w:line="247" w:lineRule="auto"/>
        <w:tabs>
          <w:tab w:leader="none" w:pos="1547"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Automatic Transfer to Low Price Offering Period</w:t>
      </w:r>
      <w:r>
        <w:rPr>
          <w:rFonts w:ascii="Arial" w:cs="Arial" w:eastAsia="Arial" w:hAnsi="Arial"/>
          <w:sz w:val="22"/>
          <w:szCs w:val="22"/>
          <w:color w:val="auto"/>
        </w:rPr>
        <w:t>. To the extent that the Committee establishes Offering Periods with more than one Exercise Period in each Offering Period and the fair market value of the Company’s Common Stock is lower on an Exercise Date than it was on the first Offering Date for that Offering Period, all Employees participating in the Plan on the Exercise Date shall be deemed to have withdrawn from the Offering Period immediately after the exercise of their option on such Exercise Date and to have enrolled as participants in a new Offering Period which begins on or about the day following such Exercise Date.</w:t>
      </w:r>
    </w:p>
    <w:p>
      <w:pPr>
        <w:spacing w:after="0" w:line="193" w:lineRule="exact"/>
        <w:rPr>
          <w:rFonts w:ascii="Arial" w:cs="Arial" w:eastAsia="Arial" w:hAnsi="Arial"/>
          <w:sz w:val="22"/>
          <w:szCs w:val="22"/>
          <w:color w:val="auto"/>
        </w:rPr>
      </w:pPr>
    </w:p>
    <w:p>
      <w:pPr>
        <w:ind w:left="1540" w:hanging="904"/>
        <w:spacing w:after="0"/>
        <w:tabs>
          <w:tab w:leader="none" w:pos="154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Withdrawal; Termination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0" w:right="120" w:firstLine="1305"/>
        <w:spacing w:after="0" w:line="263" w:lineRule="auto"/>
        <w:tabs>
          <w:tab w:leader="none" w:pos="1721" w:val="left"/>
        </w:tabs>
        <w:numPr>
          <w:ilvl w:val="1"/>
          <w:numId w:val="42"/>
        </w:numPr>
        <w:rPr>
          <w:rFonts w:ascii="Arial" w:cs="Arial" w:eastAsia="Arial" w:hAnsi="Arial"/>
          <w:sz w:val="22"/>
          <w:szCs w:val="22"/>
          <w:color w:val="auto"/>
        </w:rPr>
      </w:pPr>
      <w:r>
        <w:rPr>
          <w:rFonts w:ascii="Arial" w:cs="Arial" w:eastAsia="Arial" w:hAnsi="Arial"/>
          <w:sz w:val="22"/>
          <w:szCs w:val="22"/>
          <w:color w:val="auto"/>
        </w:rPr>
        <w:t>A participant may withdraw all but not less than all the payroll deductions credited to his or her account under the Plan at any time prior to the Exercise Date of the Offering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60" w:top="807" w:right="259" w:bottom="1440" w:gutter="0" w:footer="0" w:header="0"/>
        </w:sectPr>
      </w:pPr>
    </w:p>
    <w:bookmarkStart w:id="72" w:name="page73"/>
    <w:bookmarkEnd w:id="72"/>
    <w:p>
      <w:pPr>
        <w:jc w:val="both"/>
        <w:ind w:right="320"/>
        <w:spacing w:after="0" w:line="250" w:lineRule="auto"/>
        <w:rPr>
          <w:sz w:val="20"/>
          <w:szCs w:val="20"/>
          <w:color w:val="auto"/>
        </w:rPr>
      </w:pPr>
      <w:r>
        <w:rPr>
          <w:rFonts w:ascii="Arial" w:cs="Arial" w:eastAsia="Arial" w:hAnsi="Arial"/>
          <w:sz w:val="22"/>
          <w:szCs w:val="22"/>
          <w:color w:val="auto"/>
        </w:rPr>
        <w:t>Period by giving written notice to the Company. All of the participant’s payroll deductions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188" w:lineRule="exact"/>
        <w:rPr>
          <w:sz w:val="20"/>
          <w:szCs w:val="20"/>
          <w:color w:val="auto"/>
        </w:rPr>
      </w:pPr>
    </w:p>
    <w:p>
      <w:pPr>
        <w:ind w:firstLine="1305"/>
        <w:spacing w:after="0" w:line="312" w:lineRule="auto"/>
        <w:tabs>
          <w:tab w:leader="none" w:pos="1765" w:val="left"/>
        </w:tabs>
        <w:numPr>
          <w:ilvl w:val="1"/>
          <w:numId w:val="43"/>
        </w:numPr>
        <w:rPr>
          <w:rFonts w:ascii="Arial" w:cs="Arial" w:eastAsia="Arial" w:hAnsi="Arial"/>
          <w:sz w:val="19"/>
          <w:szCs w:val="19"/>
          <w:color w:val="auto"/>
        </w:rPr>
      </w:pPr>
      <w:r>
        <w:rPr>
          <w:rFonts w:ascii="Arial" w:cs="Arial" w:eastAsia="Arial" w:hAnsi="Arial"/>
          <w:sz w:val="19"/>
          <w:szCs w:val="19"/>
          <w:color w:val="auto"/>
        </w:rPr>
        <w:t>Upon termination of the participant’s Continuous Status as an Employee prior to the Exercise Date for any reason, including retirement or death, the payroll deductions credited to his or her account will be returned to the participant’s or, in the case the of participant’s death, to the participant’s estate, and his or her option will be automatically terminated.</w:t>
      </w:r>
    </w:p>
    <w:p>
      <w:pPr>
        <w:spacing w:after="0" w:line="133" w:lineRule="exact"/>
        <w:rPr>
          <w:rFonts w:ascii="Arial" w:cs="Arial" w:eastAsia="Arial" w:hAnsi="Arial"/>
          <w:sz w:val="19"/>
          <w:szCs w:val="19"/>
          <w:color w:val="auto"/>
        </w:rPr>
      </w:pPr>
    </w:p>
    <w:p>
      <w:pPr>
        <w:ind w:right="40" w:firstLine="1305"/>
        <w:spacing w:after="0" w:line="263" w:lineRule="auto"/>
        <w:tabs>
          <w:tab w:leader="none" w:pos="1741" w:val="left"/>
        </w:tabs>
        <w:numPr>
          <w:ilvl w:val="1"/>
          <w:numId w:val="43"/>
        </w:numPr>
        <w:rPr>
          <w:rFonts w:ascii="Arial" w:cs="Arial" w:eastAsia="Arial" w:hAnsi="Arial"/>
          <w:sz w:val="22"/>
          <w:szCs w:val="22"/>
          <w:color w:val="auto"/>
        </w:rPr>
      </w:pPr>
      <w:r>
        <w:rPr>
          <w:rFonts w:ascii="Arial" w:cs="Arial" w:eastAsia="Arial" w:hAnsi="Arial"/>
          <w:sz w:val="22"/>
          <w:szCs w:val="22"/>
          <w:color w:val="auto"/>
        </w:rPr>
        <w:t>A participant’s withdrawal from an Offering will not have any effect upon his or her eligibility to participate in a succeeding Offering or in any similar plan which may hereafter be adopted by the Company.</w:t>
      </w:r>
    </w:p>
    <w:p>
      <w:pPr>
        <w:spacing w:after="0" w:line="174" w:lineRule="exact"/>
        <w:rPr>
          <w:rFonts w:ascii="Arial" w:cs="Arial" w:eastAsia="Arial" w:hAnsi="Arial"/>
          <w:sz w:val="22"/>
          <w:szCs w:val="22"/>
          <w:color w:val="auto"/>
        </w:rPr>
      </w:pPr>
    </w:p>
    <w:p>
      <w:pPr>
        <w:ind w:left="1580" w:hanging="924"/>
        <w:spacing w:after="0"/>
        <w:tabs>
          <w:tab w:leader="none" w:pos="15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shall accrue on the payroll deductions of a participant in the Plan.</w:t>
      </w:r>
    </w:p>
    <w:p>
      <w:pPr>
        <w:spacing w:after="0" w:line="219" w:lineRule="exact"/>
        <w:rPr>
          <w:rFonts w:ascii="Arial" w:cs="Arial" w:eastAsia="Arial" w:hAnsi="Arial"/>
          <w:sz w:val="22"/>
          <w:szCs w:val="22"/>
          <w:color w:val="auto"/>
        </w:rPr>
      </w:pPr>
    </w:p>
    <w:p>
      <w:pPr>
        <w:ind w:left="1580" w:hanging="924"/>
        <w:spacing w:after="0"/>
        <w:tabs>
          <w:tab w:leader="none" w:pos="15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20" w:firstLine="1305"/>
        <w:spacing w:after="0" w:line="258" w:lineRule="auto"/>
        <w:tabs>
          <w:tab w:leader="none" w:pos="1749"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maximum number of shares of the Company’s Common Stock which shall be made available for sale under the Plan shall be 10,000,000 shares, subject to adjustment upon changes in capitalization of the Company as provided in Section 18 hereof. For avoidance of doubt, the foregoing number of reserved shares of Common Stock may be used to satisfy purchases of shares of Common Stock under either the Section 423 Plan or Non-423 Plan. If the total number of shares which would otherwise be subject to options granted pursuant to Section 7(a) hereof on the Exercise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Employee affected thereby and shall similarly reduce the rate of payroll deductions, if necessary.</w:t>
      </w:r>
    </w:p>
    <w:p>
      <w:pPr>
        <w:spacing w:after="0" w:line="186" w:lineRule="exact"/>
        <w:rPr>
          <w:rFonts w:ascii="Arial" w:cs="Arial" w:eastAsia="Arial" w:hAnsi="Arial"/>
          <w:sz w:val="21"/>
          <w:szCs w:val="21"/>
          <w:color w:val="auto"/>
        </w:rPr>
      </w:pPr>
    </w:p>
    <w:p>
      <w:pPr>
        <w:ind w:left="1760" w:hanging="455"/>
        <w:spacing w:after="0"/>
        <w:tabs>
          <w:tab w:leader="none" w:pos="1760"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participant will have no interest or voting right in shares covered by his or her option until such option has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been exercised.</w:t>
      </w:r>
    </w:p>
    <w:p>
      <w:pPr>
        <w:spacing w:after="0" w:line="201" w:lineRule="exact"/>
        <w:rPr>
          <w:rFonts w:ascii="Arial" w:cs="Arial" w:eastAsia="Arial" w:hAnsi="Arial"/>
          <w:sz w:val="19"/>
          <w:szCs w:val="19"/>
          <w:color w:val="auto"/>
        </w:rPr>
      </w:pPr>
    </w:p>
    <w:p>
      <w:pPr>
        <w:ind w:right="140" w:firstLine="1305"/>
        <w:spacing w:after="0" w:line="263" w:lineRule="auto"/>
        <w:tabs>
          <w:tab w:leader="none" w:pos="1752" w:val="left"/>
        </w:tabs>
        <w:numPr>
          <w:ilvl w:val="1"/>
          <w:numId w:val="44"/>
        </w:numPr>
        <w:rPr>
          <w:rFonts w:ascii="Arial" w:cs="Arial" w:eastAsia="Arial" w:hAnsi="Arial"/>
          <w:sz w:val="22"/>
          <w:szCs w:val="22"/>
          <w:color w:val="auto"/>
        </w:rPr>
      </w:pPr>
      <w:r>
        <w:rPr>
          <w:rFonts w:ascii="Arial" w:cs="Arial" w:eastAsia="Arial" w:hAnsi="Arial"/>
          <w:sz w:val="22"/>
          <w:szCs w:val="22"/>
          <w:color w:val="auto"/>
        </w:rPr>
        <w:t>Shares to be delivered to a participant under the Plan will be registered in the name of the participant or in the name of the participant and his or her spouse.</w:t>
      </w:r>
    </w:p>
    <w:p>
      <w:pPr>
        <w:spacing w:after="0" w:line="174" w:lineRule="exact"/>
        <w:rPr>
          <w:rFonts w:ascii="Arial" w:cs="Arial" w:eastAsia="Arial" w:hAnsi="Arial"/>
          <w:sz w:val="22"/>
          <w:szCs w:val="22"/>
          <w:color w:val="auto"/>
        </w:rPr>
      </w:pPr>
    </w:p>
    <w:p>
      <w:pPr>
        <w:ind w:left="1580" w:hanging="924"/>
        <w:spacing w:after="0"/>
        <w:tabs>
          <w:tab w:leader="none" w:pos="15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340" w:firstLine="1305"/>
        <w:spacing w:after="0" w:line="253" w:lineRule="auto"/>
        <w:tabs>
          <w:tab w:leader="none" w:pos="1749"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Plan shall be administered by the Board or the Committee. Notwithstanding anything in the Plan to the contrary, subject to Applicable Laws, any authority or responsibility that, under the terms of the Plan, may be exercised by the Committee may alternatively be exercised by the Board.</w:t>
      </w:r>
    </w:p>
    <w:p>
      <w:pPr>
        <w:spacing w:after="0" w:line="185" w:lineRule="exact"/>
        <w:rPr>
          <w:rFonts w:ascii="Arial" w:cs="Arial" w:eastAsia="Arial" w:hAnsi="Arial"/>
          <w:sz w:val="22"/>
          <w:szCs w:val="22"/>
          <w:color w:val="auto"/>
        </w:rPr>
      </w:pPr>
    </w:p>
    <w:p>
      <w:pPr>
        <w:ind w:right="580" w:firstLine="1305"/>
        <w:spacing w:after="0" w:line="253" w:lineRule="auto"/>
        <w:tabs>
          <w:tab w:leader="none" w:pos="1753" w:val="left"/>
        </w:tabs>
        <w:numPr>
          <w:ilvl w:val="1"/>
          <w:numId w:val="44"/>
        </w:numPr>
        <w:rPr>
          <w:rFonts w:ascii="Arial" w:cs="Arial" w:eastAsia="Arial" w:hAnsi="Arial"/>
          <w:sz w:val="22"/>
          <w:szCs w:val="22"/>
          <w:color w:val="auto"/>
        </w:rPr>
      </w:pPr>
      <w:r>
        <w:rPr>
          <w:rFonts w:ascii="Arial" w:cs="Arial" w:eastAsia="Arial" w:hAnsi="Arial"/>
          <w:sz w:val="22"/>
          <w:szCs w:val="22"/>
          <w:color w:val="auto"/>
        </w:rPr>
        <w:t>All questions of interpretation of the Plan, of any form of agreement or other document employed by the Company in the administration of the Plan, or of any option shall be determined by the Board or the Committee, and such determinations shall be final, binding and</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807" w:right="279" w:bottom="1440" w:gutter="0" w:footer="0" w:header="0"/>
        </w:sectPr>
      </w:pPr>
    </w:p>
    <w:bookmarkStart w:id="73" w:name="page74"/>
    <w:bookmarkEnd w:id="73"/>
    <w:p>
      <w:pPr>
        <w:spacing w:after="0" w:line="260" w:lineRule="auto"/>
        <w:rPr>
          <w:sz w:val="20"/>
          <w:szCs w:val="20"/>
          <w:color w:val="auto"/>
        </w:rPr>
      </w:pPr>
      <w:r>
        <w:rPr>
          <w:rFonts w:ascii="Arial" w:cs="Arial" w:eastAsia="Arial" w:hAnsi="Arial"/>
          <w:sz w:val="21"/>
          <w:szCs w:val="21"/>
          <w:color w:val="auto"/>
        </w:rPr>
        <w:t>conclusive upon all persons having an interest in the Plan or the option, unless fraudulent or made in bad faith. Subject to the provisions of the Plan, the Board or the Committee shall determine all of the relevant terms and conditions of options; provided, however, that all Employees granted options pursuant to an Offering under the Section 423 Plan shall have the same rights and privileges within the meaning of Section 423(b)(5) of the Code. Any and all actions, decisions and determinations taken or made by the Board or the Committee in the exercise of its discretion pursuant to the Plan or any agreement thereunder (other than determining questions of interpretation pursuant to the second sentence of this Section 14(b)) shall be final, binding and conclusive upon all persons having an interest therein.</w:t>
      </w:r>
    </w:p>
    <w:p>
      <w:pPr>
        <w:spacing w:after="0" w:line="181" w:lineRule="exact"/>
        <w:rPr>
          <w:sz w:val="20"/>
          <w:szCs w:val="20"/>
          <w:color w:val="auto"/>
        </w:rPr>
      </w:pPr>
    </w:p>
    <w:p>
      <w:pPr>
        <w:ind w:right="120" w:firstLine="1305"/>
        <w:spacing w:after="0" w:line="261" w:lineRule="auto"/>
        <w:tabs>
          <w:tab w:leader="none" w:pos="1749"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Board or the Committee shall have the power, in its discretion, to adopt one or more sub-plans of the Plan as the Committee deems necessary or desirable to comply with Applicable Laws, tax policy, accounting principles or custom of foreign jurisdictions applicable to Employees, provided that any such sub-plan shall be within the scope of the Non-423 Plan or, to the extent consistent with Section 423 of the Code, in a separate Offering under the Section 423 Plan. Any of the provisions of any such sub-plan may supersede the provisions of this Plan, other than Section 13. Except as superseded by the provisions of a sub-plan, the provisions of this Plan shall govern such sub-plan.</w:t>
      </w:r>
    </w:p>
    <w:p>
      <w:pPr>
        <w:spacing w:after="0" w:line="180" w:lineRule="exact"/>
        <w:rPr>
          <w:rFonts w:ascii="Arial" w:cs="Arial" w:eastAsia="Arial" w:hAnsi="Arial"/>
          <w:sz w:val="21"/>
          <w:szCs w:val="21"/>
          <w:color w:val="auto"/>
        </w:rPr>
      </w:pPr>
    </w:p>
    <w:p>
      <w:pPr>
        <w:ind w:right="20" w:firstLine="1305"/>
        <w:spacing w:after="0" w:line="250" w:lineRule="auto"/>
        <w:tabs>
          <w:tab w:leader="none" w:pos="1761"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Board or Committee shall have the power, in its discretion, to establish separate, simultaneous or overlapping Offerings having different terms and conditions and to designate the Designated Company or Companies that may participate in a particular Offering, provided that each Offering under the Section 423 Plan shall individually comply with the terms of the Plan and the requirements of Section 423(b)(5).</w:t>
      </w:r>
    </w:p>
    <w:p>
      <w:pPr>
        <w:spacing w:after="0" w:line="188" w:lineRule="exact"/>
        <w:rPr>
          <w:rFonts w:ascii="Arial" w:cs="Arial" w:eastAsia="Arial" w:hAnsi="Arial"/>
          <w:sz w:val="22"/>
          <w:szCs w:val="22"/>
          <w:color w:val="auto"/>
        </w:rPr>
      </w:pPr>
    </w:p>
    <w:p>
      <w:pPr>
        <w:ind w:firstLine="1305"/>
        <w:spacing w:after="0" w:line="284" w:lineRule="auto"/>
        <w:tabs>
          <w:tab w:leader="none" w:pos="1749" w:val="left"/>
        </w:tabs>
        <w:numPr>
          <w:ilvl w:val="1"/>
          <w:numId w:val="45"/>
        </w:numPr>
        <w:rPr>
          <w:rFonts w:ascii="Arial" w:cs="Arial" w:eastAsia="Arial" w:hAnsi="Arial"/>
          <w:sz w:val="19"/>
          <w:szCs w:val="19"/>
          <w:color w:val="auto"/>
        </w:rPr>
      </w:pPr>
      <w:r>
        <w:rPr>
          <w:rFonts w:ascii="Arial" w:cs="Arial" w:eastAsia="Arial" w:hAnsi="Arial"/>
          <w:sz w:val="19"/>
          <w:szCs w:val="19"/>
          <w:color w:val="auto"/>
        </w:rPr>
        <w:t>Without regard to whether any Employee’s option may be considered adversely affected, the Company may, from time to time, consistent with the Plan, and with the requirements of Section 423 of the Code in the case of the Section 423 Plan, establish, change or terminate such rules, guidelines, policies, procedures, limitations, or adjustments as deemed advisable by the Company, in its discretion, for the proper administration of the Plan, including, without limitation, (i) any minimum or maximum amount of contributions a participant may make in an Offering Period or other specified period under the applicable Offering, (ii) a limitation on the frequency or number of changes permitted in the rate of payroll deduction during an Offering, (iii) conversion of local currency, (iv) determination of the date and manner by which the fair market value of a share of Common Stock is determined for purposes of administration of the Plan, (v) the handling of payroll deductions, (vi) establishment of bank, building society or trust accounts to hold payroll deductions or contributions, (vii) payment of interest, (viii) obligations to pay payroll tax,</w:t>
      </w:r>
    </w:p>
    <w:p>
      <w:pPr>
        <w:ind w:right="80" w:firstLine="8"/>
        <w:spacing w:after="0" w:line="244" w:lineRule="auto"/>
        <w:tabs>
          <w:tab w:leader="none" w:pos="366"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determination of beneficiary designation requirements, (x) withholding procedures and (xi) handling of share issuances. The Board or Committee are further authorized to take any action that it deems advisable to obtain approval or comply with any necessary local governmental regulatory exemptions or approvals. Notwithstanding the foregoing, the Board or its Committee may not take any actions hereunder that would violate Applicable Laws or cause Offerings under the 423 Plan not to comply with Section 423 of the Code.</w:t>
      </w:r>
    </w:p>
    <w:p>
      <w:pPr>
        <w:spacing w:after="0" w:line="195" w:lineRule="exact"/>
        <w:rPr>
          <w:rFonts w:ascii="Arial" w:cs="Arial" w:eastAsia="Arial" w:hAnsi="Arial"/>
          <w:sz w:val="22"/>
          <w:szCs w:val="22"/>
          <w:color w:val="auto"/>
        </w:rPr>
      </w:pPr>
    </w:p>
    <w:p>
      <w:pPr>
        <w:jc w:val="both"/>
        <w:ind w:right="420" w:firstLine="1305"/>
        <w:spacing w:after="0" w:line="253" w:lineRule="auto"/>
        <w:tabs>
          <w:tab w:leader="none" w:pos="1725" w:val="left"/>
        </w:tabs>
        <w:numPr>
          <w:ilvl w:val="1"/>
          <w:numId w:val="46"/>
        </w:numPr>
        <w:rPr>
          <w:rFonts w:ascii="Arial" w:cs="Arial" w:eastAsia="Arial" w:hAnsi="Arial"/>
          <w:sz w:val="22"/>
          <w:szCs w:val="22"/>
          <w:color w:val="auto"/>
        </w:rPr>
      </w:pPr>
      <w:r>
        <w:rPr>
          <w:rFonts w:ascii="Arial" w:cs="Arial" w:eastAsia="Arial" w:hAnsi="Arial"/>
          <w:sz w:val="22"/>
          <w:szCs w:val="22"/>
          <w:color w:val="auto"/>
        </w:rPr>
        <w:t>To the extent not prohibited by Applicable Laws, the Board or Committee may, from time to time, delegate some or all of its authority under the Plan to a subcommittee or subcommittees of the Committee, or other persons or groups of persons as it deems necessary,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07" w:right="239" w:bottom="1440" w:gutter="0" w:footer="0" w:header="0"/>
        </w:sectPr>
      </w:pPr>
    </w:p>
    <w:bookmarkStart w:id="74" w:name="page75"/>
    <w:bookmarkEnd w:id="74"/>
    <w:p>
      <w:pPr>
        <w:ind w:right="400"/>
        <w:spacing w:after="0" w:line="253" w:lineRule="auto"/>
        <w:rPr>
          <w:sz w:val="20"/>
          <w:szCs w:val="20"/>
          <w:color w:val="auto"/>
        </w:rPr>
      </w:pPr>
      <w:r>
        <w:rPr>
          <w:rFonts w:ascii="Arial" w:cs="Arial" w:eastAsia="Arial" w:hAnsi="Arial"/>
          <w:sz w:val="22"/>
          <w:szCs w:val="22"/>
          <w:color w:val="auto"/>
        </w:rPr>
        <w:t>appropriate or advisable under conditions or limitations that it may set at or after the time of the delegation. For purposes of the Plan, reference to the Committee shall be deemed to refer to any subcommittee, subcommittees, or other persons or groups of persons to whom the Committee delegates authority pursuant to this section.</w:t>
      </w:r>
    </w:p>
    <w:p>
      <w:pPr>
        <w:spacing w:after="0" w:line="186" w:lineRule="exact"/>
        <w:rPr>
          <w:sz w:val="20"/>
          <w:szCs w:val="20"/>
          <w:color w:val="auto"/>
        </w:rPr>
      </w:pPr>
    </w:p>
    <w:p>
      <w:pPr>
        <w:ind w:left="1780" w:hanging="475"/>
        <w:spacing w:after="0"/>
        <w:tabs>
          <w:tab w:leader="none" w:pos="1780" w:val="left"/>
        </w:tabs>
        <w:numPr>
          <w:ilvl w:val="1"/>
          <w:numId w:val="47"/>
        </w:numPr>
        <w:rPr>
          <w:rFonts w:ascii="Arial" w:cs="Arial" w:eastAsia="Arial" w:hAnsi="Arial"/>
          <w:sz w:val="19"/>
          <w:szCs w:val="19"/>
          <w:color w:val="auto"/>
        </w:rPr>
      </w:pPr>
      <w:r>
        <w:rPr>
          <w:rFonts w:ascii="Arial" w:cs="Arial" w:eastAsia="Arial" w:hAnsi="Arial"/>
          <w:sz w:val="19"/>
          <w:szCs w:val="19"/>
          <w:color w:val="auto"/>
        </w:rPr>
        <w:t>Members of the Board who are eligible Employees are permitted to participate in the Plan, provided that:</w:t>
      </w:r>
    </w:p>
    <w:p>
      <w:pPr>
        <w:spacing w:after="0" w:line="254" w:lineRule="exact"/>
        <w:rPr>
          <w:rFonts w:ascii="Arial" w:cs="Arial" w:eastAsia="Arial" w:hAnsi="Arial"/>
          <w:sz w:val="19"/>
          <w:szCs w:val="19"/>
          <w:color w:val="auto"/>
        </w:rPr>
      </w:pPr>
    </w:p>
    <w:p>
      <w:pPr>
        <w:ind w:right="240" w:firstLine="1953"/>
        <w:spacing w:after="0" w:line="263" w:lineRule="auto"/>
        <w:tabs>
          <w:tab w:leader="none" w:pos="2365" w:val="left"/>
        </w:tabs>
        <w:numPr>
          <w:ilvl w:val="2"/>
          <w:numId w:val="47"/>
        </w:numPr>
        <w:rPr>
          <w:rFonts w:ascii="Arial" w:cs="Arial" w:eastAsia="Arial" w:hAnsi="Arial"/>
          <w:sz w:val="22"/>
          <w:szCs w:val="22"/>
          <w:color w:val="auto"/>
        </w:rPr>
      </w:pPr>
      <w:r>
        <w:rPr>
          <w:rFonts w:ascii="Arial" w:cs="Arial" w:eastAsia="Arial" w:hAnsi="Arial"/>
          <w:sz w:val="22"/>
          <w:szCs w:val="22"/>
          <w:color w:val="auto"/>
        </w:rPr>
        <w:t>Members of the Board who are eligible to participate in the Plan may not vote on any matter affecting the administration of the Plan or the grant of any option pursuant to the Plan.</w:t>
      </w:r>
    </w:p>
    <w:p>
      <w:pPr>
        <w:spacing w:after="0" w:line="174" w:lineRule="exact"/>
        <w:rPr>
          <w:rFonts w:ascii="Arial" w:cs="Arial" w:eastAsia="Arial" w:hAnsi="Arial"/>
          <w:sz w:val="22"/>
          <w:szCs w:val="22"/>
          <w:color w:val="auto"/>
        </w:rPr>
      </w:pPr>
    </w:p>
    <w:p>
      <w:pPr>
        <w:ind w:left="2440" w:hanging="487"/>
        <w:spacing w:after="0"/>
        <w:tabs>
          <w:tab w:leader="none" w:pos="2440" w:val="left"/>
        </w:tabs>
        <w:numPr>
          <w:ilvl w:val="2"/>
          <w:numId w:val="47"/>
        </w:numPr>
        <w:rPr>
          <w:rFonts w:ascii="Arial" w:cs="Arial" w:eastAsia="Arial" w:hAnsi="Arial"/>
          <w:sz w:val="19"/>
          <w:szCs w:val="19"/>
          <w:color w:val="auto"/>
        </w:rPr>
      </w:pPr>
      <w:r>
        <w:rPr>
          <w:rFonts w:ascii="Arial" w:cs="Arial" w:eastAsia="Arial" w:hAnsi="Arial"/>
          <w:sz w:val="19"/>
          <w:szCs w:val="19"/>
          <w:color w:val="auto"/>
        </w:rPr>
        <w:t>No member of the Board who is eligible to participate in the Plan may be a member of the Committee.</w:t>
      </w:r>
    </w:p>
    <w:p>
      <w:pPr>
        <w:spacing w:after="0" w:line="254" w:lineRule="exact"/>
        <w:rPr>
          <w:rFonts w:ascii="Arial" w:cs="Arial" w:eastAsia="Arial" w:hAnsi="Arial"/>
          <w:sz w:val="19"/>
          <w:szCs w:val="19"/>
          <w:color w:val="auto"/>
        </w:rPr>
      </w:pPr>
    </w:p>
    <w:p>
      <w:pPr>
        <w:ind w:firstLine="656"/>
        <w:spacing w:after="0" w:line="248" w:lineRule="auto"/>
        <w:tabs>
          <w:tab w:leader="none" w:pos="1567"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by the participant. Any such attempt at assignment, transfer, pledge or other disposition shall be without effect, except that the Company may treat such act as an election to withdraw funds in accordance with Section 11.</w:t>
      </w:r>
    </w:p>
    <w:p>
      <w:pPr>
        <w:spacing w:after="0" w:line="192" w:lineRule="exact"/>
        <w:rPr>
          <w:rFonts w:ascii="Arial" w:cs="Arial" w:eastAsia="Arial" w:hAnsi="Arial"/>
          <w:sz w:val="22"/>
          <w:szCs w:val="22"/>
          <w:color w:val="auto"/>
        </w:rPr>
      </w:pPr>
    </w:p>
    <w:p>
      <w:pPr>
        <w:ind w:right="700" w:firstLine="656"/>
        <w:spacing w:after="0" w:line="343" w:lineRule="auto"/>
        <w:tabs>
          <w:tab w:leader="none" w:pos="1567"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Use of Funds</w:t>
      </w:r>
      <w:r>
        <w:rPr>
          <w:rFonts w:ascii="Arial" w:cs="Arial" w:eastAsia="Arial" w:hAnsi="Arial"/>
          <w:sz w:val="19"/>
          <w:szCs w:val="19"/>
          <w:color w:val="auto"/>
        </w:rPr>
        <w:t>. All payroll deductions received or held by the Company under the Plan may be used by the Company for any corporate purpose, and the Company shall not be obligated to segregate such payroll deductions.</w:t>
      </w:r>
    </w:p>
    <w:p>
      <w:pPr>
        <w:spacing w:after="0" w:line="104" w:lineRule="exact"/>
        <w:rPr>
          <w:rFonts w:ascii="Arial" w:cs="Arial" w:eastAsia="Arial" w:hAnsi="Arial"/>
          <w:sz w:val="19"/>
          <w:szCs w:val="19"/>
          <w:color w:val="auto"/>
        </w:rPr>
      </w:pPr>
    </w:p>
    <w:p>
      <w:pPr>
        <w:ind w:right="220" w:firstLine="656"/>
        <w:spacing w:after="0" w:line="271" w:lineRule="auto"/>
        <w:tabs>
          <w:tab w:leader="none" w:pos="1567"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Reports</w:t>
      </w:r>
      <w:r>
        <w:rPr>
          <w:rFonts w:ascii="Arial" w:cs="Arial" w:eastAsia="Arial" w:hAnsi="Arial"/>
          <w:sz w:val="21"/>
          <w:szCs w:val="21"/>
          <w:color w:val="auto"/>
        </w:rPr>
        <w:t>. Individual accounts will be maintained for each participant in the Plan. Statements of account will be given to participants annually, which statements will set forth the amounts of payroll deductions, the per share purchase price, the number of shares purchased and the remaining cash balance refunded or to be refunded, if any.</w:t>
      </w:r>
    </w:p>
    <w:p>
      <w:pPr>
        <w:spacing w:after="0" w:line="167" w:lineRule="exact"/>
        <w:rPr>
          <w:rFonts w:ascii="Arial" w:cs="Arial" w:eastAsia="Arial" w:hAnsi="Arial"/>
          <w:sz w:val="21"/>
          <w:szCs w:val="21"/>
          <w:color w:val="auto"/>
        </w:rPr>
      </w:pPr>
    </w:p>
    <w:p>
      <w:pPr>
        <w:ind w:right="20" w:firstLine="656"/>
        <w:spacing w:after="0" w:line="287" w:lineRule="auto"/>
        <w:tabs>
          <w:tab w:leader="none" w:pos="1567"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Adjustments Upon Changes in Capitalization</w:t>
      </w:r>
      <w:r>
        <w:rPr>
          <w:rFonts w:ascii="Arial" w:cs="Arial" w:eastAsia="Arial" w:hAnsi="Arial"/>
          <w:sz w:val="19"/>
          <w:szCs w:val="19"/>
          <w:color w:val="auto"/>
        </w:rPr>
        <w:t>. Subject to any required action by the stockholders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or value of issued shares of Common Stock resulting from a stock split or the payment of a stock dividend (but only on the Common Stock) or any other increase or decrease in the number or value of shares of Common Stock effected without receipt of consideration by the Company (excluding a regular cash dividend); provided, however, that conversion of any convertible securities of the Company shall not be deemed to have been “effected without receipt of consideration.” Such adjustment shall be made by the Board or Committee,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07" w:right="239" w:bottom="1440" w:gutter="0" w:footer="0" w:header="0"/>
        </w:sectPr>
      </w:pPr>
    </w:p>
    <w:bookmarkStart w:id="75" w:name="page76"/>
    <w:bookmarkEnd w:id="75"/>
    <w:p>
      <w:pPr>
        <w:ind w:left="620" w:right="20"/>
        <w:spacing w:after="0" w:line="288" w:lineRule="auto"/>
        <w:rPr>
          <w:sz w:val="20"/>
          <w:szCs w:val="20"/>
          <w:color w:val="auto"/>
        </w:rPr>
      </w:pPr>
      <w:r>
        <w:rPr>
          <w:rFonts w:ascii="Arial" w:cs="Arial" w:eastAsia="Arial" w:hAnsi="Arial"/>
          <w:sz w:val="19"/>
          <w:szCs w:val="19"/>
          <w:color w:val="auto"/>
        </w:rPr>
        <w:t>In the event of the proposed dissolution or liquidation of the Company, the Offering Period will terminate immediately prior to the consummation of such proposed action, unless otherwise provided by the Board.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 a period of thirty (30) days from the date of such notice, and the option will terminate upon the expiration of such period.</w:t>
      </w:r>
    </w:p>
    <w:p>
      <w:pPr>
        <w:spacing w:after="0" w:line="160" w:lineRule="exact"/>
        <w:rPr>
          <w:sz w:val="20"/>
          <w:szCs w:val="20"/>
          <w:color w:val="auto"/>
        </w:rPr>
      </w:pPr>
    </w:p>
    <w:p>
      <w:pPr>
        <w:ind w:left="620" w:right="40"/>
        <w:spacing w:after="0" w:line="250" w:lineRule="auto"/>
        <w:rPr>
          <w:sz w:val="20"/>
          <w:szCs w:val="20"/>
          <w:color w:val="auto"/>
        </w:rPr>
      </w:pPr>
      <w:r>
        <w:rPr>
          <w:rFonts w:ascii="Arial" w:cs="Arial" w:eastAsia="Arial" w:hAnsi="Arial"/>
          <w:sz w:val="22"/>
          <w:szCs w:val="22"/>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w:t>
      </w:r>
    </w:p>
    <w:p>
      <w:pPr>
        <w:spacing w:after="0" w:line="188" w:lineRule="exact"/>
        <w:rPr>
          <w:sz w:val="20"/>
          <w:szCs w:val="20"/>
          <w:color w:val="auto"/>
        </w:rPr>
      </w:pPr>
    </w:p>
    <w:p>
      <w:pPr>
        <w:ind w:left="-40" w:firstLine="656"/>
        <w:spacing w:after="0" w:line="260" w:lineRule="auto"/>
        <w:tabs>
          <w:tab w:leader="none" w:pos="1527"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Amendment or Termination</w:t>
      </w:r>
      <w:r>
        <w:rPr>
          <w:rFonts w:ascii="Arial" w:cs="Arial" w:eastAsia="Arial" w:hAnsi="Arial"/>
          <w:sz w:val="21"/>
          <w:szCs w:val="21"/>
          <w:color w:val="auto"/>
        </w:rPr>
        <w:t>. The Board may at any time terminate or amend the Plan, including (without limitation) shortening an Offering Period in connection with a spin-off or other similar corporate event. Subject to the foregoing, no such termination can affect options previously granted, nor may an amendment make any change in any option theretofore granted which adversely affects the rights of any participant, unless such termination or amendment is necessary or advisable to comply with Applicable Laws. In addition, to the extent necessary to comply with Rule 16b-3 under the Act or under Section 423 of the Code (or any successor rule or provision or any other Applicable Law or regulation), the Company shall obtain stockholder approval in such a manner and to such a degree as so required.</w:t>
      </w:r>
    </w:p>
    <w:p>
      <w:pPr>
        <w:spacing w:after="0" w:line="181" w:lineRule="exact"/>
        <w:rPr>
          <w:rFonts w:ascii="Arial" w:cs="Arial" w:eastAsia="Arial" w:hAnsi="Arial"/>
          <w:sz w:val="21"/>
          <w:szCs w:val="21"/>
          <w:color w:val="auto"/>
        </w:rPr>
      </w:pPr>
    </w:p>
    <w:p>
      <w:pPr>
        <w:ind w:left="-40" w:right="300" w:firstLine="656"/>
        <w:spacing w:after="0" w:line="253" w:lineRule="auto"/>
        <w:tabs>
          <w:tab w:leader="none" w:pos="152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5" w:lineRule="exact"/>
        <w:rPr>
          <w:rFonts w:ascii="Arial" w:cs="Arial" w:eastAsia="Arial" w:hAnsi="Arial"/>
          <w:sz w:val="22"/>
          <w:szCs w:val="22"/>
          <w:color w:val="auto"/>
        </w:rPr>
      </w:pPr>
    </w:p>
    <w:p>
      <w:pPr>
        <w:ind w:left="-40" w:right="20" w:firstLine="656"/>
        <w:spacing w:after="0" w:line="343" w:lineRule="auto"/>
        <w:tabs>
          <w:tab w:leader="none" w:pos="152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Any required approval by the stockholders of the Company shall be solicited substantially in accordance with Section 14(a) of the Exchange Act, and the rules and regulations promulgated thereunder.</w:t>
      </w:r>
    </w:p>
    <w:p>
      <w:pPr>
        <w:spacing w:after="0" w:line="104" w:lineRule="exact"/>
        <w:rPr>
          <w:rFonts w:ascii="Arial" w:cs="Arial" w:eastAsia="Arial" w:hAnsi="Arial"/>
          <w:sz w:val="19"/>
          <w:szCs w:val="19"/>
          <w:color w:val="auto"/>
        </w:rPr>
      </w:pPr>
    </w:p>
    <w:p>
      <w:pPr>
        <w:ind w:left="-40" w:right="80" w:firstLine="656"/>
        <w:spacing w:after="0" w:line="263" w:lineRule="auto"/>
        <w:tabs>
          <w:tab w:leader="none" w:pos="1527"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Conditions Upon Issuance of Shares</w:t>
      </w:r>
      <w:r>
        <w:rPr>
          <w:rFonts w:ascii="Arial" w:cs="Arial" w:eastAsia="Arial" w:hAnsi="Arial"/>
          <w:sz w:val="21"/>
          <w:szCs w:val="21"/>
          <w:color w:val="auto"/>
        </w:rPr>
        <w:t>. Shares shall not be issued with respect to an option unless the exercise of such option and the issuance and delivery of such shares pursuant thereto shall comply with all Applicable Laws, including, without limitation, the Securities Act of 1933, as amended, or the Exchange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76" w:lineRule="exact"/>
        <w:rPr>
          <w:sz w:val="20"/>
          <w:szCs w:val="20"/>
          <w:color w:val="auto"/>
        </w:rPr>
      </w:pPr>
    </w:p>
    <w:p>
      <w:pPr>
        <w:ind w:left="620" w:right="340"/>
        <w:spacing w:after="0" w:line="263" w:lineRule="auto"/>
        <w:rPr>
          <w:sz w:val="20"/>
          <w:szCs w:val="20"/>
          <w:color w:val="auto"/>
        </w:rPr>
      </w:pPr>
      <w:r>
        <w:rPr>
          <w:rFonts w:ascii="Arial" w:cs="Arial" w:eastAsia="Arial" w:hAnsi="Arial"/>
          <w:sz w:val="22"/>
          <w:szCs w:val="22"/>
          <w:color w:val="auto"/>
        </w:rPr>
        <w:t>As a condition to the exercise of an option, the Company may require the person exercising such option to represent and warrant at the time of any such exercise that the shares are being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60"/>
          </w:cols>
          <w:pgMar w:left="280" w:top="807" w:right="259" w:bottom="1440" w:gutter="0" w:footer="0" w:header="0"/>
        </w:sectPr>
      </w:pPr>
    </w:p>
    <w:bookmarkStart w:id="76" w:name="page77"/>
    <w:bookmarkEnd w:id="76"/>
    <w:p>
      <w:pPr>
        <w:ind w:left="640" w:right="20"/>
        <w:spacing w:after="0" w:line="343" w:lineRule="auto"/>
        <w:rPr>
          <w:sz w:val="20"/>
          <w:szCs w:val="20"/>
          <w:color w:val="auto"/>
        </w:rPr>
      </w:pPr>
      <w:r>
        <w:rPr>
          <w:rFonts w:ascii="Arial" w:cs="Arial" w:eastAsia="Arial" w:hAnsi="Arial"/>
          <w:sz w:val="19"/>
          <w:szCs w:val="19"/>
          <w:color w:val="auto"/>
        </w:rPr>
        <w:t>purchased only for investment and without any present intention to sell or distribute such shares if, in the opinion of counsel for the Company, such a representation is required by any of the aforementioned applicable provisions of law.</w:t>
      </w:r>
    </w:p>
    <w:p>
      <w:pPr>
        <w:spacing w:after="0" w:line="105" w:lineRule="exact"/>
        <w:rPr>
          <w:sz w:val="20"/>
          <w:szCs w:val="20"/>
          <w:color w:val="auto"/>
        </w:rPr>
      </w:pPr>
    </w:p>
    <w:p>
      <w:pPr>
        <w:ind w:left="-20" w:right="20" w:firstLine="656"/>
        <w:spacing w:after="0" w:line="287" w:lineRule="auto"/>
        <w:tabs>
          <w:tab w:leader="none" w:pos="1547"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The Plan is exempt from the application of Code Section 409A and any ambiguities herein will be interpreted to so be exempt from Code Section 409A. In furtherance of the foregoing and notwithstanding any provision in the Plan to the contrary, if the Committee determines that an option granted under the Plan may be subject to Code Section 409A or that any provision in the Plan would cause an option under the Plan to be subject to Code Section 409A, the Committee may amend the terms of the Plan and/or of an outstanding option granted under the Plan, or take such other action the Committee determines is necessary or appropriate, in each case, without a participant’s consent, to exempt any outstanding option or future option that may be granted under the Plan from or to allow any such options to comply with Code Section 409A, but only to the extent any such amendments or action by the Committee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20" w:right="180" w:firstLine="656"/>
        <w:spacing w:after="0" w:line="247" w:lineRule="auto"/>
        <w:tabs>
          <w:tab w:leader="none" w:pos="1547"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Tax Qualification</w:t>
      </w:r>
      <w:r>
        <w:rPr>
          <w:rFonts w:ascii="Arial" w:cs="Arial" w:eastAsia="Arial" w:hAnsi="Arial"/>
          <w:sz w:val="22"/>
          <w:szCs w:val="22"/>
          <w:color w:val="auto"/>
        </w:rPr>
        <w:t>. Although the Company may endeavor to (i) qualify an option to purchase shares of Common Stock for favorable tax treatment under the laws of the U.S. or jurisdictions outside the U.S. or (ii) avoid adverse tax treatment (e.g., under Code Section 409A), the Company makes no representation to that effect and expressly disavows any covenant to maintain favorable or avoid unfavorable tax treatment, notwithstanding anything to the contrary in this Plan, including Section 23 above. The Company shall be unconstrained in its corporate activities without regard to the potential negative tax impact on Employees under the Plan.</w:t>
      </w:r>
    </w:p>
    <w:p>
      <w:pPr>
        <w:spacing w:after="0" w:line="193" w:lineRule="exact"/>
        <w:rPr>
          <w:rFonts w:ascii="Arial" w:cs="Arial" w:eastAsia="Arial" w:hAnsi="Arial"/>
          <w:sz w:val="22"/>
          <w:szCs w:val="22"/>
          <w:color w:val="auto"/>
        </w:rPr>
      </w:pPr>
    </w:p>
    <w:p>
      <w:pPr>
        <w:ind w:left="-20" w:right="80" w:firstLine="656"/>
        <w:spacing w:after="0" w:line="253" w:lineRule="auto"/>
        <w:tabs>
          <w:tab w:leader="none" w:pos="1547"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Except to the extent that provisions of this Plan are governed by applicable provisions of the Code or any other substantive provision of U.S. federal law, this Plan shall be construed in accordance with the laws of the State of California, without giving effect to the conflict of laws principles thereof.</w:t>
      </w:r>
    </w:p>
    <w:p>
      <w:pPr>
        <w:spacing w:after="0" w:line="185" w:lineRule="exact"/>
        <w:rPr>
          <w:rFonts w:ascii="Arial" w:cs="Arial" w:eastAsia="Arial" w:hAnsi="Arial"/>
          <w:sz w:val="22"/>
          <w:szCs w:val="22"/>
          <w:color w:val="auto"/>
        </w:rPr>
      </w:pPr>
    </w:p>
    <w:p>
      <w:pPr>
        <w:ind w:left="-20" w:right="260" w:firstLine="656"/>
        <w:spacing w:after="0" w:line="250" w:lineRule="auto"/>
        <w:tabs>
          <w:tab w:leader="none" w:pos="1547"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Plan is or becomes or is deemed to be invalid, illegal, or unenforceable for any reason in any jurisdiction or as to any Employee, such invalidity, illegality or unenforceability will not affect the remaining parts of the Plan, and the Plan will be construed and enforced as to such jurisdiction or Employee as if the invalid, illegal or unenforceable provision had not been included.</w:t>
      </w:r>
    </w:p>
    <w:p>
      <w:pPr>
        <w:spacing w:after="0" w:line="188" w:lineRule="exact"/>
        <w:rPr>
          <w:rFonts w:ascii="Arial" w:cs="Arial" w:eastAsia="Arial" w:hAnsi="Arial"/>
          <w:sz w:val="22"/>
          <w:szCs w:val="22"/>
          <w:color w:val="auto"/>
        </w:rPr>
      </w:pPr>
    </w:p>
    <w:p>
      <w:pPr>
        <w:ind w:left="-20" w:firstLine="656"/>
        <w:spacing w:after="0" w:line="261" w:lineRule="auto"/>
        <w:tabs>
          <w:tab w:leader="none" w:pos="1547"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At the time the option is exercised, in whole or in part, or at the time some or all of the Common Stock issued under the Plan is disposed of (or any other time that a taxable event related to the Plan occurs), a participant must make adequate provision for the Company’s or employer’s federal, state, local or any other tax liability payable to any authority including taxes imposed by jurisdictions outside the U.S., national insurance, social security or other tax withholding obligations, if any, which arise upon the exercise of the option or the disposition of the Common Stock (or any other time that a taxable event related to the Plan occurs). At any time,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60" w:top="807" w:right="239" w:bottom="1440" w:gutter="0" w:footer="0" w:header="0"/>
        </w:sectPr>
      </w:pPr>
    </w:p>
    <w:bookmarkStart w:id="77" w:name="page78"/>
    <w:bookmarkEnd w:id="77"/>
    <w:p>
      <w:pPr>
        <w:spacing w:after="0" w:line="259" w:lineRule="exact"/>
        <w:rPr>
          <w:sz w:val="20"/>
          <w:szCs w:val="20"/>
          <w:color w:val="auto"/>
        </w:rPr>
      </w:pPr>
      <w:r>
        <w:rPr>
          <w:rFonts w:ascii="Arial" w:cs="Arial" w:eastAsia="Arial" w:hAnsi="Arial"/>
          <w:sz w:val="21"/>
          <w:szCs w:val="21"/>
          <w:color w:val="auto"/>
        </w:rPr>
        <w:t>or the employer may, but will not be obligated to, withhold from a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w:t>
      </w:r>
      <w:r>
        <w:rPr>
          <w:rFonts w:ascii="MS PGothic" w:cs="MS PGothic" w:eastAsia="MS PGothic" w:hAnsi="MS PGothic"/>
          <w:sz w:val="21"/>
          <w:szCs w:val="21"/>
          <w:color w:val="auto"/>
        </w:rPr>
        <w:t>‑</w:t>
      </w:r>
      <w:r>
        <w:rPr>
          <w:rFonts w:ascii="Arial" w:cs="Arial" w:eastAsia="Arial" w:hAnsi="Arial"/>
          <w:sz w:val="21"/>
          <w:szCs w:val="21"/>
          <w:color w:val="auto"/>
        </w:rPr>
        <w:t>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00"/>
          </w:cols>
          <w:pgMar w:left="240" w:top="807" w:right="359" w:bottom="1440" w:gutter="0" w:footer="0" w:header="0"/>
        </w:sectPr>
      </w:pPr>
    </w:p>
    <w:bookmarkStart w:id="78" w:name="page79"/>
    <w:bookmarkEnd w:id="78"/>
    <w:p>
      <w:pPr>
        <w:ind w:left="4840"/>
        <w:spacing w:after="0"/>
        <w:rPr>
          <w:sz w:val="20"/>
          <w:szCs w:val="20"/>
          <w:color w:val="auto"/>
        </w:rPr>
      </w:pPr>
      <w:r>
        <w:rPr>
          <w:rFonts w:ascii="Arial" w:cs="Arial" w:eastAsia="Arial" w:hAnsi="Arial"/>
          <w:sz w:val="22"/>
          <w:szCs w:val="22"/>
          <w:b w:val="1"/>
          <w:bCs w:val="1"/>
          <w:color w:val="auto"/>
        </w:rPr>
        <w:t>AUTODESK, INC.</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2012 EMPLOYEE STOCK PLAN</w:t>
      </w:r>
    </w:p>
    <w:p>
      <w:pPr>
        <w:spacing w:after="0" w:line="220"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(AS AMENDED AND RESTATED EFFECTIVE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OF JUNE 14, 2017)*</w:t>
      </w:r>
    </w:p>
    <w:p>
      <w:pPr>
        <w:spacing w:after="0" w:line="202" w:lineRule="exact"/>
        <w:rPr>
          <w:sz w:val="20"/>
          <w:szCs w:val="20"/>
          <w:color w:val="auto"/>
        </w:rPr>
      </w:pPr>
    </w:p>
    <w:p>
      <w:pPr>
        <w:jc w:val="both"/>
        <w:ind w:firstLine="251"/>
        <w:spacing w:after="0" w:line="253" w:lineRule="auto"/>
        <w:tabs>
          <w:tab w:leader="none" w:pos="81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Purposes of the Plan</w:t>
      </w:r>
      <w:r>
        <w:rPr>
          <w:rFonts w:ascii="Arial" w:cs="Arial" w:eastAsia="Arial" w:hAnsi="Arial"/>
          <w:sz w:val="22"/>
          <w:szCs w:val="22"/>
          <w:color w:val="auto"/>
        </w:rPr>
        <w:t>. The purposes of this 2012 Employee Stock Plan are to attract and retain the best available personnel for positions of substantial responsibility, to provide additional incentive to Employees, and to promote the success of the Company’s business.</w:t>
      </w:r>
    </w:p>
    <w:p>
      <w:pPr>
        <w:spacing w:after="0" w:line="185" w:lineRule="exact"/>
        <w:rPr>
          <w:rFonts w:ascii="Arial" w:cs="Arial" w:eastAsia="Arial" w:hAnsi="Arial"/>
          <w:sz w:val="22"/>
          <w:szCs w:val="22"/>
          <w:color w:val="auto"/>
        </w:rPr>
      </w:pPr>
    </w:p>
    <w:p>
      <w:pPr>
        <w:ind w:left="820" w:hanging="569"/>
        <w:spacing w:after="0"/>
        <w:tabs>
          <w:tab w:leader="none" w:pos="82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As used herein, the following definitions shall apply:</w:t>
      </w:r>
    </w:p>
    <w:p>
      <w:pPr>
        <w:spacing w:after="0" w:line="219" w:lineRule="exact"/>
        <w:rPr>
          <w:rFonts w:ascii="Arial" w:cs="Arial" w:eastAsia="Arial" w:hAnsi="Arial"/>
          <w:sz w:val="22"/>
          <w:szCs w:val="22"/>
          <w:color w:val="auto"/>
        </w:rPr>
      </w:pPr>
    </w:p>
    <w:p>
      <w:pPr>
        <w:ind w:right="20" w:firstLine="656"/>
        <w:spacing w:after="0" w:line="276" w:lineRule="auto"/>
        <w:tabs>
          <w:tab w:leader="none" w:pos="1163"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of its Committees as shall be administering the Plan, in accordance with Section 4 of the Plan.</w:t>
      </w:r>
    </w:p>
    <w:p>
      <w:pPr>
        <w:spacing w:after="0" w:line="160" w:lineRule="exact"/>
        <w:rPr>
          <w:rFonts w:ascii="Arial" w:cs="Arial" w:eastAsia="Arial" w:hAnsi="Arial"/>
          <w:sz w:val="22"/>
          <w:szCs w:val="22"/>
          <w:color w:val="auto"/>
        </w:rPr>
      </w:pPr>
    </w:p>
    <w:p>
      <w:pPr>
        <w:jc w:val="both"/>
        <w:ind w:firstLine="656"/>
        <w:spacing w:after="0" w:line="312" w:lineRule="auto"/>
        <w:tabs>
          <w:tab w:leader="none" w:pos="1197"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Laws</w:t>
      </w:r>
      <w:r>
        <w:rPr>
          <w:rFonts w:ascii="Arial" w:cs="Arial" w:eastAsia="Arial" w:hAnsi="Arial"/>
          <w:sz w:val="19"/>
          <w:szCs w:val="19"/>
          <w:color w:val="auto"/>
        </w:rPr>
        <w:t>” means the requirements relating to the administration of equity compensation plans under U.S. state corporate laws, U.S. federal and state securities laws, the Code, any stock exchange or quotation system on which the Shares are listed or quoted and the applicable laws of any other country or jurisdiction where Awards are granted under the Plan.</w:t>
      </w:r>
    </w:p>
    <w:p>
      <w:pPr>
        <w:spacing w:after="0" w:line="133" w:lineRule="exact"/>
        <w:rPr>
          <w:rFonts w:ascii="Arial" w:cs="Arial" w:eastAsia="Arial" w:hAnsi="Arial"/>
          <w:sz w:val="19"/>
          <w:szCs w:val="19"/>
          <w:color w:val="auto"/>
        </w:rPr>
      </w:pPr>
    </w:p>
    <w:p>
      <w:pPr>
        <w:ind w:firstLine="656"/>
        <w:spacing w:after="0" w:line="263" w:lineRule="auto"/>
        <w:tabs>
          <w:tab w:leader="none" w:pos="1172"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individually or collectively, a grant under the Plan of Incentive Stock Options, Nonqualified Stock Options, Restricted Stock or Restricted Stock Units.</w:t>
      </w:r>
    </w:p>
    <w:p>
      <w:pPr>
        <w:spacing w:after="0" w:line="174" w:lineRule="exact"/>
        <w:rPr>
          <w:rFonts w:ascii="Arial" w:cs="Arial" w:eastAsia="Arial" w:hAnsi="Arial"/>
          <w:sz w:val="22"/>
          <w:szCs w:val="22"/>
          <w:color w:val="auto"/>
        </w:rPr>
      </w:pPr>
    </w:p>
    <w:p>
      <w:pPr>
        <w:ind w:right="400" w:firstLine="656"/>
        <w:spacing w:after="0" w:line="263" w:lineRule="auto"/>
        <w:tabs>
          <w:tab w:leader="none" w:pos="1116"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 Agreement</w:t>
      </w:r>
      <w:r>
        <w:rPr>
          <w:rFonts w:ascii="Arial" w:cs="Arial" w:eastAsia="Arial" w:hAnsi="Arial"/>
          <w:sz w:val="22"/>
          <w:szCs w:val="22"/>
          <w:color w:val="auto"/>
        </w:rPr>
        <w:t>” means the written or electronic agreement setting forth the terms and conditions applicable to each Award granted under the Plan.</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the occurrence of any of the following events, in one or a series of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14833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*The Plan was originally adopted by the Board on November 7, 2011 and approved by the stockholders on January 6, 2012. The Plan was amended and restated via Board approval on November 15, 2013, and was approved by the stockholders on January 14, 2014, to become effective on January 14, 2014. The Plan was further amended and restated via Board approval on March 12, 2015, and was approved by the stockholders on June 10, 2015, to become effective on June 10, 2015. The Plan was further amended and restated via Board approval on June 15, 2016. The Plan was further amended and restated via Board approval on March 14, 2017, and was approved by the stockholders on June 14, 2017 to become effective on June 14, 2017.</w:t>
      </w:r>
    </w:p>
    <w:p>
      <w:pPr>
        <w:sectPr>
          <w:pgSz w:w="11900" w:h="16838" w:orient="portrait"/>
          <w:cols w:equalWidth="0" w:num="1">
            <w:col w:w="11420"/>
          </w:cols>
          <w:pgMar w:left="240" w:top="841" w:right="239" w:bottom="1440" w:gutter="0" w:footer="0" w:header="0"/>
        </w:sectPr>
      </w:pPr>
    </w:p>
    <w:bookmarkStart w:id="79" w:name="page80"/>
    <w:bookmarkEnd w:id="79"/>
    <w:p>
      <w:pPr>
        <w:jc w:val="both"/>
        <w:ind w:left="760" w:firstLine="1938"/>
        <w:spacing w:after="0" w:line="261" w:lineRule="auto"/>
        <w:tabs>
          <w:tab w:leader="none" w:pos="3557" w:val="left"/>
        </w:tabs>
        <w:numPr>
          <w:ilvl w:val="1"/>
          <w:numId w:val="52"/>
        </w:numPr>
        <w:rPr>
          <w:rFonts w:ascii="Arial" w:cs="Arial" w:eastAsia="Arial" w:hAnsi="Arial"/>
          <w:sz w:val="21"/>
          <w:szCs w:val="21"/>
          <w:color w:val="auto"/>
        </w:rPr>
      </w:pPr>
      <w:r>
        <w:rPr>
          <w:rFonts w:ascii="Arial" w:cs="Arial" w:eastAsia="Arial" w:hAnsi="Arial"/>
          <w:sz w:val="21"/>
          <w:szCs w:val="21"/>
          <w:color w:val="auto"/>
        </w:rPr>
        <w:t>any “person,” as such term is used in Sections 13(d) and 14(d) of the Exchange Act, other than the Company, a subsidiary of the Company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396" w:lineRule="exact"/>
        <w:rPr>
          <w:rFonts w:ascii="Arial" w:cs="Arial" w:eastAsia="Arial" w:hAnsi="Arial"/>
          <w:sz w:val="21"/>
          <w:szCs w:val="21"/>
          <w:color w:val="auto"/>
        </w:rPr>
      </w:pPr>
    </w:p>
    <w:p>
      <w:pPr>
        <w:jc w:val="both"/>
        <w:ind w:left="760" w:firstLine="1938"/>
        <w:spacing w:after="0" w:line="297" w:lineRule="auto"/>
        <w:tabs>
          <w:tab w:leader="none" w:pos="3176" w:val="left"/>
        </w:tabs>
        <w:numPr>
          <w:ilvl w:val="1"/>
          <w:numId w:val="52"/>
        </w:numPr>
        <w:rPr>
          <w:rFonts w:ascii="Arial" w:cs="Arial" w:eastAsia="Arial" w:hAnsi="Arial"/>
          <w:sz w:val="19"/>
          <w:szCs w:val="19"/>
          <w:color w:val="auto"/>
        </w:rPr>
      </w:pPr>
      <w:r>
        <w:rPr>
          <w:rFonts w:ascii="Arial" w:cs="Arial" w:eastAsia="Arial" w:hAnsi="Arial"/>
          <w:sz w:val="19"/>
          <w:szCs w:val="19"/>
          <w:color w:val="auto"/>
        </w:rPr>
        <w:t>a merger or consolidation of the Company or any direct or indirect subsidiary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w:t>
      </w:r>
    </w:p>
    <w:p>
      <w:pPr>
        <w:spacing w:after="0" w:line="363" w:lineRule="exact"/>
        <w:rPr>
          <w:rFonts w:ascii="Arial" w:cs="Arial" w:eastAsia="Arial" w:hAnsi="Arial"/>
          <w:sz w:val="19"/>
          <w:szCs w:val="19"/>
          <w:color w:val="auto"/>
        </w:rPr>
      </w:pPr>
    </w:p>
    <w:p>
      <w:pPr>
        <w:ind w:left="3220" w:hanging="522"/>
        <w:spacing w:after="0"/>
        <w:tabs>
          <w:tab w:leader="none" w:pos="32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sale or disposition by the Company of all or substantially all the Company’s</w:t>
      </w:r>
    </w:p>
    <w:p>
      <w:pPr>
        <w:spacing w:after="0" w:line="56"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assets; or</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760" w:firstLine="1938"/>
        <w:spacing w:after="0" w:line="299" w:lineRule="auto"/>
        <w:tabs>
          <w:tab w:leader="none" w:pos="3305" w:val="left"/>
        </w:tabs>
        <w:numPr>
          <w:ilvl w:val="1"/>
          <w:numId w:val="52"/>
        </w:numPr>
        <w:rPr>
          <w:rFonts w:ascii="Arial" w:cs="Arial" w:eastAsia="Arial" w:hAnsi="Arial"/>
          <w:sz w:val="19"/>
          <w:szCs w:val="19"/>
          <w:color w:val="auto"/>
        </w:rPr>
      </w:pPr>
      <w:r>
        <w:rPr>
          <w:rFonts w:ascii="Arial" w:cs="Arial" w:eastAsia="Arial" w:hAnsi="Arial"/>
          <w:sz w:val="19"/>
          <w:szCs w:val="19"/>
          <w:color w:val="auto"/>
        </w:rPr>
        <w:t>a change in the composition of the Board, as a result of which fewer than a majority of the Directors are Incumbent Directors. “Incumbent Directors” shall mean Directors who either</w:t>
      </w:r>
    </w:p>
    <w:p>
      <w:pPr>
        <w:jc w:val="both"/>
        <w:ind w:left="760" w:hanging="7"/>
        <w:spacing w:after="0" w:line="295" w:lineRule="auto"/>
        <w:tabs>
          <w:tab w:leader="none" w:pos="1143" w:val="left"/>
        </w:tabs>
        <w:numPr>
          <w:ilvl w:val="0"/>
          <w:numId w:val="53"/>
        </w:numPr>
        <w:rPr>
          <w:rFonts w:ascii="Arial" w:cs="Arial" w:eastAsia="Arial" w:hAnsi="Arial"/>
          <w:sz w:val="19"/>
          <w:szCs w:val="19"/>
          <w:color w:val="auto"/>
        </w:rPr>
      </w:pPr>
      <w:r>
        <w:rPr>
          <w:rFonts w:ascii="Arial" w:cs="Arial" w:eastAsia="Arial" w:hAnsi="Arial"/>
          <w:sz w:val="19"/>
          <w:szCs w:val="19"/>
          <w:color w:val="auto"/>
        </w:rPr>
        <w:t>are Directors as of the date this Plan is approved by the Board, or (B) are elected, or nominated for election, to the Board with the affirmative votes of at least a majority of the Directors and whose election or nomination was not in connection with any transaction described in (i) or (ii) above or in connection with an actual or threatened proxy contest relating to the election of directors of the Company.</w:t>
      </w:r>
    </w:p>
    <w:p>
      <w:pPr>
        <w:spacing w:after="0" w:line="366" w:lineRule="exact"/>
        <w:rPr>
          <w:sz w:val="20"/>
          <w:szCs w:val="20"/>
          <w:color w:val="auto"/>
        </w:rPr>
      </w:pPr>
    </w:p>
    <w:p>
      <w:pPr>
        <w:jc w:val="both"/>
        <w:ind w:left="760"/>
        <w:spacing w:after="0" w:line="260" w:lineRule="auto"/>
        <w:rPr>
          <w:sz w:val="20"/>
          <w:szCs w:val="20"/>
          <w:color w:val="auto"/>
        </w:rPr>
      </w:pPr>
      <w:r>
        <w:rPr>
          <w:rFonts w:ascii="Arial" w:cs="Arial" w:eastAsia="Arial" w:hAnsi="Arial"/>
          <w:sz w:val="21"/>
          <w:szCs w:val="21"/>
          <w:color w:val="auto"/>
        </w:rPr>
        <w:t>Further, if a Change in Control constitutes a payment event with respect to any Award which provides for the deferral of compensation and is subject to Section 409A of the Code, in order to make payment upon such Change in Control, the transaction or event described above with respect to such Award must also constitute a “change in ownership,” a “change in the effective control” or a “change in the ownership of substantial assets” of the Company within the meaning of Treasury Regulation Section 1.409A-3(i)(5) (or any successor provision), and if it does not, payment of such Award will be made pursuant to the Award’s original payment schedule or, if earlier, upon</w:t>
      </w:r>
    </w:p>
    <w:p>
      <w:pPr>
        <w:sectPr>
          <w:pgSz w:w="11900" w:h="16838" w:orient="portrait"/>
          <w:cols w:equalWidth="0" w:num="1">
            <w:col w:w="10220"/>
          </w:cols>
          <w:pgMar w:left="1440" w:top="1320" w:right="239" w:bottom="1440" w:gutter="0" w:footer="0" w:header="0"/>
        </w:sectPr>
      </w:pPr>
    </w:p>
    <w:bookmarkStart w:id="80" w:name="page81"/>
    <w:bookmarkEnd w:id="80"/>
    <w:p>
      <w:pPr>
        <w:ind w:left="1304"/>
        <w:spacing w:after="0"/>
        <w:rPr>
          <w:sz w:val="20"/>
          <w:szCs w:val="20"/>
          <w:color w:val="auto"/>
        </w:rPr>
      </w:pPr>
      <w:r>
        <w:rPr>
          <w:rFonts w:ascii="Arial" w:cs="Arial" w:eastAsia="Arial" w:hAnsi="Arial"/>
          <w:sz w:val="22"/>
          <w:szCs w:val="22"/>
          <w:color w:val="auto"/>
        </w:rPr>
        <w:t>the death of the Participant, unless otherwise provided in the Award Agreement.</w:t>
      </w:r>
    </w:p>
    <w:p>
      <w:pPr>
        <w:spacing w:after="0" w:line="200" w:lineRule="exact"/>
        <w:rPr>
          <w:sz w:val="20"/>
          <w:szCs w:val="20"/>
          <w:color w:val="auto"/>
        </w:rPr>
      </w:pPr>
    </w:p>
    <w:p>
      <w:pPr>
        <w:spacing w:after="0" w:line="236" w:lineRule="exact"/>
        <w:rPr>
          <w:sz w:val="20"/>
          <w:szCs w:val="20"/>
          <w:color w:val="auto"/>
        </w:rPr>
      </w:pPr>
    </w:p>
    <w:p>
      <w:pPr>
        <w:jc w:val="both"/>
        <w:ind w:left="-656" w:firstLine="656"/>
        <w:spacing w:after="0" w:line="312" w:lineRule="auto"/>
        <w:tabs>
          <w:tab w:leader="none" w:pos="595" w:val="left"/>
        </w:tabs>
        <w:numPr>
          <w:ilvl w:val="0"/>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33" w:lineRule="exact"/>
        <w:rPr>
          <w:rFonts w:ascii="Arial" w:cs="Arial" w:eastAsia="Arial" w:hAnsi="Arial"/>
          <w:sz w:val="19"/>
          <w:szCs w:val="19"/>
          <w:color w:val="auto"/>
        </w:rPr>
      </w:pPr>
    </w:p>
    <w:p>
      <w:pPr>
        <w:ind w:left="464" w:hanging="464"/>
        <w:spacing w:after="0"/>
        <w:tabs>
          <w:tab w:leader="none" w:pos="46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appointed by the Board in accordance with Section 4 of the Plan.</w:t>
      </w:r>
    </w:p>
    <w:p>
      <w:pPr>
        <w:spacing w:after="0" w:line="219" w:lineRule="exact"/>
        <w:rPr>
          <w:rFonts w:ascii="Arial" w:cs="Arial" w:eastAsia="Arial" w:hAnsi="Arial"/>
          <w:sz w:val="22"/>
          <w:szCs w:val="22"/>
          <w:color w:val="auto"/>
        </w:rPr>
      </w:pPr>
    </w:p>
    <w:p>
      <w:pPr>
        <w:ind w:left="424" w:hanging="424"/>
        <w:spacing w:after="0"/>
        <w:tabs>
          <w:tab w:leader="none" w:pos="42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w:t>
      </w:r>
    </w:p>
    <w:p>
      <w:pPr>
        <w:spacing w:after="0" w:line="219" w:lineRule="exact"/>
        <w:rPr>
          <w:rFonts w:ascii="Arial" w:cs="Arial" w:eastAsia="Arial" w:hAnsi="Arial"/>
          <w:sz w:val="22"/>
          <w:szCs w:val="22"/>
          <w:color w:val="auto"/>
        </w:rPr>
      </w:pPr>
    </w:p>
    <w:p>
      <w:pPr>
        <w:ind w:left="424" w:hanging="424"/>
        <w:spacing w:after="0"/>
        <w:tabs>
          <w:tab w:leader="none" w:pos="42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Autodesk, Inc., a Delaware corporation, or any successor thereto.</w:t>
      </w:r>
    </w:p>
    <w:p>
      <w:pPr>
        <w:spacing w:after="0" w:line="219" w:lineRule="exact"/>
        <w:rPr>
          <w:rFonts w:ascii="Arial" w:cs="Arial" w:eastAsia="Arial" w:hAnsi="Arial"/>
          <w:sz w:val="22"/>
          <w:szCs w:val="22"/>
          <w:color w:val="auto"/>
        </w:rPr>
      </w:pPr>
    </w:p>
    <w:p>
      <w:pPr>
        <w:ind w:left="-656" w:firstLine="656"/>
        <w:spacing w:after="0" w:line="263" w:lineRule="auto"/>
        <w:tabs>
          <w:tab w:leader="none" w:pos="51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with respect to an Award, the date that the Award is granted and its exercise price is set (if applicable), consistent with Applicable Laws and applicable financial accounting rules.</w:t>
      </w:r>
    </w:p>
    <w:p>
      <w:pPr>
        <w:spacing w:after="0" w:line="174" w:lineRule="exact"/>
        <w:rPr>
          <w:rFonts w:ascii="Arial" w:cs="Arial" w:eastAsia="Arial" w:hAnsi="Arial"/>
          <w:sz w:val="22"/>
          <w:szCs w:val="22"/>
          <w:color w:val="auto"/>
        </w:rPr>
      </w:pPr>
    </w:p>
    <w:p>
      <w:pPr>
        <w:ind w:left="424" w:hanging="424"/>
        <w:spacing w:after="0"/>
        <w:tabs>
          <w:tab w:leader="none" w:pos="42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19" w:lineRule="exact"/>
        <w:rPr>
          <w:rFonts w:ascii="Arial" w:cs="Arial" w:eastAsia="Arial" w:hAnsi="Arial"/>
          <w:sz w:val="22"/>
          <w:szCs w:val="22"/>
          <w:color w:val="auto"/>
        </w:rPr>
      </w:pPr>
    </w:p>
    <w:p>
      <w:pPr>
        <w:jc w:val="both"/>
        <w:ind w:left="-656" w:firstLine="656"/>
        <w:spacing w:after="0" w:line="253" w:lineRule="auto"/>
        <w:tabs>
          <w:tab w:leader="none" w:pos="53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 provided, however, that to the extent necessary to comply with Section 409A of the Code, “Disability” shall have the meaning set forth in Treasury Regulation Section 1.409A-3(i)(4) (or any successor provision).</w:t>
      </w:r>
    </w:p>
    <w:p>
      <w:pPr>
        <w:spacing w:after="0" w:line="185" w:lineRule="exact"/>
        <w:rPr>
          <w:rFonts w:ascii="Arial" w:cs="Arial" w:eastAsia="Arial" w:hAnsi="Arial"/>
          <w:sz w:val="22"/>
          <w:szCs w:val="22"/>
          <w:color w:val="auto"/>
        </w:rPr>
      </w:pPr>
    </w:p>
    <w:p>
      <w:pPr>
        <w:ind w:left="-656" w:firstLine="656"/>
        <w:spacing w:after="0" w:line="263" w:lineRule="auto"/>
        <w:tabs>
          <w:tab w:leader="none" w:pos="595"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Earnings Per Share</w:t>
      </w:r>
      <w:r>
        <w:rPr>
          <w:rFonts w:ascii="Arial" w:cs="Arial" w:eastAsia="Arial" w:hAnsi="Arial"/>
          <w:sz w:val="22"/>
          <w:szCs w:val="22"/>
          <w:color w:val="auto"/>
        </w:rPr>
        <w:t>” means, as to any Performance Period, fully diluted earnings per share of the Company, a business unit or an industry group, as defined by generally accepted accounting principles.</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January 6, 2012.</w:t>
      </w:r>
    </w:p>
    <w:p>
      <w:pPr>
        <w:spacing w:after="0" w:line="219" w:lineRule="exact"/>
        <w:rPr>
          <w:rFonts w:ascii="Arial" w:cs="Arial" w:eastAsia="Arial" w:hAnsi="Arial"/>
          <w:sz w:val="22"/>
          <w:szCs w:val="22"/>
          <w:color w:val="auto"/>
        </w:rPr>
      </w:pPr>
    </w:p>
    <w:p>
      <w:pPr>
        <w:jc w:val="both"/>
        <w:ind w:left="-656" w:firstLine="656"/>
        <w:spacing w:after="0" w:line="292" w:lineRule="auto"/>
        <w:tabs>
          <w:tab w:leader="none" w:pos="474" w:val="left"/>
        </w:tabs>
        <w:numPr>
          <w:ilvl w:val="0"/>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any person employed by the Company or any Parent or Subsidiary of the Company. An Employee shall not cease to be an Employee in the case of (i) any leave of absence approved by the Company or (ii) transfers between locations of the Company or between the Company, its Parent, any Subsidiary, or any successor. For purposes of Incentive Stock Options, no such leave may exceed ninety days, unless reemployment upon expiration of such leave is guaranteed by statute or contract. If reemployment upon expiration of a leave of absence approved by the Company is not so guaranteed, then three (3) months following the 91st day of such leave any Incentive Stock Option held by the Participant shall cease to be treated as an Incentive Stock Option and shall be treated for tax purposes as a Nonstatutory Stock Option.</w:t>
      </w:r>
    </w:p>
    <w:p>
      <w:pPr>
        <w:spacing w:after="0" w:line="151" w:lineRule="exact"/>
        <w:rPr>
          <w:rFonts w:ascii="Arial" w:cs="Arial" w:eastAsia="Arial" w:hAnsi="Arial"/>
          <w:sz w:val="19"/>
          <w:szCs w:val="19"/>
          <w:color w:val="auto"/>
        </w:rPr>
      </w:pPr>
    </w:p>
    <w:p>
      <w:pPr>
        <w:jc w:val="both"/>
        <w:ind w:left="-656" w:firstLine="656"/>
        <w:spacing w:after="0" w:line="253" w:lineRule="auto"/>
        <w:tabs>
          <w:tab w:leader="none" w:pos="582"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Reference to a specific section of the Exchange Act or regulation thereunder shall include such section or regulation, any valid regulation promulgated under such section, and any</w:t>
      </w:r>
    </w:p>
    <w:p>
      <w:pPr>
        <w:sectPr>
          <w:pgSz w:w="11900" w:h="16838" w:orient="portrait"/>
          <w:cols w:equalWidth="0" w:num="1">
            <w:col w:w="10764"/>
          </w:cols>
          <w:pgMar w:left="896" w:top="847" w:right="239" w:bottom="1440" w:gutter="0" w:footer="0" w:header="0"/>
        </w:sectPr>
      </w:pPr>
    </w:p>
    <w:bookmarkStart w:id="81" w:name="page82"/>
    <w:bookmarkEnd w:id="81"/>
    <w:p>
      <w:pPr>
        <w:spacing w:after="0"/>
        <w:rPr>
          <w:sz w:val="20"/>
          <w:szCs w:val="20"/>
          <w:color w:val="auto"/>
        </w:rPr>
      </w:pPr>
      <w:r>
        <w:rPr>
          <w:rFonts w:ascii="Arial" w:cs="Arial" w:eastAsia="Arial" w:hAnsi="Arial"/>
          <w:sz w:val="19"/>
          <w:szCs w:val="19"/>
          <w:color w:val="auto"/>
        </w:rPr>
        <w:t>comparable provision of any future legislation or regulation amending, supplementing or superseding such section or regulation.</w:t>
      </w:r>
    </w:p>
    <w:p>
      <w:pPr>
        <w:spacing w:after="0" w:line="254"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the value of Common Stock determined as follows:</w:t>
      </w:r>
    </w:p>
    <w:p>
      <w:pPr>
        <w:spacing w:after="0" w:line="201" w:lineRule="exact"/>
        <w:rPr>
          <w:rFonts w:ascii="Arial" w:cs="Arial" w:eastAsia="Arial" w:hAnsi="Arial"/>
          <w:sz w:val="22"/>
          <w:szCs w:val="22"/>
          <w:color w:val="auto"/>
        </w:rPr>
      </w:pPr>
    </w:p>
    <w:p>
      <w:pPr>
        <w:jc w:val="both"/>
        <w:ind w:firstLine="1305"/>
        <w:spacing w:after="0" w:line="270" w:lineRule="auto"/>
        <w:tabs>
          <w:tab w:leader="none" w:pos="1680" w:val="left"/>
        </w:tabs>
        <w:numPr>
          <w:ilvl w:val="1"/>
          <w:numId w:val="55"/>
        </w:numPr>
        <w:rPr>
          <w:rFonts w:ascii="Arial" w:cs="Arial" w:eastAsia="Arial" w:hAnsi="Arial"/>
          <w:sz w:val="21"/>
          <w:szCs w:val="21"/>
          <w:color w:val="auto"/>
        </w:rPr>
      </w:pPr>
      <w:r>
        <w:rPr>
          <w:rFonts w:ascii="Arial" w:cs="Arial" w:eastAsia="Arial" w:hAnsi="Arial"/>
          <w:sz w:val="22"/>
          <w:szCs w:val="22"/>
          <w:color w:val="auto"/>
        </w:rPr>
        <w:t>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closing sales price for such stock (or the closing bid, if no sales were reported) as quoted on such system or exchange (or the exchange with the greatest volume of trading in Common Stock) on the day of determination; or</w:t>
      </w:r>
    </w:p>
    <w:p>
      <w:pPr>
        <w:spacing w:after="0" w:line="157" w:lineRule="exact"/>
        <w:rPr>
          <w:rFonts w:ascii="Arial" w:cs="Arial" w:eastAsia="Arial" w:hAnsi="Arial"/>
          <w:sz w:val="21"/>
          <w:szCs w:val="21"/>
          <w:color w:val="auto"/>
        </w:rPr>
      </w:pPr>
    </w:p>
    <w:p>
      <w:pPr>
        <w:ind w:firstLine="1305"/>
        <w:spacing w:after="0" w:line="288" w:lineRule="auto"/>
        <w:tabs>
          <w:tab w:leader="none" w:pos="1903" w:val="left"/>
        </w:tabs>
        <w:numPr>
          <w:ilvl w:val="1"/>
          <w:numId w:val="55"/>
        </w:numPr>
        <w:rPr>
          <w:rFonts w:ascii="Arial" w:cs="Arial" w:eastAsia="Arial" w:hAnsi="Arial"/>
          <w:sz w:val="22"/>
          <w:szCs w:val="22"/>
          <w:color w:val="auto"/>
        </w:rPr>
      </w:pPr>
      <w:r>
        <w:rPr>
          <w:rFonts w:ascii="Arial" w:cs="Arial" w:eastAsia="Arial" w:hAnsi="Arial"/>
          <w:sz w:val="23"/>
          <w:szCs w:val="23"/>
          <w:color w:val="auto"/>
        </w:rPr>
        <w:t>In the absence of an established market for the Common Stock, the Fair Market Value shall be determined in good faith by the Administrator.</w:t>
      </w:r>
    </w:p>
    <w:p>
      <w:pPr>
        <w:spacing w:after="0" w:line="153" w:lineRule="exact"/>
        <w:rPr>
          <w:rFonts w:ascii="Arial" w:cs="Arial" w:eastAsia="Arial" w:hAnsi="Arial"/>
          <w:sz w:val="22"/>
          <w:szCs w:val="22"/>
          <w:color w:val="auto"/>
        </w:rPr>
      </w:pPr>
    </w:p>
    <w:p>
      <w:pPr>
        <w:ind w:firstLine="1305"/>
        <w:spacing w:after="0" w:line="287" w:lineRule="auto"/>
        <w:tabs>
          <w:tab w:leader="none" w:pos="1932" w:val="left"/>
        </w:tabs>
        <w:numPr>
          <w:ilvl w:val="1"/>
          <w:numId w:val="55"/>
        </w:numPr>
        <w:rPr>
          <w:rFonts w:ascii="Arial" w:cs="Arial" w:eastAsia="Arial" w:hAnsi="Arial"/>
          <w:sz w:val="21"/>
          <w:szCs w:val="21"/>
          <w:color w:val="auto"/>
        </w:rPr>
      </w:pPr>
      <w:r>
        <w:rPr>
          <w:rFonts w:ascii="Arial" w:cs="Arial" w:eastAsia="Arial" w:hAnsi="Arial"/>
          <w:sz w:val="21"/>
          <w:szCs w:val="21"/>
          <w:color w:val="auto"/>
        </w:rPr>
        <w:t>If Fair Market Value is to be determined as of a date which is not a date on which the Common Stock is traded, then the Fair Market Value on such date shall be the Fair Market Value on the next subsequent trading date.</w:t>
      </w:r>
    </w:p>
    <w:p>
      <w:pPr>
        <w:spacing w:after="0" w:line="151" w:lineRule="exact"/>
        <w:rPr>
          <w:rFonts w:ascii="Arial" w:cs="Arial" w:eastAsia="Arial" w:hAnsi="Arial"/>
          <w:sz w:val="21"/>
          <w:szCs w:val="21"/>
          <w:color w:val="auto"/>
        </w:rPr>
      </w:pPr>
    </w:p>
    <w:p>
      <w:pPr>
        <w:ind w:left="1100" w:hanging="444"/>
        <w:spacing w:after="0"/>
        <w:tabs>
          <w:tab w:leader="none" w:pos="11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 fiscal year of the Company.</w:t>
      </w:r>
    </w:p>
    <w:p>
      <w:pPr>
        <w:spacing w:after="0" w:line="219" w:lineRule="exact"/>
        <w:rPr>
          <w:rFonts w:ascii="Arial" w:cs="Arial" w:eastAsia="Arial" w:hAnsi="Arial"/>
          <w:sz w:val="22"/>
          <w:szCs w:val="22"/>
          <w:color w:val="auto"/>
        </w:rPr>
      </w:pPr>
    </w:p>
    <w:p>
      <w:pPr>
        <w:ind w:firstLine="656"/>
        <w:spacing w:after="0" w:line="263" w:lineRule="auto"/>
        <w:tabs>
          <w:tab w:leader="none" w:pos="1163"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intended to qualify as an incentive stock option within the meaning of Section 422 of the Code and the regulations promulgated thereunder.</w:t>
      </w:r>
    </w:p>
    <w:p>
      <w:pPr>
        <w:spacing w:after="0" w:line="174" w:lineRule="exact"/>
        <w:rPr>
          <w:rFonts w:ascii="Arial" w:cs="Arial" w:eastAsia="Arial" w:hAnsi="Arial"/>
          <w:sz w:val="22"/>
          <w:szCs w:val="22"/>
          <w:color w:val="auto"/>
        </w:rPr>
      </w:pPr>
    </w:p>
    <w:p>
      <w:pPr>
        <w:ind w:firstLine="656"/>
        <w:spacing w:after="0" w:line="263" w:lineRule="auto"/>
        <w:tabs>
          <w:tab w:leader="none" w:pos="1251"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Income</w:t>
      </w:r>
      <w:r>
        <w:rPr>
          <w:rFonts w:ascii="Arial" w:cs="Arial" w:eastAsia="Arial" w:hAnsi="Arial"/>
          <w:sz w:val="22"/>
          <w:szCs w:val="22"/>
          <w:color w:val="auto"/>
        </w:rPr>
        <w:t>” means, as to any Performance Period, net income for the Performance Period of the Company, a business unit or an industry group, as defined by generally accepted accounting principles.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Nonqualified Stock Option</w:t>
      </w:r>
      <w:r>
        <w:rPr>
          <w:rFonts w:ascii="Arial" w:cs="Arial" w:eastAsia="Arial" w:hAnsi="Arial"/>
          <w:sz w:val="22"/>
          <w:szCs w:val="22"/>
          <w:color w:val="auto"/>
        </w:rPr>
        <w:t>” means an Option not intended to qualify as an Incentive Stock Option.</w:t>
      </w:r>
    </w:p>
    <w:p>
      <w:pPr>
        <w:spacing w:after="0" w:line="219" w:lineRule="exact"/>
        <w:rPr>
          <w:rFonts w:ascii="Arial" w:cs="Arial" w:eastAsia="Arial" w:hAnsi="Arial"/>
          <w:sz w:val="22"/>
          <w:szCs w:val="22"/>
          <w:color w:val="auto"/>
        </w:rPr>
      </w:pPr>
    </w:p>
    <w:p>
      <w:pPr>
        <w:ind w:firstLine="656"/>
        <w:spacing w:after="0" w:line="263" w:lineRule="auto"/>
        <w:tabs>
          <w:tab w:leader="none" w:pos="1286"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Grant</w:t>
      </w:r>
      <w:r>
        <w:rPr>
          <w:rFonts w:ascii="Arial" w:cs="Arial" w:eastAsia="Arial" w:hAnsi="Arial"/>
          <w:sz w:val="22"/>
          <w:szCs w:val="22"/>
          <w:color w:val="auto"/>
        </w:rPr>
        <w:t>” means a written or electronic notice evidencing certain terms and conditions of an individual Award. The Notice of Grant is part of the Award Agreement.</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Margins</w:t>
      </w:r>
      <w:r>
        <w:rPr>
          <w:rFonts w:ascii="Arial" w:cs="Arial" w:eastAsia="Arial" w:hAnsi="Arial"/>
          <w:sz w:val="22"/>
          <w:szCs w:val="22"/>
          <w:color w:val="auto"/>
        </w:rPr>
        <w:t>” means the ratio of Operating Income to Revenue.</w:t>
      </w:r>
    </w:p>
    <w:p>
      <w:pPr>
        <w:spacing w:after="0" w:line="219" w:lineRule="exact"/>
        <w:rPr>
          <w:rFonts w:ascii="Arial" w:cs="Arial" w:eastAsia="Arial" w:hAnsi="Arial"/>
          <w:sz w:val="22"/>
          <w:szCs w:val="22"/>
          <w:color w:val="auto"/>
        </w:rPr>
      </w:pPr>
    </w:p>
    <w:p>
      <w:pPr>
        <w:ind w:firstLine="656"/>
        <w:spacing w:after="0" w:line="263" w:lineRule="auto"/>
        <w:tabs>
          <w:tab w:leader="none" w:pos="1143"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Income</w:t>
      </w:r>
      <w:r>
        <w:rPr>
          <w:rFonts w:ascii="Arial" w:cs="Arial" w:eastAsia="Arial" w:hAnsi="Arial"/>
          <w:sz w:val="22"/>
          <w:szCs w:val="22"/>
          <w:color w:val="auto"/>
        </w:rPr>
        <w:t>” means income from operations of the Company, a business unit or an industry group, as defined by generally accepted accounting principles.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an Incentive Stock Option or Nonqualified Stock Option granted pursuant to the Plan.</w:t>
      </w:r>
    </w:p>
    <w:p>
      <w:pPr>
        <w:spacing w:after="0" w:line="220" w:lineRule="exact"/>
        <w:rPr>
          <w:sz w:val="20"/>
          <w:szCs w:val="20"/>
          <w:color w:val="auto"/>
        </w:rPr>
      </w:pPr>
    </w:p>
    <w:p>
      <w:pPr>
        <w:ind w:left="1200" w:hanging="544"/>
        <w:spacing w:after="0"/>
        <w:tabs>
          <w:tab w:leader="none" w:pos="12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 Code.</w:t>
      </w:r>
    </w:p>
    <w:p>
      <w:pPr>
        <w:sectPr>
          <w:pgSz w:w="11900" w:h="16838" w:orient="portrait"/>
          <w:cols w:equalWidth="0" w:num="1">
            <w:col w:w="11420"/>
          </w:cols>
          <w:pgMar w:left="240" w:top="847" w:right="239" w:bottom="1440" w:gutter="0" w:footer="0" w:header="0"/>
        </w:sectPr>
      </w:pPr>
    </w:p>
    <w:bookmarkStart w:id="82" w:name="page83"/>
    <w:bookmarkEnd w:id="82"/>
    <w:p>
      <w:pPr>
        <w:ind w:left="1240" w:hanging="584"/>
        <w:spacing w:after="0"/>
        <w:tabs>
          <w:tab w:leader="none" w:pos="1240" w:val="left"/>
        </w:tabs>
        <w:numPr>
          <w:ilvl w:val="1"/>
          <w:numId w:val="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the holder of an outstanding Award granted under the Plan.</w:t>
      </w:r>
    </w:p>
    <w:p>
      <w:pPr>
        <w:spacing w:after="0" w:line="219" w:lineRule="exact"/>
        <w:rPr>
          <w:rFonts w:ascii="Arial" w:cs="Arial" w:eastAsia="Arial" w:hAnsi="Arial"/>
          <w:sz w:val="22"/>
          <w:szCs w:val="22"/>
          <w:color w:val="auto"/>
        </w:rPr>
      </w:pPr>
    </w:p>
    <w:p>
      <w:pPr>
        <w:jc w:val="both"/>
        <w:ind w:firstLine="656"/>
        <w:spacing w:after="0" w:line="283" w:lineRule="auto"/>
        <w:tabs>
          <w:tab w:leader="none" w:pos="1241" w:val="left"/>
        </w:tabs>
        <w:numPr>
          <w:ilvl w:val="1"/>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Goals</w:t>
      </w:r>
      <w:r>
        <w:rPr>
          <w:rFonts w:ascii="Arial" w:cs="Arial" w:eastAsia="Arial" w:hAnsi="Arial"/>
          <w:sz w:val="19"/>
          <w:szCs w:val="19"/>
          <w:color w:val="auto"/>
        </w:rPr>
        <w:t>” means the goal(s) (or combined goal(s)) determined by the Administrator (in its discretion) to be applicable to a Participant with respect to Awards of Restricted Stock or Restricted Stock Units. Such Performance Goals may be made applicable to Awards which are intended to comply with Section 162(m) of the Code, as well as Awards which not intended to comply with Section 162(m) of the Code. As determined by the Administrator, the Performance Goals applicable to an Award may provide for a targeted level or levels of achievement using one or more of the following measures: (a) Revenue, (b) Earnings Per Share, (c) Net Income, (d) Operating Margins, (e) Total Stockholder Return, (f) recurring revenue (including annualized), (g) bookings, (h) billings, (i) number of customers, (j) objective customer indicators, (k) expenses, (l) cost reduction goals, (m) economic value added, (n) cash flow (including operating cash flow or free cash flow), (o) cash flow per share, and (p) sales or revenue targets, including product or product family targets. The Performance Goals may differ from Participant to Participant and from Award to Award. Any criteria used may be measured, as applicable, (i) on Pro Forma numbers, (ii) in absolute terms, (iii) in relative terms (including, but not limited, the passage of time and/or against other companies or financial metrics),</w:t>
      </w:r>
    </w:p>
    <w:p>
      <w:pPr>
        <w:spacing w:after="0" w:line="6" w:lineRule="exact"/>
        <w:rPr>
          <w:rFonts w:ascii="Arial" w:cs="Arial" w:eastAsia="Arial" w:hAnsi="Arial"/>
          <w:sz w:val="19"/>
          <w:szCs w:val="19"/>
          <w:color w:val="auto"/>
        </w:rPr>
      </w:pPr>
    </w:p>
    <w:p>
      <w:pPr>
        <w:jc w:val="both"/>
        <w:ind w:firstLine="8"/>
        <w:spacing w:after="0" w:line="243" w:lineRule="auto"/>
        <w:tabs>
          <w:tab w:leader="none" w:pos="396" w:val="left"/>
        </w:tabs>
        <w:numPr>
          <w:ilvl w:val="0"/>
          <w:numId w:val="58"/>
        </w:numPr>
        <w:rPr>
          <w:rFonts w:ascii="Arial" w:cs="Arial" w:eastAsia="Arial" w:hAnsi="Arial"/>
          <w:sz w:val="22"/>
          <w:szCs w:val="22"/>
          <w:color w:val="auto"/>
        </w:rPr>
      </w:pPr>
      <w:r>
        <w:rPr>
          <w:rFonts w:ascii="Arial" w:cs="Arial" w:eastAsia="Arial" w:hAnsi="Arial"/>
          <w:sz w:val="22"/>
          <w:szCs w:val="22"/>
          <w:color w:val="auto"/>
        </w:rPr>
        <w:t>on a per share and/or share per capita basis, (v) against the performance of the Company as a whole or against particular segments, business units, industry groups or products of the Company and/or (vi) on a pre-tax or after-tax basis. Prior to the date on which such Performance Goals are determined, the Administrator shall stipulate whether any element(s) (for example, but not by way of limitation, the effect of mergers or acquisitions) shall be included in or excluded from the calculation of any Performance Goal with respect to any Participants (notwithstanding any other provision of the Plan, whether or not such determinations result in any Performance Goal being measured on a basis other than generally accepted accounting principles). Such stipulation may also be made after the date such Performance Goals are determined to the extent that such stipulation would not violate Section 162(m) of the Code.</w:t>
      </w:r>
    </w:p>
    <w:p>
      <w:pPr>
        <w:spacing w:after="0" w:line="201" w:lineRule="exact"/>
        <w:rPr>
          <w:rFonts w:ascii="Arial" w:cs="Arial" w:eastAsia="Arial" w:hAnsi="Arial"/>
          <w:sz w:val="22"/>
          <w:szCs w:val="22"/>
          <w:color w:val="auto"/>
        </w:rPr>
      </w:pPr>
    </w:p>
    <w:p>
      <w:pPr>
        <w:ind w:left="1300" w:hanging="644"/>
        <w:spacing w:after="0"/>
        <w:tabs>
          <w:tab w:leader="none" w:pos="13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means any Fiscal Year or such longer period as determined by the Administrator in its sole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discretion.</w:t>
      </w:r>
    </w:p>
    <w:p>
      <w:pPr>
        <w:spacing w:after="0" w:line="201" w:lineRule="exact"/>
        <w:rPr>
          <w:rFonts w:ascii="Arial" w:cs="Arial" w:eastAsia="Arial" w:hAnsi="Arial"/>
          <w:sz w:val="19"/>
          <w:szCs w:val="19"/>
          <w:color w:val="auto"/>
        </w:rPr>
      </w:pPr>
    </w:p>
    <w:p>
      <w:pPr>
        <w:jc w:val="both"/>
        <w:ind w:firstLine="656"/>
        <w:spacing w:after="0" w:line="250" w:lineRule="auto"/>
        <w:tabs>
          <w:tab w:leader="none" w:pos="1322" w:val="left"/>
        </w:tabs>
        <w:numPr>
          <w:ilvl w:val="1"/>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Period of Restriction</w:t>
      </w:r>
      <w:r>
        <w:rPr>
          <w:rFonts w:ascii="Arial" w:cs="Arial" w:eastAsia="Arial" w:hAnsi="Arial"/>
          <w:sz w:val="22"/>
          <w:szCs w:val="22"/>
          <w:color w:val="auto"/>
        </w:rPr>
        <w:t>” means the period during which the transfer of Shares of Restricted Stock are subject to restrictions and therefore, the Shares are subject to a substantial risk of forfeiture. As provided in Section 9, such restrictions may be based on the passage of time, the achievement of target levels of performance, or the occurrence of other events as determined by the Administrator, in its discretion.</w:t>
      </w:r>
    </w:p>
    <w:p>
      <w:pPr>
        <w:spacing w:after="0" w:line="188" w:lineRule="exact"/>
        <w:rPr>
          <w:rFonts w:ascii="Arial" w:cs="Arial" w:eastAsia="Arial" w:hAnsi="Arial"/>
          <w:sz w:val="22"/>
          <w:szCs w:val="22"/>
          <w:color w:val="auto"/>
        </w:rPr>
      </w:pPr>
    </w:p>
    <w:p>
      <w:pPr>
        <w:ind w:left="1200" w:hanging="544"/>
        <w:spacing w:after="0"/>
        <w:tabs>
          <w:tab w:leader="none" w:pos="12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2012 Employee Stock Plan, as set forth in this instrument and as hereafter amended from time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w:t>
      </w:r>
    </w:p>
    <w:p>
      <w:pPr>
        <w:spacing w:after="0" w:line="201" w:lineRule="exact"/>
        <w:rPr>
          <w:rFonts w:ascii="Arial" w:cs="Arial" w:eastAsia="Arial" w:hAnsi="Arial"/>
          <w:sz w:val="19"/>
          <w:szCs w:val="19"/>
          <w:color w:val="auto"/>
        </w:rPr>
      </w:pPr>
    </w:p>
    <w:p>
      <w:pPr>
        <w:jc w:val="both"/>
        <w:ind w:firstLine="656"/>
        <w:spacing w:after="0" w:line="248" w:lineRule="auto"/>
        <w:tabs>
          <w:tab w:leader="none" w:pos="1278" w:val="left"/>
        </w:tabs>
        <w:numPr>
          <w:ilvl w:val="1"/>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w:t>
      </w:r>
      <w:r>
        <w:rPr>
          <w:rFonts w:ascii="Arial" w:cs="Arial" w:eastAsia="Arial" w:hAnsi="Arial"/>
          <w:sz w:val="22"/>
          <w:szCs w:val="22"/>
          <w:color w:val="auto"/>
        </w:rPr>
        <w:t>” means calculation of a Performance Goal in a manner that excludes certain non-recurring, unusual or non-cash expenses or credits, such as restructuring expenses, extraordinary tax events, expenses or credits related to equity compensation or the like, acquisition related expenses and charges, extraordinary items, income or loss from discontinued operations, and/or gains or losses from early extinguishment of debt instead of conforming to generally accepted accounting principles.</w:t>
      </w:r>
    </w:p>
    <w:p>
      <w:pPr>
        <w:sectPr>
          <w:pgSz w:w="11900" w:h="16838" w:orient="portrait"/>
          <w:cols w:equalWidth="0" w:num="1">
            <w:col w:w="11420"/>
          </w:cols>
          <w:pgMar w:left="240" w:top="847" w:right="239" w:bottom="1440" w:gutter="0" w:footer="0" w:header="0"/>
        </w:sectPr>
      </w:pPr>
    </w:p>
    <w:bookmarkStart w:id="83" w:name="page84"/>
    <w:bookmarkEnd w:id="83"/>
    <w:p>
      <w:pPr>
        <w:ind w:left="1240" w:hanging="584"/>
        <w:spacing w:after="0"/>
        <w:tabs>
          <w:tab w:leader="none" w:pos="1240" w:val="left"/>
        </w:tabs>
        <w:numPr>
          <w:ilvl w:val="1"/>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an Award granted to a Participant pursuant to Section 9.</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1"/>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an Award granted to a Participant pursuant to Section 10.</w:t>
      </w:r>
    </w:p>
    <w:p>
      <w:pPr>
        <w:spacing w:after="0" w:line="219" w:lineRule="exact"/>
        <w:rPr>
          <w:rFonts w:ascii="Arial" w:cs="Arial" w:eastAsia="Arial" w:hAnsi="Arial"/>
          <w:sz w:val="22"/>
          <w:szCs w:val="22"/>
          <w:color w:val="auto"/>
        </w:rPr>
      </w:pPr>
    </w:p>
    <w:p>
      <w:pPr>
        <w:ind w:firstLine="656"/>
        <w:spacing w:after="0" w:line="263" w:lineRule="auto"/>
        <w:tabs>
          <w:tab w:leader="none" w:pos="1236" w:val="left"/>
        </w:tabs>
        <w:numPr>
          <w:ilvl w:val="1"/>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Revenue</w:t>
      </w:r>
      <w:r>
        <w:rPr>
          <w:rFonts w:ascii="Arial" w:cs="Arial" w:eastAsia="Arial" w:hAnsi="Arial"/>
          <w:sz w:val="22"/>
          <w:szCs w:val="22"/>
          <w:color w:val="auto"/>
        </w:rPr>
        <w:t>” means net sales for the Performance Period of the Company, a business unit or an industry group, as defined by generally accepted accounting principles.</w:t>
      </w:r>
    </w:p>
    <w:p>
      <w:pPr>
        <w:spacing w:after="0" w:line="174" w:lineRule="exact"/>
        <w:rPr>
          <w:rFonts w:ascii="Arial" w:cs="Arial" w:eastAsia="Arial" w:hAnsi="Arial"/>
          <w:sz w:val="22"/>
          <w:szCs w:val="22"/>
          <w:color w:val="auto"/>
        </w:rPr>
      </w:pPr>
    </w:p>
    <w:p>
      <w:pPr>
        <w:ind w:firstLine="656"/>
        <w:spacing w:after="0" w:line="263" w:lineRule="auto"/>
        <w:tabs>
          <w:tab w:leader="none" w:pos="1251" w:val="left"/>
        </w:tabs>
        <w:numPr>
          <w:ilvl w:val="1"/>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of the Exchange Act or any successor to Rule 16b-3, as in effect when discretion is being exercised with respect to the Plan.</w:t>
      </w:r>
    </w:p>
    <w:p>
      <w:pPr>
        <w:spacing w:after="0" w:line="174" w:lineRule="exact"/>
        <w:rPr>
          <w:rFonts w:ascii="Arial" w:cs="Arial" w:eastAsia="Arial" w:hAnsi="Arial"/>
          <w:sz w:val="22"/>
          <w:szCs w:val="22"/>
          <w:color w:val="auto"/>
        </w:rPr>
      </w:pPr>
    </w:p>
    <w:p>
      <w:pPr>
        <w:ind w:left="1140" w:hanging="484"/>
        <w:spacing w:after="0"/>
        <w:tabs>
          <w:tab w:leader="none" w:pos="1140" w:val="left"/>
        </w:tabs>
        <w:numPr>
          <w:ilvl w:val="1"/>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16(b)</w:t>
      </w:r>
      <w:r>
        <w:rPr>
          <w:rFonts w:ascii="Arial" w:cs="Arial" w:eastAsia="Arial" w:hAnsi="Arial"/>
          <w:sz w:val="22"/>
          <w:szCs w:val="22"/>
          <w:color w:val="auto"/>
        </w:rPr>
        <w:t>” means Section 16(b) of the Securities Exchange Act of 1934, as amended.</w:t>
      </w:r>
    </w:p>
    <w:p>
      <w:pPr>
        <w:spacing w:after="0" w:line="219" w:lineRule="exact"/>
        <w:rPr>
          <w:rFonts w:ascii="Arial" w:cs="Arial" w:eastAsia="Arial" w:hAnsi="Arial"/>
          <w:sz w:val="22"/>
          <w:szCs w:val="22"/>
          <w:color w:val="auto"/>
        </w:rPr>
      </w:pPr>
    </w:p>
    <w:p>
      <w:pPr>
        <w:ind w:left="1360" w:hanging="704"/>
        <w:spacing w:after="0"/>
        <w:tabs>
          <w:tab w:leader="none" w:pos="1360" w:val="left"/>
        </w:tabs>
        <w:numPr>
          <w:ilvl w:val="1"/>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the Common Stock, as adjusted in accordance with Section 13 of the Plan.</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1"/>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 Section 424(f)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01" w:lineRule="exact"/>
        <w:rPr>
          <w:rFonts w:ascii="Arial" w:cs="Arial" w:eastAsia="Arial" w:hAnsi="Arial"/>
          <w:sz w:val="19"/>
          <w:szCs w:val="19"/>
          <w:color w:val="auto"/>
        </w:rPr>
      </w:pPr>
    </w:p>
    <w:p>
      <w:pPr>
        <w:ind w:firstLine="656"/>
        <w:spacing w:after="0" w:line="263" w:lineRule="auto"/>
        <w:tabs>
          <w:tab w:leader="none" w:pos="1292" w:val="left"/>
        </w:tabs>
        <w:numPr>
          <w:ilvl w:val="1"/>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Stockholder Return</w:t>
      </w:r>
      <w:r>
        <w:rPr>
          <w:rFonts w:ascii="Arial" w:cs="Arial" w:eastAsia="Arial" w:hAnsi="Arial"/>
          <w:sz w:val="22"/>
          <w:szCs w:val="22"/>
          <w:color w:val="auto"/>
        </w:rPr>
        <w:t>” means the total return (change in share price plus reinvestment of any dividends) of a share of the Company’s common stock.</w:t>
      </w:r>
    </w:p>
    <w:p>
      <w:pPr>
        <w:spacing w:after="0" w:line="174" w:lineRule="exact"/>
        <w:rPr>
          <w:rFonts w:ascii="Arial" w:cs="Arial" w:eastAsia="Arial" w:hAnsi="Arial"/>
          <w:sz w:val="22"/>
          <w:szCs w:val="22"/>
          <w:color w:val="auto"/>
        </w:rPr>
      </w:pPr>
    </w:p>
    <w:p>
      <w:pPr>
        <w:ind w:left="820" w:hanging="569"/>
        <w:spacing w:after="0"/>
        <w:tabs>
          <w:tab w:leader="none" w:pos="82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90" w:lineRule="auto"/>
        <w:tabs>
          <w:tab w:leader="none" w:pos="1161" w:val="left"/>
        </w:tabs>
        <w:numPr>
          <w:ilvl w:val="1"/>
          <w:numId w:val="60"/>
        </w:numPr>
        <w:rPr>
          <w:rFonts w:ascii="Arial" w:cs="Arial" w:eastAsia="Arial" w:hAnsi="Arial"/>
          <w:sz w:val="19"/>
          <w:szCs w:val="19"/>
          <w:color w:val="auto"/>
        </w:rPr>
      </w:pPr>
      <w:r>
        <w:rPr>
          <w:rFonts w:ascii="Arial" w:cs="Arial" w:eastAsia="Arial" w:hAnsi="Arial"/>
          <w:sz w:val="19"/>
          <w:szCs w:val="19"/>
          <w:color w:val="auto"/>
        </w:rPr>
        <w:t>Subject to the provisions of Section 13 of the Plan, the maximum aggregate number of Shares which may be issued under the Plan is equal to 42,750,000 Shares plus that number of Shares remaining for issuance under the 2008 Employee Stock Plan as of January 6, 2012, not to exceed 8,500,000 Shares, plus that number of Shares that are subject to equity awards granted under the 2008 Employee Stock Plan, the 2008 Employee Stock Plan (as amended and restated), the 2006 Employee Stock Plan and the 1996 Stock Plan (collectively, the “Prior Plans”) which are outstanding as of January 6, 2012, not to exceed 6,000,000 Shares, and thereafter terminate, expire, lapse or are forfeited for any reason and which following the termination, expiration, lapse or forfeiture of such awards do not again become available for issuance under the Prior Plans, with the maximum aggregate total of Shares which may be issued under the Plan not to exceed 57,250,000 Shares.</w:t>
      </w:r>
    </w:p>
    <w:p>
      <w:pPr>
        <w:spacing w:after="0" w:line="156" w:lineRule="exact"/>
        <w:rPr>
          <w:rFonts w:ascii="Arial" w:cs="Arial" w:eastAsia="Arial" w:hAnsi="Arial"/>
          <w:sz w:val="19"/>
          <w:szCs w:val="19"/>
          <w:color w:val="auto"/>
        </w:rPr>
      </w:pPr>
    </w:p>
    <w:p>
      <w:pPr>
        <w:jc w:val="both"/>
        <w:ind w:firstLine="656"/>
        <w:spacing w:after="0" w:line="292" w:lineRule="auto"/>
        <w:tabs>
          <w:tab w:leader="none" w:pos="1116"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Shares may be authorized, but unissued, or reacquired Common Stock. Subject to Section 3(c) hereof, if an Award expires or becomes unexercisable without having been exercised in full, or with respect to Restricted Stock or Restricted Stock Units, is forfeited to or repurchased by the Company, the unpurchased Shares (or for Awards other than Options, the forfeited or repurchased Shares) which were subject thereto will become available for future grant or sale under the Plan (unless the Plan has terminated). Shares that have actually been issued under the Plan under any Award will not be returned to the Plan and will not become available for future distribution under the Plan; provided, however, that if unvested Shares of Restricted Stock or Restricted Stock Units are repurchased by the Company or are forfeited to the Company, such Shares will become available for future</w:t>
      </w:r>
    </w:p>
    <w:p>
      <w:pPr>
        <w:sectPr>
          <w:pgSz w:w="11900" w:h="16838" w:orient="portrait"/>
          <w:cols w:equalWidth="0" w:num="1">
            <w:col w:w="11420"/>
          </w:cols>
          <w:pgMar w:left="240" w:top="847" w:right="239" w:bottom="1440" w:gutter="0" w:footer="0" w:header="0"/>
        </w:sectPr>
      </w:pPr>
    </w:p>
    <w:bookmarkStart w:id="84" w:name="page85"/>
    <w:bookmarkEnd w:id="84"/>
    <w:p>
      <w:pPr>
        <w:jc w:val="both"/>
        <w:spacing w:after="0" w:line="292" w:lineRule="auto"/>
        <w:rPr>
          <w:sz w:val="20"/>
          <w:szCs w:val="20"/>
          <w:color w:val="auto"/>
        </w:rPr>
      </w:pPr>
      <w:r>
        <w:rPr>
          <w:rFonts w:ascii="Arial" w:cs="Arial" w:eastAsia="Arial" w:hAnsi="Arial"/>
          <w:sz w:val="19"/>
          <w:szCs w:val="19"/>
          <w:color w:val="auto"/>
        </w:rPr>
        <w:t>grant under the Plan. Shares used to pay the tax and exercise price of an Award will not become available for future grant or sale under the Plan. Any Shares repurchased by the Company with the proceeds from the exercise of Options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provided in Section 13, the maximum number of Shares that may be issued upon the exercise of Incentive Stock Options shall equal the aggregate Share number stated in Section 3(a), plus, to the extent allowable under Section 422 of the Code, any Shares that become available for issuance under the Plan under this Section 3(b).</w:t>
      </w:r>
    </w:p>
    <w:p>
      <w:pPr>
        <w:spacing w:after="0" w:line="151" w:lineRule="exact"/>
        <w:rPr>
          <w:sz w:val="20"/>
          <w:szCs w:val="20"/>
          <w:color w:val="auto"/>
        </w:rPr>
      </w:pPr>
    </w:p>
    <w:p>
      <w:pPr>
        <w:jc w:val="both"/>
        <w:ind w:firstLine="656"/>
        <w:spacing w:after="0" w:line="294" w:lineRule="auto"/>
        <w:tabs>
          <w:tab w:leader="none" w:pos="1215" w:val="left"/>
        </w:tabs>
        <w:numPr>
          <w:ilvl w:val="1"/>
          <w:numId w:val="61"/>
        </w:numPr>
        <w:rPr>
          <w:rFonts w:ascii="Arial" w:cs="Arial" w:eastAsia="Arial" w:hAnsi="Arial"/>
          <w:sz w:val="19"/>
          <w:szCs w:val="19"/>
          <w:color w:val="auto"/>
        </w:rPr>
      </w:pPr>
      <w:r>
        <w:rPr>
          <w:rFonts w:ascii="Arial" w:cs="Arial" w:eastAsia="Arial" w:hAnsi="Arial"/>
          <w:sz w:val="19"/>
          <w:szCs w:val="19"/>
          <w:color w:val="auto"/>
        </w:rPr>
        <w:t>Notwithstanding anything to the contrary, each Share subject to an Incentive Stock Option or Nonqualified Stock Option shall be counted against the Shares authorized for issuance under the Plan as one Share. Each Share subject to an Award of Restricted Stock or Restricted Stock Units shall be counted against the Shares authorized for issuance under the Plan as 1.79 Shares. Each Share which is subject to an Award of Restricted Stock or Restricted Stock Units granted under the Plan which is forfeited to or repurchased by the Company pursuant to Section 3(b) hereof shall count as having returned 1.79 Shares to the total of number of Shares which are available for future grant or sale under the Plan.</w:t>
      </w:r>
    </w:p>
    <w:p>
      <w:pPr>
        <w:spacing w:after="0" w:line="149" w:lineRule="exact"/>
        <w:rPr>
          <w:rFonts w:ascii="Arial" w:cs="Arial" w:eastAsia="Arial" w:hAnsi="Arial"/>
          <w:sz w:val="19"/>
          <w:szCs w:val="19"/>
          <w:color w:val="auto"/>
        </w:rPr>
      </w:pPr>
    </w:p>
    <w:p>
      <w:pPr>
        <w:ind w:left="820" w:hanging="569"/>
        <w:spacing w:after="0"/>
        <w:tabs>
          <w:tab w:leader="none" w:pos="82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63" w:lineRule="auto"/>
        <w:tabs>
          <w:tab w:leader="none" w:pos="1811" w:val="left"/>
        </w:tabs>
        <w:numPr>
          <w:ilvl w:val="2"/>
          <w:numId w:val="62"/>
        </w:numPr>
        <w:rPr>
          <w:rFonts w:ascii="Arial" w:cs="Arial" w:eastAsia="Arial" w:hAnsi="Arial"/>
          <w:sz w:val="22"/>
          <w:szCs w:val="22"/>
          <w:color w:val="auto"/>
        </w:rPr>
      </w:pPr>
      <w:r>
        <w:rPr>
          <w:rFonts w:ascii="Arial" w:cs="Arial" w:eastAsia="Arial" w:hAnsi="Arial"/>
          <w:sz w:val="22"/>
          <w:szCs w:val="22"/>
          <w:u w:val="single" w:color="auto"/>
          <w:color w:val="auto"/>
        </w:rPr>
        <w:t>Multiple Administrative Bodies</w:t>
      </w:r>
      <w:r>
        <w:rPr>
          <w:rFonts w:ascii="Arial" w:cs="Arial" w:eastAsia="Arial" w:hAnsi="Arial"/>
          <w:sz w:val="22"/>
          <w:szCs w:val="22"/>
          <w:color w:val="auto"/>
        </w:rPr>
        <w:t>. The Plan may be administered by the Board or different Committees with respect to different groups of Employees.</w:t>
      </w:r>
    </w:p>
    <w:p>
      <w:pPr>
        <w:spacing w:after="0" w:line="174" w:lineRule="exact"/>
        <w:rPr>
          <w:rFonts w:ascii="Arial" w:cs="Arial" w:eastAsia="Arial" w:hAnsi="Arial"/>
          <w:sz w:val="22"/>
          <w:szCs w:val="22"/>
          <w:color w:val="auto"/>
        </w:rPr>
      </w:pPr>
    </w:p>
    <w:p>
      <w:pPr>
        <w:jc w:val="both"/>
        <w:ind w:firstLine="1305"/>
        <w:spacing w:after="0" w:line="271" w:lineRule="auto"/>
        <w:tabs>
          <w:tab w:leader="none" w:pos="1831" w:val="left"/>
        </w:tabs>
        <w:numPr>
          <w:ilvl w:val="2"/>
          <w:numId w:val="62"/>
        </w:numPr>
        <w:rPr>
          <w:rFonts w:ascii="Arial" w:cs="Arial" w:eastAsia="Arial" w:hAnsi="Arial"/>
          <w:sz w:val="21"/>
          <w:szCs w:val="21"/>
          <w:color w:val="auto"/>
        </w:rPr>
      </w:pPr>
      <w:r>
        <w:rPr>
          <w:rFonts w:ascii="Arial" w:cs="Arial" w:eastAsia="Arial" w:hAnsi="Arial"/>
          <w:sz w:val="21"/>
          <w:szCs w:val="21"/>
          <w:u w:val="single" w:color="auto"/>
          <w:color w:val="auto"/>
        </w:rPr>
        <w:t>Section 162(m)</w:t>
      </w:r>
      <w:r>
        <w:rPr>
          <w:rFonts w:ascii="Arial" w:cs="Arial" w:eastAsia="Arial" w:hAnsi="Arial"/>
          <w:sz w:val="21"/>
          <w:szCs w:val="21"/>
          <w:color w:val="auto"/>
        </w:rPr>
        <w:t>. To the extent that the Administrator determines it to be desirable to qualify Awards granted hereunder as “performance-based compensation” within the meaning of Section 162(m) of the Code, the Plan shall be administered by a Committee of two or more “outside directors” within the meaning of Section 162(m) of the Code.</w:t>
      </w:r>
    </w:p>
    <w:p>
      <w:pPr>
        <w:spacing w:after="0" w:line="167" w:lineRule="exact"/>
        <w:rPr>
          <w:rFonts w:ascii="Arial" w:cs="Arial" w:eastAsia="Arial" w:hAnsi="Arial"/>
          <w:sz w:val="21"/>
          <w:szCs w:val="21"/>
          <w:color w:val="auto"/>
        </w:rPr>
      </w:pPr>
    </w:p>
    <w:p>
      <w:pPr>
        <w:ind w:firstLine="1305"/>
        <w:spacing w:after="0" w:line="287" w:lineRule="auto"/>
        <w:tabs>
          <w:tab w:leader="none" w:pos="1999" w:val="left"/>
        </w:tabs>
        <w:numPr>
          <w:ilvl w:val="2"/>
          <w:numId w:val="62"/>
        </w:numPr>
        <w:rPr>
          <w:rFonts w:ascii="Arial" w:cs="Arial" w:eastAsia="Arial" w:hAnsi="Arial"/>
          <w:sz w:val="21"/>
          <w:szCs w:val="21"/>
          <w:color w:val="auto"/>
        </w:rPr>
      </w:pPr>
      <w:r>
        <w:rPr>
          <w:rFonts w:ascii="Arial" w:cs="Arial" w:eastAsia="Arial" w:hAnsi="Arial"/>
          <w:sz w:val="21"/>
          <w:szCs w:val="21"/>
          <w:u w:val="single" w:color="auto"/>
          <w:color w:val="auto"/>
        </w:rPr>
        <w:t>Rule 16b-3</w:t>
      </w:r>
      <w:r>
        <w:rPr>
          <w:rFonts w:ascii="Arial" w:cs="Arial" w:eastAsia="Arial" w:hAnsi="Arial"/>
          <w:sz w:val="21"/>
          <w:szCs w:val="21"/>
          <w:color w:val="auto"/>
        </w:rPr>
        <w:t>. To the extent desirable to qualify transactions hereunder as exempt under Rule 16b-3, the transactions contemplated hereunder shall be structured to satisfy the requirements for exemption under Rule 16b-3.</w:t>
      </w:r>
    </w:p>
    <w:p>
      <w:pPr>
        <w:spacing w:after="0" w:line="151" w:lineRule="exact"/>
        <w:rPr>
          <w:rFonts w:ascii="Arial" w:cs="Arial" w:eastAsia="Arial" w:hAnsi="Arial"/>
          <w:sz w:val="21"/>
          <w:szCs w:val="21"/>
          <w:color w:val="auto"/>
        </w:rPr>
      </w:pPr>
    </w:p>
    <w:p>
      <w:pPr>
        <w:ind w:firstLine="1305"/>
        <w:spacing w:after="0" w:line="263" w:lineRule="auto"/>
        <w:tabs>
          <w:tab w:leader="none" w:pos="1838" w:val="left"/>
        </w:tabs>
        <w:numPr>
          <w:ilvl w:val="2"/>
          <w:numId w:val="62"/>
        </w:numPr>
        <w:rPr>
          <w:rFonts w:ascii="Arial" w:cs="Arial" w:eastAsia="Arial" w:hAnsi="Arial"/>
          <w:sz w:val="22"/>
          <w:szCs w:val="22"/>
          <w:color w:val="auto"/>
        </w:rPr>
      </w:pPr>
      <w:r>
        <w:rPr>
          <w:rFonts w:ascii="Arial" w:cs="Arial" w:eastAsia="Arial" w:hAnsi="Arial"/>
          <w:sz w:val="22"/>
          <w:szCs w:val="22"/>
          <w:u w:val="single" w:color="auto"/>
          <w:color w:val="auto"/>
        </w:rPr>
        <w:t>Other Administration</w:t>
      </w:r>
      <w:r>
        <w:rPr>
          <w:rFonts w:ascii="Arial" w:cs="Arial" w:eastAsia="Arial" w:hAnsi="Arial"/>
          <w:sz w:val="22"/>
          <w:szCs w:val="22"/>
          <w:color w:val="auto"/>
        </w:rPr>
        <w:t>. Other than as provided above, the Plan shall be administered by (A) the Board or (B) a Committee, which committee shall be constituted to satisfy Applicable Laws.</w:t>
      </w:r>
    </w:p>
    <w:p>
      <w:pPr>
        <w:spacing w:after="0" w:line="174" w:lineRule="exact"/>
        <w:rPr>
          <w:rFonts w:ascii="Arial" w:cs="Arial" w:eastAsia="Arial" w:hAnsi="Arial"/>
          <w:sz w:val="22"/>
          <w:szCs w:val="22"/>
          <w:color w:val="auto"/>
        </w:rPr>
      </w:pPr>
    </w:p>
    <w:p>
      <w:pPr>
        <w:ind w:firstLine="656"/>
        <w:spacing w:after="0" w:line="287" w:lineRule="auto"/>
        <w:tabs>
          <w:tab w:leader="none" w:pos="1197"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Powers of the Administrator</w:t>
      </w:r>
      <w:r>
        <w:rPr>
          <w:rFonts w:ascii="Arial" w:cs="Arial" w:eastAsia="Arial" w:hAnsi="Arial"/>
          <w:sz w:val="21"/>
          <w:szCs w:val="21"/>
          <w:color w:val="auto"/>
        </w:rPr>
        <w:t>. Subject to the provisions of the Plan, and in the case of a Committee, subject to the specific duties delegated by the Board to such Committee, the Administrator shall have the authority, in its discretion:</w:t>
      </w:r>
    </w:p>
    <w:p>
      <w:pPr>
        <w:spacing w:after="0" w:line="151" w:lineRule="exact"/>
        <w:rPr>
          <w:rFonts w:ascii="Arial" w:cs="Arial" w:eastAsia="Arial" w:hAnsi="Arial"/>
          <w:sz w:val="21"/>
          <w:szCs w:val="21"/>
          <w:color w:val="auto"/>
        </w:rPr>
      </w:pPr>
    </w:p>
    <w:p>
      <w:pPr>
        <w:ind w:left="1720" w:hanging="415"/>
        <w:spacing w:after="0"/>
        <w:tabs>
          <w:tab w:leader="none" w:pos="1720" w:val="left"/>
        </w:tabs>
        <w:numPr>
          <w:ilvl w:val="2"/>
          <w:numId w:val="62"/>
        </w:numPr>
        <w:rPr>
          <w:rFonts w:ascii="Arial" w:cs="Arial" w:eastAsia="Arial" w:hAnsi="Arial"/>
          <w:sz w:val="21"/>
          <w:szCs w:val="21"/>
          <w:color w:val="auto"/>
        </w:rPr>
      </w:pPr>
      <w:r>
        <w:rPr>
          <w:rFonts w:ascii="Arial" w:cs="Arial" w:eastAsia="Arial" w:hAnsi="Arial"/>
          <w:sz w:val="21"/>
          <w:szCs w:val="21"/>
          <w:color w:val="auto"/>
        </w:rPr>
        <w:t>to determine the Fair Market Value of the Common Stock, in accordance with Section 2(r) of the Plan;</w:t>
      </w:r>
    </w:p>
    <w:p>
      <w:pPr>
        <w:sectPr>
          <w:pgSz w:w="11900" w:h="16838" w:orient="portrait"/>
          <w:cols w:equalWidth="0" w:num="1">
            <w:col w:w="11420"/>
          </w:cols>
          <w:pgMar w:left="240" w:top="847" w:right="239" w:bottom="1440" w:gutter="0" w:footer="0" w:header="0"/>
        </w:sectPr>
      </w:pPr>
    </w:p>
    <w:bookmarkStart w:id="85" w:name="page86"/>
    <w:bookmarkEnd w:id="85"/>
    <w:p>
      <w:pPr>
        <w:ind w:left="1529" w:hanging="475"/>
        <w:spacing w:after="0"/>
        <w:tabs>
          <w:tab w:leader="none" w:pos="1529" w:val="left"/>
        </w:tabs>
        <w:numPr>
          <w:ilvl w:val="2"/>
          <w:numId w:val="63"/>
        </w:numPr>
        <w:rPr>
          <w:rFonts w:ascii="Arial" w:cs="Arial" w:eastAsia="Arial" w:hAnsi="Arial"/>
          <w:sz w:val="22"/>
          <w:szCs w:val="22"/>
          <w:color w:val="auto"/>
        </w:rPr>
      </w:pPr>
      <w:r>
        <w:rPr>
          <w:rFonts w:ascii="Arial" w:cs="Arial" w:eastAsia="Arial" w:hAnsi="Arial"/>
          <w:sz w:val="22"/>
          <w:szCs w:val="22"/>
          <w:color w:val="auto"/>
        </w:rPr>
        <w:t>to select the Employees to whom Awards may be granted hereunder;</w:t>
      </w:r>
    </w:p>
    <w:p>
      <w:pPr>
        <w:spacing w:after="0" w:line="219" w:lineRule="exact"/>
        <w:rPr>
          <w:rFonts w:ascii="Arial" w:cs="Arial" w:eastAsia="Arial" w:hAnsi="Arial"/>
          <w:sz w:val="22"/>
          <w:szCs w:val="22"/>
          <w:color w:val="auto"/>
        </w:rPr>
      </w:pPr>
    </w:p>
    <w:p>
      <w:pPr>
        <w:ind w:left="1589" w:hanging="535"/>
        <w:spacing w:after="0"/>
        <w:tabs>
          <w:tab w:leader="none" w:pos="1589" w:val="left"/>
        </w:tabs>
        <w:numPr>
          <w:ilvl w:val="2"/>
          <w:numId w:val="63"/>
        </w:numPr>
        <w:rPr>
          <w:rFonts w:ascii="Arial" w:cs="Arial" w:eastAsia="Arial" w:hAnsi="Arial"/>
          <w:sz w:val="22"/>
          <w:szCs w:val="22"/>
          <w:color w:val="auto"/>
        </w:rPr>
      </w:pPr>
      <w:r>
        <w:rPr>
          <w:rFonts w:ascii="Arial" w:cs="Arial" w:eastAsia="Arial" w:hAnsi="Arial"/>
          <w:sz w:val="22"/>
          <w:szCs w:val="22"/>
          <w:color w:val="auto"/>
        </w:rPr>
        <w:t>to determine whether and to what extent Awards are granted hereunder;</w:t>
      </w:r>
    </w:p>
    <w:p>
      <w:pPr>
        <w:spacing w:after="0" w:line="219" w:lineRule="exact"/>
        <w:rPr>
          <w:rFonts w:ascii="Arial" w:cs="Arial" w:eastAsia="Arial" w:hAnsi="Arial"/>
          <w:sz w:val="22"/>
          <w:szCs w:val="22"/>
          <w:color w:val="auto"/>
        </w:rPr>
      </w:pPr>
    </w:p>
    <w:p>
      <w:pPr>
        <w:ind w:left="1589" w:hanging="535"/>
        <w:spacing w:after="0"/>
        <w:tabs>
          <w:tab w:leader="none" w:pos="1589" w:val="left"/>
        </w:tabs>
        <w:numPr>
          <w:ilvl w:val="2"/>
          <w:numId w:val="63"/>
        </w:numPr>
        <w:rPr>
          <w:rFonts w:ascii="Arial" w:cs="Arial" w:eastAsia="Arial" w:hAnsi="Arial"/>
          <w:sz w:val="22"/>
          <w:szCs w:val="22"/>
          <w:color w:val="auto"/>
        </w:rPr>
      </w:pPr>
      <w:r>
        <w:rPr>
          <w:rFonts w:ascii="Arial" w:cs="Arial" w:eastAsia="Arial" w:hAnsi="Arial"/>
          <w:sz w:val="22"/>
          <w:szCs w:val="22"/>
          <w:color w:val="auto"/>
        </w:rPr>
        <w:t>to determine the number of Shares to be covered by each Award granted hereunder;</w:t>
      </w:r>
    </w:p>
    <w:p>
      <w:pPr>
        <w:spacing w:after="0" w:line="219" w:lineRule="exact"/>
        <w:rPr>
          <w:rFonts w:ascii="Arial" w:cs="Arial" w:eastAsia="Arial" w:hAnsi="Arial"/>
          <w:sz w:val="22"/>
          <w:szCs w:val="22"/>
          <w:color w:val="auto"/>
        </w:rPr>
      </w:pPr>
    </w:p>
    <w:p>
      <w:pPr>
        <w:ind w:left="1529" w:hanging="475"/>
        <w:spacing w:after="0"/>
        <w:tabs>
          <w:tab w:leader="none" w:pos="1529" w:val="left"/>
        </w:tabs>
        <w:numPr>
          <w:ilvl w:val="2"/>
          <w:numId w:val="63"/>
        </w:numPr>
        <w:rPr>
          <w:rFonts w:ascii="Arial" w:cs="Arial" w:eastAsia="Arial" w:hAnsi="Arial"/>
          <w:sz w:val="22"/>
          <w:szCs w:val="22"/>
          <w:color w:val="auto"/>
        </w:rPr>
      </w:pPr>
      <w:r>
        <w:rPr>
          <w:rFonts w:ascii="Arial" w:cs="Arial" w:eastAsia="Arial" w:hAnsi="Arial"/>
          <w:sz w:val="22"/>
          <w:szCs w:val="22"/>
          <w:color w:val="auto"/>
        </w:rPr>
        <w:t>to approve forms of agreement for use under the Plan;</w:t>
      </w:r>
    </w:p>
    <w:p>
      <w:pPr>
        <w:spacing w:after="0" w:line="219" w:lineRule="exact"/>
        <w:rPr>
          <w:rFonts w:ascii="Arial" w:cs="Arial" w:eastAsia="Arial" w:hAnsi="Arial"/>
          <w:sz w:val="22"/>
          <w:szCs w:val="22"/>
          <w:color w:val="auto"/>
        </w:rPr>
      </w:pPr>
    </w:p>
    <w:p>
      <w:pPr>
        <w:jc w:val="both"/>
        <w:ind w:left="-251" w:firstLine="1305"/>
        <w:spacing w:after="0" w:line="312" w:lineRule="auto"/>
        <w:tabs>
          <w:tab w:leader="none" w:pos="1687" w:val="left"/>
        </w:tabs>
        <w:numPr>
          <w:ilvl w:val="2"/>
          <w:numId w:val="63"/>
        </w:numPr>
        <w:rPr>
          <w:rFonts w:ascii="Arial" w:cs="Arial" w:eastAsia="Arial" w:hAnsi="Arial"/>
          <w:sz w:val="19"/>
          <w:szCs w:val="19"/>
          <w:color w:val="auto"/>
        </w:rPr>
      </w:pPr>
      <w:r>
        <w:rPr>
          <w:rFonts w:ascii="Arial" w:cs="Arial" w:eastAsia="Arial" w:hAnsi="Arial"/>
          <w:sz w:val="19"/>
          <w:szCs w:val="19"/>
          <w:color w:val="auto"/>
        </w:rPr>
        <w:t>to determine the terms and conditions, not inconsistent with the terms of the Plan, of any Award granted hereunder. With respect to Options, such terms and conditions include, but are not limited to, the exercise price, the time or times when Options may be exercised, based in each case on such factors as the Administrator, in its sole discretion, shall determine;</w:t>
      </w:r>
    </w:p>
    <w:p>
      <w:pPr>
        <w:spacing w:after="0" w:line="133" w:lineRule="exact"/>
        <w:rPr>
          <w:rFonts w:ascii="Arial" w:cs="Arial" w:eastAsia="Arial" w:hAnsi="Arial"/>
          <w:sz w:val="19"/>
          <w:szCs w:val="19"/>
          <w:color w:val="auto"/>
        </w:rPr>
      </w:pPr>
    </w:p>
    <w:p>
      <w:pPr>
        <w:ind w:left="1649" w:hanging="595"/>
        <w:spacing w:after="0"/>
        <w:tabs>
          <w:tab w:leader="none" w:pos="1649" w:val="left"/>
        </w:tabs>
        <w:numPr>
          <w:ilvl w:val="2"/>
          <w:numId w:val="63"/>
        </w:numPr>
        <w:rPr>
          <w:rFonts w:ascii="Arial" w:cs="Arial" w:eastAsia="Arial" w:hAnsi="Arial"/>
          <w:sz w:val="22"/>
          <w:szCs w:val="22"/>
          <w:color w:val="auto"/>
        </w:rPr>
      </w:pPr>
      <w:r>
        <w:rPr>
          <w:rFonts w:ascii="Arial" w:cs="Arial" w:eastAsia="Arial" w:hAnsi="Arial"/>
          <w:sz w:val="22"/>
          <w:szCs w:val="22"/>
          <w:color w:val="auto"/>
        </w:rPr>
        <w:t>to construe and interpret the terms of the Plan and Awards granted hereunder;</w:t>
      </w:r>
    </w:p>
    <w:p>
      <w:pPr>
        <w:spacing w:after="0" w:line="219" w:lineRule="exact"/>
        <w:rPr>
          <w:rFonts w:ascii="Arial" w:cs="Arial" w:eastAsia="Arial" w:hAnsi="Arial"/>
          <w:sz w:val="22"/>
          <w:szCs w:val="22"/>
          <w:color w:val="auto"/>
        </w:rPr>
      </w:pPr>
    </w:p>
    <w:p>
      <w:pPr>
        <w:ind w:left="-251" w:firstLine="1305"/>
        <w:spacing w:after="0" w:line="287" w:lineRule="auto"/>
        <w:tabs>
          <w:tab w:leader="none" w:pos="1776" w:val="left"/>
        </w:tabs>
        <w:numPr>
          <w:ilvl w:val="2"/>
          <w:numId w:val="63"/>
        </w:numPr>
        <w:rPr>
          <w:rFonts w:ascii="Arial" w:cs="Arial" w:eastAsia="Arial" w:hAnsi="Arial"/>
          <w:sz w:val="21"/>
          <w:szCs w:val="21"/>
          <w:color w:val="auto"/>
        </w:rPr>
      </w:pPr>
      <w:r>
        <w:rPr>
          <w:rFonts w:ascii="Arial" w:cs="Arial" w:eastAsia="Arial" w:hAnsi="Arial"/>
          <w:sz w:val="21"/>
          <w:szCs w:val="21"/>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51" w:lineRule="exact"/>
        <w:rPr>
          <w:rFonts w:ascii="Arial" w:cs="Arial" w:eastAsia="Arial" w:hAnsi="Arial"/>
          <w:sz w:val="21"/>
          <w:szCs w:val="21"/>
          <w:color w:val="auto"/>
        </w:rPr>
      </w:pPr>
    </w:p>
    <w:p>
      <w:pPr>
        <w:ind w:left="-251" w:right="20" w:firstLine="1305"/>
        <w:spacing w:after="0" w:line="343" w:lineRule="auto"/>
        <w:tabs>
          <w:tab w:leader="none" w:pos="1679" w:val="left"/>
        </w:tabs>
        <w:numPr>
          <w:ilvl w:val="2"/>
          <w:numId w:val="63"/>
        </w:numPr>
        <w:rPr>
          <w:rFonts w:ascii="Arial" w:cs="Arial" w:eastAsia="Arial" w:hAnsi="Arial"/>
          <w:sz w:val="19"/>
          <w:szCs w:val="19"/>
          <w:color w:val="auto"/>
        </w:rPr>
      </w:pPr>
      <w:r>
        <w:rPr>
          <w:rFonts w:ascii="Arial" w:cs="Arial" w:eastAsia="Arial" w:hAnsi="Arial"/>
          <w:sz w:val="19"/>
          <w:szCs w:val="19"/>
          <w:color w:val="auto"/>
        </w:rPr>
        <w:t>to modify or amend each Award (not inconsistent with the terms of the Plan), including the discretionary authority to extend the post-termination exercisability period of Options longer than is otherwise provided for in the Plan;</w:t>
      </w:r>
    </w:p>
    <w:p>
      <w:pPr>
        <w:spacing w:after="0" w:line="104" w:lineRule="exact"/>
        <w:rPr>
          <w:rFonts w:ascii="Arial" w:cs="Arial" w:eastAsia="Arial" w:hAnsi="Arial"/>
          <w:sz w:val="19"/>
          <w:szCs w:val="19"/>
          <w:color w:val="auto"/>
        </w:rPr>
      </w:pPr>
    </w:p>
    <w:p>
      <w:pPr>
        <w:ind w:left="-251" w:firstLine="1305"/>
        <w:spacing w:after="0" w:line="263" w:lineRule="auto"/>
        <w:tabs>
          <w:tab w:leader="none" w:pos="1546" w:val="left"/>
        </w:tabs>
        <w:numPr>
          <w:ilvl w:val="2"/>
          <w:numId w:val="63"/>
        </w:numPr>
        <w:rPr>
          <w:rFonts w:ascii="Arial" w:cs="Arial" w:eastAsia="Arial" w:hAnsi="Arial"/>
          <w:sz w:val="22"/>
          <w:szCs w:val="22"/>
          <w:color w:val="auto"/>
        </w:rPr>
      </w:pPr>
      <w:r>
        <w:rPr>
          <w:rFonts w:ascii="Arial" w:cs="Arial" w:eastAsia="Arial" w:hAnsi="Arial"/>
          <w:sz w:val="22"/>
          <w:szCs w:val="22"/>
          <w:color w:val="auto"/>
        </w:rPr>
        <w:t>to authorize any person to execute on behalf of the Company any instrument required to effect the grant of an Award previously granted by the Administrator;</w:t>
      </w:r>
    </w:p>
    <w:p>
      <w:pPr>
        <w:spacing w:after="0" w:line="174" w:lineRule="exact"/>
        <w:rPr>
          <w:rFonts w:ascii="Arial" w:cs="Arial" w:eastAsia="Arial" w:hAnsi="Arial"/>
          <w:sz w:val="22"/>
          <w:szCs w:val="22"/>
          <w:color w:val="auto"/>
        </w:rPr>
      </w:pPr>
    </w:p>
    <w:p>
      <w:pPr>
        <w:ind w:left="-251" w:right="20" w:firstLine="1305"/>
        <w:spacing w:after="0" w:line="263" w:lineRule="auto"/>
        <w:tabs>
          <w:tab w:leader="none" w:pos="1698" w:val="left"/>
        </w:tabs>
        <w:numPr>
          <w:ilvl w:val="2"/>
          <w:numId w:val="63"/>
        </w:numPr>
        <w:rPr>
          <w:rFonts w:ascii="Arial" w:cs="Arial" w:eastAsia="Arial" w:hAnsi="Arial"/>
          <w:sz w:val="22"/>
          <w:szCs w:val="22"/>
          <w:color w:val="auto"/>
        </w:rPr>
      </w:pPr>
      <w:r>
        <w:rPr>
          <w:rFonts w:ascii="Arial" w:cs="Arial" w:eastAsia="Arial" w:hAnsi="Arial"/>
          <w:sz w:val="22"/>
          <w:szCs w:val="22"/>
          <w:color w:val="auto"/>
        </w:rPr>
        <w:t>to allow Participants to satisfy withholding tax obligations in such manner as may be determined by the Administrator in accordance with the terms of the Plan;</w:t>
      </w:r>
    </w:p>
    <w:p>
      <w:pPr>
        <w:spacing w:after="0" w:line="174" w:lineRule="exact"/>
        <w:rPr>
          <w:rFonts w:ascii="Arial" w:cs="Arial" w:eastAsia="Arial" w:hAnsi="Arial"/>
          <w:sz w:val="22"/>
          <w:szCs w:val="22"/>
          <w:color w:val="auto"/>
        </w:rPr>
      </w:pPr>
    </w:p>
    <w:p>
      <w:pPr>
        <w:ind w:left="1649" w:hanging="595"/>
        <w:spacing w:after="0"/>
        <w:tabs>
          <w:tab w:leader="none" w:pos="1649" w:val="left"/>
        </w:tabs>
        <w:numPr>
          <w:ilvl w:val="2"/>
          <w:numId w:val="63"/>
        </w:numPr>
        <w:rPr>
          <w:rFonts w:ascii="Arial" w:cs="Arial" w:eastAsia="Arial" w:hAnsi="Arial"/>
          <w:sz w:val="22"/>
          <w:szCs w:val="22"/>
          <w:color w:val="auto"/>
        </w:rPr>
      </w:pPr>
      <w:r>
        <w:rPr>
          <w:rFonts w:ascii="Arial" w:cs="Arial" w:eastAsia="Arial" w:hAnsi="Arial"/>
          <w:sz w:val="22"/>
          <w:szCs w:val="22"/>
          <w:color w:val="auto"/>
        </w:rPr>
        <w:t>to determine the terms and restrictions applicable to Awards; and</w:t>
      </w:r>
    </w:p>
    <w:p>
      <w:pPr>
        <w:spacing w:after="0" w:line="219" w:lineRule="exact"/>
        <w:rPr>
          <w:rFonts w:ascii="Arial" w:cs="Arial" w:eastAsia="Arial" w:hAnsi="Arial"/>
          <w:sz w:val="22"/>
          <w:szCs w:val="22"/>
          <w:color w:val="auto"/>
        </w:rPr>
      </w:pPr>
    </w:p>
    <w:p>
      <w:pPr>
        <w:ind w:left="1709" w:hanging="655"/>
        <w:spacing w:after="0"/>
        <w:tabs>
          <w:tab w:leader="none" w:pos="1709" w:val="left"/>
        </w:tabs>
        <w:numPr>
          <w:ilvl w:val="2"/>
          <w:numId w:val="63"/>
        </w:numPr>
        <w:rPr>
          <w:rFonts w:ascii="Arial" w:cs="Arial" w:eastAsia="Arial" w:hAnsi="Arial"/>
          <w:sz w:val="22"/>
          <w:szCs w:val="22"/>
          <w:color w:val="auto"/>
        </w:rPr>
      </w:pPr>
      <w:r>
        <w:rPr>
          <w:rFonts w:ascii="Arial" w:cs="Arial" w:eastAsia="Arial" w:hAnsi="Arial"/>
          <w:sz w:val="22"/>
          <w:szCs w:val="22"/>
          <w:color w:val="auto"/>
        </w:rPr>
        <w:t>to make all other determinations deemed necessary or advisable for administering the Plan.</w:t>
      </w:r>
    </w:p>
    <w:p>
      <w:pPr>
        <w:spacing w:after="0" w:line="219" w:lineRule="exact"/>
        <w:rPr>
          <w:rFonts w:ascii="Arial" w:cs="Arial" w:eastAsia="Arial" w:hAnsi="Arial"/>
          <w:sz w:val="22"/>
          <w:szCs w:val="22"/>
          <w:color w:val="auto"/>
        </w:rPr>
      </w:pPr>
    </w:p>
    <w:p>
      <w:pPr>
        <w:ind w:left="-251" w:firstLine="656"/>
        <w:spacing w:after="0" w:line="343" w:lineRule="auto"/>
        <w:tabs>
          <w:tab w:leader="none" w:pos="934"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Effect of Administrator’s Decision</w:t>
      </w:r>
      <w:r>
        <w:rPr>
          <w:rFonts w:ascii="Arial" w:cs="Arial" w:eastAsia="Arial" w:hAnsi="Arial"/>
          <w:sz w:val="19"/>
          <w:szCs w:val="19"/>
          <w:color w:val="auto"/>
        </w:rPr>
        <w:t>. The Administrator’s decisions, determinations and interpretations shall be final and binding on all Participants and any other holders of Awards and shall be given the maximum deference permitted by law.</w:t>
      </w:r>
    </w:p>
    <w:p>
      <w:pPr>
        <w:spacing w:after="0" w:line="104" w:lineRule="exact"/>
        <w:rPr>
          <w:rFonts w:ascii="Arial" w:cs="Arial" w:eastAsia="Arial" w:hAnsi="Arial"/>
          <w:sz w:val="19"/>
          <w:szCs w:val="19"/>
          <w:color w:val="auto"/>
        </w:rPr>
      </w:pPr>
    </w:p>
    <w:p>
      <w:pPr>
        <w:ind w:left="569" w:hanging="569"/>
        <w:spacing w:after="0"/>
        <w:tabs>
          <w:tab w:leader="none" w:pos="56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Awards may be granted only to Employees.</w:t>
      </w:r>
    </w:p>
    <w:p>
      <w:pPr>
        <w:spacing w:after="0" w:line="219" w:lineRule="exact"/>
        <w:rPr>
          <w:rFonts w:ascii="Arial" w:cs="Arial" w:eastAsia="Arial" w:hAnsi="Arial"/>
          <w:sz w:val="22"/>
          <w:szCs w:val="22"/>
          <w:color w:val="auto"/>
        </w:rPr>
      </w:pPr>
    </w:p>
    <w:p>
      <w:pPr>
        <w:jc w:val="both"/>
        <w:ind w:left="-251" w:firstLine="251"/>
        <w:spacing w:after="0" w:line="250" w:lineRule="auto"/>
        <w:tabs>
          <w:tab w:leader="none" w:pos="55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No Employment Rights</w:t>
      </w:r>
      <w:r>
        <w:rPr>
          <w:rFonts w:ascii="Arial" w:cs="Arial" w:eastAsia="Arial" w:hAnsi="Arial"/>
          <w:sz w:val="22"/>
          <w:szCs w:val="22"/>
          <w:color w:val="auto"/>
        </w:rPr>
        <w:t>. Neither the Plan nor any Award shall confer upon a Participant any right with respect to continuing the Participant’s employment with the Company or its Subsidiaries, nor shall they interfere in any way with the Participant’s right or the Company’s or Subsidiary’s right, as the case may be, to terminate such employment at any time, with or without cause or notice.</w:t>
      </w:r>
    </w:p>
    <w:p>
      <w:pPr>
        <w:sectPr>
          <w:pgSz w:w="11900" w:h="16838" w:orient="portrait"/>
          <w:cols w:equalWidth="0" w:num="1">
            <w:col w:w="11169"/>
          </w:cols>
          <w:pgMar w:left="491" w:top="847" w:right="239" w:bottom="1440" w:gutter="0" w:footer="0" w:header="0"/>
        </w:sectPr>
      </w:pPr>
    </w:p>
    <w:bookmarkStart w:id="86" w:name="page87"/>
    <w:bookmarkEnd w:id="86"/>
    <w:p>
      <w:pPr>
        <w:ind w:firstLine="251"/>
        <w:spacing w:after="0" w:line="263" w:lineRule="auto"/>
        <w:tabs>
          <w:tab w:leader="none" w:pos="81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The Plan shall become effective on January 6, 2012 and continue in effect, unless terminated earlier, until June 30, 2022.</w:t>
      </w:r>
    </w:p>
    <w:p>
      <w:pPr>
        <w:spacing w:after="0" w:line="174" w:lineRule="exact"/>
        <w:rPr>
          <w:rFonts w:ascii="Arial" w:cs="Arial" w:eastAsia="Arial" w:hAnsi="Arial"/>
          <w:sz w:val="22"/>
          <w:szCs w:val="22"/>
          <w:color w:val="auto"/>
        </w:rPr>
      </w:pPr>
    </w:p>
    <w:p>
      <w:pPr>
        <w:ind w:left="820" w:hanging="569"/>
        <w:spacing w:after="0"/>
        <w:tabs>
          <w:tab w:leader="none" w:pos="82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47" w:lineRule="auto"/>
        <w:tabs>
          <w:tab w:leader="none" w:pos="1145"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Grant of Options</w:t>
      </w:r>
      <w:r>
        <w:rPr>
          <w:rFonts w:ascii="Arial" w:cs="Arial" w:eastAsia="Arial" w:hAnsi="Arial"/>
          <w:sz w:val="22"/>
          <w:szCs w:val="22"/>
          <w:color w:val="auto"/>
        </w:rPr>
        <w:t>. Subject to the terms and provisions of the Plan, Options may be granted to Employees at any time and from time to time as determined by the Administrator in its sole discretion. The Administrator, in its sole discretion, shall determine the number of Shares subject to each Option, provided that during any Fiscal Year, no Participant shall be granted Options covering more than a total of 1,500,000 Shares; provided, however, that such limit shall be 3,000,000 Shares in the Participant’s first Fiscal Year of Company service. The Administrator may grant Incentive Stock Options, Nonstatutory Stock Options, or a combination thereof.</w:t>
      </w:r>
    </w:p>
    <w:p>
      <w:pPr>
        <w:spacing w:after="0" w:line="193" w:lineRule="exact"/>
        <w:rPr>
          <w:rFonts w:ascii="Arial" w:cs="Arial" w:eastAsia="Arial" w:hAnsi="Arial"/>
          <w:sz w:val="22"/>
          <w:szCs w:val="22"/>
          <w:color w:val="auto"/>
        </w:rPr>
      </w:pPr>
    </w:p>
    <w:p>
      <w:pPr>
        <w:jc w:val="both"/>
        <w:ind w:firstLine="656"/>
        <w:spacing w:after="0" w:line="292" w:lineRule="auto"/>
        <w:tabs>
          <w:tab w:leader="none" w:pos="118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each Option shall be stated in the Notice of Grant; provided, however, that the term shall be no longer than ten (10) years from the Date of Grant. Moreover, in the case of an Incentive Stock Option granted to a Participant who, at the time the Incentive Stock Option is granted, owns stock representing more than ten percent (10%) of the voting power of all classes of stock of the Company or any Parent or Subsidiary, the term of the Incentive Stock Option shall be no longer than five (5) years from the Date of Grant. Subject to the five (5) and ten (10) year limits set forth in the preceding sentence, the Administrator may, after an Option is granted, extend the maximum term of the Option. Unless otherwise determined by the Administrator, any extension of the term of an Option pursuant to this Section 8(b) shall comply with Code Section 409A.</w:t>
      </w:r>
    </w:p>
    <w:p>
      <w:pPr>
        <w:spacing w:after="0" w:line="151" w:lineRule="exact"/>
        <w:rPr>
          <w:rFonts w:ascii="Arial" w:cs="Arial" w:eastAsia="Arial" w:hAnsi="Arial"/>
          <w:sz w:val="19"/>
          <w:szCs w:val="19"/>
          <w:color w:val="auto"/>
        </w:rPr>
      </w:pPr>
    </w:p>
    <w:p>
      <w:pPr>
        <w:jc w:val="both"/>
        <w:ind w:firstLine="656"/>
        <w:spacing w:after="0" w:line="247" w:lineRule="auto"/>
        <w:tabs>
          <w:tab w:leader="none" w:pos="1118"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Option Exercise Price</w:t>
      </w:r>
      <w:r>
        <w:rPr>
          <w:rFonts w:ascii="Arial" w:cs="Arial" w:eastAsia="Arial" w:hAnsi="Arial"/>
          <w:sz w:val="22"/>
          <w:szCs w:val="22"/>
          <w:color w:val="auto"/>
        </w:rPr>
        <w:t>. The per share exercise price for the Shares to be issued pursuant to exercise of an Option shall be determined by the Administrator and shall be no less than 100% of the Fair Market Value per share on the Date of Grant; provided, however, that in the case of an Incentive Stock Option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9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Notwithstanding the foregoing, in the event that the Company or a Subsidiary consummates a transaction described in Section 424(a) of the Code (e.g., the acquisition of property or stock from an unrelated corporation), persons who become Employees on account of such transaction may be granted Options in substitution for options granted by their former employer. If such substitute Options are granted, the Administrator, in its sole discretion and consistent with Section 424(a) of the Code, may determine that such substitute Options shall have an exercise price less than one hundred percent (100%) of the Fair Market Value of the Shares on the Date of Grant.</w:t>
      </w:r>
    </w:p>
    <w:p>
      <w:pPr>
        <w:spacing w:after="0" w:line="194" w:lineRule="exact"/>
        <w:rPr>
          <w:sz w:val="20"/>
          <w:szCs w:val="20"/>
          <w:color w:val="auto"/>
        </w:rPr>
      </w:pPr>
    </w:p>
    <w:p>
      <w:pPr>
        <w:jc w:val="both"/>
        <w:ind w:firstLine="656"/>
        <w:spacing w:after="0" w:line="250" w:lineRule="auto"/>
        <w:tabs>
          <w:tab w:leader="none" w:pos="1319"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No Repricing</w:t>
      </w:r>
      <w:r>
        <w:rPr>
          <w:rFonts w:ascii="Arial" w:cs="Arial" w:eastAsia="Arial" w:hAnsi="Arial"/>
          <w:sz w:val="22"/>
          <w:szCs w:val="22"/>
          <w:color w:val="auto"/>
        </w:rPr>
        <w:t>. The exercise price for an Option may not be reduced without the consent of the Company’s stockholders. This shall include, without limitation, a repricing of the Option as well as an Option exchange program whereby the Participant agrees to cancel an existing Option in exchange for (a) Awards with a lower exercise price, (b) a different type of Award, (c) cash, or (d) a combination of (a), (b) and/or (c).</w:t>
      </w:r>
    </w:p>
    <w:p>
      <w:pPr>
        <w:sectPr>
          <w:pgSz w:w="11900" w:h="16838" w:orient="portrait"/>
          <w:cols w:equalWidth="0" w:num="1">
            <w:col w:w="11420"/>
          </w:cols>
          <w:pgMar w:left="240" w:top="847" w:right="239" w:bottom="1440" w:gutter="0" w:footer="0" w:header="0"/>
        </w:sectPr>
      </w:pPr>
    </w:p>
    <w:bookmarkStart w:id="87" w:name="page88"/>
    <w:bookmarkEnd w:id="87"/>
    <w:p>
      <w:pPr>
        <w:jc w:val="both"/>
        <w:ind w:firstLine="656"/>
        <w:spacing w:after="0" w:line="250" w:lineRule="auto"/>
        <w:tabs>
          <w:tab w:leader="none" w:pos="1185"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Waiting Period and Exercise Dates</w:t>
      </w:r>
      <w:r>
        <w:rPr>
          <w:rFonts w:ascii="Arial" w:cs="Arial" w:eastAsia="Arial" w:hAnsi="Arial"/>
          <w:sz w:val="22"/>
          <w:szCs w:val="22"/>
          <w:color w:val="auto"/>
        </w:rPr>
        <w:t>.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 or until performance milestones are satisfied.</w:t>
      </w:r>
    </w:p>
    <w:p>
      <w:pPr>
        <w:spacing w:after="0" w:line="188" w:lineRule="exact"/>
        <w:rPr>
          <w:rFonts w:ascii="Arial" w:cs="Arial" w:eastAsia="Arial" w:hAnsi="Arial"/>
          <w:sz w:val="22"/>
          <w:szCs w:val="22"/>
          <w:color w:val="auto"/>
        </w:rPr>
      </w:pPr>
    </w:p>
    <w:p>
      <w:pPr>
        <w:jc w:val="both"/>
        <w:ind w:firstLine="656"/>
        <w:spacing w:after="0" w:line="312" w:lineRule="auto"/>
        <w:tabs>
          <w:tab w:leader="none" w:pos="1202"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The Administrator shall determine the acceptable form of consideration for exercising an Option, including the method of payment. In the case of an Incentive Stock Option, the Administrator shall determine the acceptable form of consideration at the time of grant. Subject to Applicable Laws, such consideration may consist entirely of:</w:t>
      </w:r>
    </w:p>
    <w:p>
      <w:pPr>
        <w:spacing w:after="0" w:line="133" w:lineRule="exact"/>
        <w:rPr>
          <w:rFonts w:ascii="Arial" w:cs="Arial" w:eastAsia="Arial" w:hAnsi="Arial"/>
          <w:sz w:val="19"/>
          <w:szCs w:val="19"/>
          <w:color w:val="auto"/>
        </w:rPr>
      </w:pPr>
    </w:p>
    <w:p>
      <w:pPr>
        <w:ind w:left="1720" w:hanging="415"/>
        <w:spacing w:after="0"/>
        <w:tabs>
          <w:tab w:leader="none" w:pos="17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cash;</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1"/>
          <w:numId w:val="68"/>
        </w:numPr>
        <w:rPr>
          <w:rFonts w:ascii="Arial" w:cs="Arial" w:eastAsia="Arial" w:hAnsi="Arial"/>
          <w:sz w:val="22"/>
          <w:szCs w:val="22"/>
          <w:color w:val="auto"/>
        </w:rPr>
      </w:pPr>
      <w:r>
        <w:rPr>
          <w:rFonts w:ascii="Arial" w:cs="Arial" w:eastAsia="Arial" w:hAnsi="Arial"/>
          <w:sz w:val="22"/>
          <w:szCs w:val="22"/>
          <w:color w:val="auto"/>
        </w:rPr>
        <w:t>check;</w:t>
      </w:r>
    </w:p>
    <w:p>
      <w:pPr>
        <w:spacing w:after="0" w:line="219" w:lineRule="exact"/>
        <w:rPr>
          <w:rFonts w:ascii="Arial" w:cs="Arial" w:eastAsia="Arial" w:hAnsi="Arial"/>
          <w:sz w:val="22"/>
          <w:szCs w:val="22"/>
          <w:color w:val="auto"/>
        </w:rPr>
      </w:pPr>
    </w:p>
    <w:p>
      <w:pPr>
        <w:jc w:val="both"/>
        <w:ind w:firstLine="1305"/>
        <w:spacing w:after="0" w:line="253" w:lineRule="auto"/>
        <w:tabs>
          <w:tab w:leader="none" w:pos="1905" w:val="left"/>
        </w:tabs>
        <w:numPr>
          <w:ilvl w:val="1"/>
          <w:numId w:val="68"/>
        </w:numPr>
        <w:rPr>
          <w:rFonts w:ascii="Arial" w:cs="Arial" w:eastAsia="Arial" w:hAnsi="Arial"/>
          <w:sz w:val="22"/>
          <w:szCs w:val="22"/>
          <w:color w:val="auto"/>
        </w:rPr>
      </w:pPr>
      <w:r>
        <w:rPr>
          <w:rFonts w:ascii="Arial" w:cs="Arial" w:eastAsia="Arial" w:hAnsi="Arial"/>
          <w:sz w:val="22"/>
          <w:szCs w:val="22"/>
          <w:color w:val="auto"/>
        </w:rPr>
        <w:t>other Shares which (A) in the case of Shares acquired upon exercise of an option, have been owned by the Participant for more than six months on the date of surrender, and (B) have a Fair Market Value on the date of surrender equal to the aggregate exercise price of the Shares as to which said Option shall be exercised;</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830" w:val="left"/>
        </w:tabs>
        <w:numPr>
          <w:ilvl w:val="1"/>
          <w:numId w:val="68"/>
        </w:numPr>
        <w:rPr>
          <w:rFonts w:ascii="Arial" w:cs="Arial" w:eastAsia="Arial" w:hAnsi="Arial"/>
          <w:sz w:val="22"/>
          <w:szCs w:val="22"/>
          <w:color w:val="auto"/>
        </w:rPr>
      </w:pPr>
      <w:r>
        <w:rPr>
          <w:rFonts w:ascii="Arial" w:cs="Arial" w:eastAsia="Arial" w:hAnsi="Arial"/>
          <w:sz w:val="22"/>
          <w:szCs w:val="22"/>
          <w:color w:val="auto"/>
        </w:rPr>
        <w:t>delivery to the Company of (A) a properly executed exercise notice together with such other documentation as the Administrator and the broker, if applicable, shall require to effect an exercise of the Option and (B) the sale proceeds required to pay the exercise price;</w:t>
      </w:r>
    </w:p>
    <w:p>
      <w:pPr>
        <w:spacing w:after="0" w:line="185" w:lineRule="exact"/>
        <w:rPr>
          <w:rFonts w:ascii="Arial" w:cs="Arial" w:eastAsia="Arial" w:hAnsi="Arial"/>
          <w:sz w:val="22"/>
          <w:szCs w:val="22"/>
          <w:color w:val="auto"/>
        </w:rPr>
      </w:pPr>
    </w:p>
    <w:p>
      <w:pPr>
        <w:ind w:left="1780" w:hanging="475"/>
        <w:spacing w:after="0"/>
        <w:tabs>
          <w:tab w:leader="none" w:pos="1780" w:val="left"/>
        </w:tabs>
        <w:numPr>
          <w:ilvl w:val="1"/>
          <w:numId w:val="68"/>
        </w:numPr>
        <w:rPr>
          <w:rFonts w:ascii="Arial" w:cs="Arial" w:eastAsia="Arial" w:hAnsi="Arial"/>
          <w:sz w:val="22"/>
          <w:szCs w:val="22"/>
          <w:color w:val="auto"/>
        </w:rPr>
      </w:pPr>
      <w:r>
        <w:rPr>
          <w:rFonts w:ascii="Arial" w:cs="Arial" w:eastAsia="Arial" w:hAnsi="Arial"/>
          <w:sz w:val="22"/>
          <w:szCs w:val="22"/>
          <w:color w:val="auto"/>
        </w:rPr>
        <w:t>any combination of the foregoing methods of payment; or</w:t>
      </w:r>
    </w:p>
    <w:p>
      <w:pPr>
        <w:spacing w:after="0" w:line="219" w:lineRule="exact"/>
        <w:rPr>
          <w:rFonts w:ascii="Arial" w:cs="Arial" w:eastAsia="Arial" w:hAnsi="Arial"/>
          <w:sz w:val="22"/>
          <w:szCs w:val="22"/>
          <w:color w:val="auto"/>
        </w:rPr>
      </w:pPr>
    </w:p>
    <w:p>
      <w:pPr>
        <w:ind w:firstLine="1305"/>
        <w:spacing w:after="0" w:line="343" w:lineRule="auto"/>
        <w:tabs>
          <w:tab w:leader="none" w:pos="1989" w:val="left"/>
        </w:tabs>
        <w:numPr>
          <w:ilvl w:val="1"/>
          <w:numId w:val="68"/>
        </w:numPr>
        <w:rPr>
          <w:rFonts w:ascii="Arial" w:cs="Arial" w:eastAsia="Arial" w:hAnsi="Arial"/>
          <w:sz w:val="19"/>
          <w:szCs w:val="19"/>
          <w:color w:val="auto"/>
        </w:rPr>
      </w:pPr>
      <w:r>
        <w:rPr>
          <w:rFonts w:ascii="Arial" w:cs="Arial" w:eastAsia="Arial" w:hAnsi="Arial"/>
          <w:sz w:val="19"/>
          <w:szCs w:val="19"/>
          <w:color w:val="auto"/>
        </w:rPr>
        <w:t>such other consideration and method of payment for the issuance of Shares to the extent permitted by Applicable Laws; provided, however, that in no case will loans be permitted as consideration for exercising an Option hereunder.</w:t>
      </w:r>
    </w:p>
    <w:p>
      <w:pPr>
        <w:spacing w:after="0" w:line="10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color w:val="auto"/>
        </w:rPr>
        <w:t>g)</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Exercise of Option; Rights as a Stockholder</w:t>
      </w:r>
      <w:r>
        <w:rPr>
          <w:rFonts w:ascii="Arial" w:cs="Arial" w:eastAsia="Arial" w:hAnsi="Arial"/>
          <w:sz w:val="19"/>
          <w:szCs w:val="19"/>
          <w:color w:val="auto"/>
        </w:rPr>
        <w:t>. Any Option granted hereunder shall be exercisable according to the terms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Plan and at such times and under such conditions as determined by the Administrator and set forth in the Award Agreement.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Option may not be exercised for a fraction of a Share.</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An Option shall be deemed exercised when the Company receives: (i) written or electronic notice of exercise (in accordance with the Award Agreement) from the person entitled to exercise the Option, and (ii) full payment for the Shares with respect to which the Option is exercised. Full payment may consist of any consideration and method of payment authorized by the Administrator and permitted by the Award Agreement and the Plan. Shares issued upon exercise of an Option shall be issued in the name of the Participant. Until the Shares are issued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Company shall issue (or cause to be issued)</w:t>
      </w:r>
    </w:p>
    <w:p>
      <w:pPr>
        <w:sectPr>
          <w:pgSz w:w="11900" w:h="16838" w:orient="portrait"/>
          <w:cols w:equalWidth="0" w:num="1">
            <w:col w:w="11420"/>
          </w:cols>
          <w:pgMar w:left="240" w:top="847" w:right="239" w:bottom="1440" w:gutter="0" w:footer="0" w:header="0"/>
        </w:sectPr>
      </w:pPr>
    </w:p>
    <w:bookmarkStart w:id="88" w:name="page89"/>
    <w:bookmarkEnd w:id="88"/>
    <w:p>
      <w:pPr>
        <w:spacing w:after="0" w:line="263" w:lineRule="auto"/>
        <w:rPr>
          <w:sz w:val="20"/>
          <w:szCs w:val="20"/>
          <w:color w:val="auto"/>
        </w:rPr>
      </w:pPr>
      <w:r>
        <w:rPr>
          <w:rFonts w:ascii="Arial" w:cs="Arial" w:eastAsia="Arial" w:hAnsi="Arial"/>
          <w:sz w:val="22"/>
          <w:szCs w:val="22"/>
          <w:color w:val="auto"/>
        </w:rPr>
        <w:t>such Share promptly after the Option is exercised. No adjustment will be made for a dividend or other right for which the record date is prior to the date the Share is issued, except as provided in Section 13 of the Plan.</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Exercising an Option in any manner shall decrease the number of Shares thereafter available for sale under the Option, by the number of Shares as to which the Option is exercised.</w:t>
      </w:r>
    </w:p>
    <w:p>
      <w:pPr>
        <w:spacing w:after="0" w:line="175" w:lineRule="exact"/>
        <w:rPr>
          <w:sz w:val="20"/>
          <w:szCs w:val="20"/>
          <w:color w:val="auto"/>
        </w:rPr>
      </w:pPr>
    </w:p>
    <w:p>
      <w:pPr>
        <w:jc w:val="both"/>
        <w:ind w:firstLine="656"/>
        <w:spacing w:after="0" w:line="297" w:lineRule="auto"/>
        <w:tabs>
          <w:tab w:leader="none" w:pos="117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 as an Employee</w:t>
      </w:r>
      <w:r>
        <w:rPr>
          <w:rFonts w:ascii="Arial" w:cs="Arial" w:eastAsia="Arial" w:hAnsi="Arial"/>
          <w:sz w:val="19"/>
          <w:szCs w:val="19"/>
          <w:color w:val="auto"/>
        </w:rPr>
        <w:t>. If a Participant ceases to be an Employee, other than by reason of the Participant’s death or Disability, the Participant may exercise his or her Option within such period of time as is specified in the Award Agreement, to the extent that the Participant was entitled to exercise it on the date of termination. In the absence of a specified time in the Award Agreement, the Option shall remain exercisable for three (3) months following the date of the Participant’s termination, to the extent that the Participant was entitled to exercise it on the date of termination.</w:t>
      </w:r>
    </w:p>
    <w:p>
      <w:pPr>
        <w:spacing w:after="0" w:line="147" w:lineRule="exact"/>
        <w:rPr>
          <w:rFonts w:ascii="Arial" w:cs="Arial" w:eastAsia="Arial" w:hAnsi="Arial"/>
          <w:sz w:val="19"/>
          <w:szCs w:val="19"/>
          <w:color w:val="auto"/>
        </w:rPr>
      </w:pPr>
    </w:p>
    <w:p>
      <w:pPr>
        <w:jc w:val="both"/>
        <w:ind w:firstLine="656"/>
        <w:spacing w:after="0" w:line="253" w:lineRule="auto"/>
        <w:tabs>
          <w:tab w:leader="none" w:pos="123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a Participant ceases to be an Employee by reason of the Participant’s Disability, the Participant may exercise his or her Option for twelve (12) months following the date of the Participant’s termination, to the extent that the Participant was entitled to exercise it on the date of termination.</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08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If a Participant ceases to be an Employee by reason of the Participant’s death, the Option may be exercised for twelve (12) months following the date of the Participant’s death, to the extent that the Participant was entitled to exercise it on such date,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w:t>
      </w:r>
    </w:p>
    <w:p>
      <w:pPr>
        <w:spacing w:after="0" w:line="149" w:lineRule="exact"/>
        <w:rPr>
          <w:rFonts w:ascii="Arial" w:cs="Arial" w:eastAsia="Arial" w:hAnsi="Arial"/>
          <w:sz w:val="19"/>
          <w:szCs w:val="19"/>
          <w:color w:val="auto"/>
        </w:rPr>
      </w:pPr>
    </w:p>
    <w:p>
      <w:pPr>
        <w:jc w:val="both"/>
        <w:ind w:firstLine="656"/>
        <w:spacing w:after="0" w:line="248" w:lineRule="auto"/>
        <w:tabs>
          <w:tab w:leader="none" w:pos="1143"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Notwithstanding the foregoing, in no event may the Option be exercised after its term has expired. If, on the date of termination, the Participant is not vested as to his or her entire Option, the Shares covered by the unvested portion of the Option shall revert to the Plan. If, after termination, the Participant (or the Participant’s beneficiary or representative, as the case may be) does not exercise his or her Option within the time specified by the Administrator, the Option shall terminate, and the Shares covered by such Option shall revert to the Plan.</w:t>
      </w:r>
    </w:p>
    <w:p>
      <w:pPr>
        <w:spacing w:after="0" w:line="192" w:lineRule="exact"/>
        <w:rPr>
          <w:rFonts w:ascii="Arial" w:cs="Arial" w:eastAsia="Arial" w:hAnsi="Arial"/>
          <w:sz w:val="22"/>
          <w:szCs w:val="22"/>
          <w:color w:val="auto"/>
        </w:rPr>
      </w:pPr>
    </w:p>
    <w:p>
      <w:pPr>
        <w:jc w:val="both"/>
        <w:ind w:firstLine="656"/>
        <w:spacing w:after="0" w:line="246" w:lineRule="auto"/>
        <w:tabs>
          <w:tab w:leader="none" w:pos="117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ISO $100,000 Rule</w:t>
      </w:r>
      <w:r>
        <w:rPr>
          <w:rFonts w:ascii="Arial" w:cs="Arial" w:eastAsia="Arial" w:hAnsi="Arial"/>
          <w:sz w:val="22"/>
          <w:szCs w:val="22"/>
          <w:color w:val="auto"/>
        </w:rPr>
        <w:t>. Each Option shall be designated in the Notice of Grant as either an Incentive Stock Option or a Nonstatutory Stock Option. However, notwithstanding such designations, to the extent that the aggregate Fair Market Value of Shares subject to a Participant’s Incentive Stock Options granted by the Company, any Parent or Subsidiary, which become exercisable for the first time during any calendar year (under all plans of the Company or any Parent or Subsidiary) exceeds $100,000, such excess Options shall be treated as Nonstatutory Stock Options. For purposes of this Section 8(l), Incentive Stock Options shall be taken into account in the order in which they were granted, and the Fair Market Value of the Shares shall be determined as of the time of grant.</w:t>
      </w:r>
    </w:p>
    <w:p>
      <w:pPr>
        <w:sectPr>
          <w:pgSz w:w="11900" w:h="16838" w:orient="portrait"/>
          <w:cols w:equalWidth="0" w:num="1">
            <w:col w:w="11420"/>
          </w:cols>
          <w:pgMar w:left="240" w:top="847" w:right="239" w:bottom="1440" w:gutter="0" w:footer="0" w:header="0"/>
        </w:sectPr>
      </w:pPr>
    </w:p>
    <w:bookmarkStart w:id="89" w:name="page90"/>
    <w:bookmarkEnd w:id="89"/>
    <w:p>
      <w:pPr>
        <w:ind w:left="569" w:hanging="569"/>
        <w:spacing w:after="0"/>
        <w:tabs>
          <w:tab w:leader="none" w:pos="569"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51" w:right="280" w:firstLine="656"/>
        <w:spacing w:after="0" w:line="297" w:lineRule="auto"/>
        <w:tabs>
          <w:tab w:leader="none" w:pos="853"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w:t>
      </w:r>
      <w:r>
        <w:rPr>
          <w:rFonts w:ascii="Arial" w:cs="Arial" w:eastAsia="Arial" w:hAnsi="Arial"/>
          <w:sz w:val="19"/>
          <w:szCs w:val="19"/>
          <w:color w:val="auto"/>
        </w:rPr>
        <w:t>. Subject to the terms and provisions of the Plan, the Administrator, at any time and from time to time, may grant Shares of Restricted Stock to Employees as the Administrator, in its sole discretion, shall determine. The Administrator, in its sole discretion, shall determine the number of Shares to be granted to each Participant, provided that during any Fiscal Year, no Participant shall receive more than a total of 750,000 Shares of Restricted Stock (and/or Restricted Stock Units); provided, however, that such limit shall be 1,500,000 Shares in the Participant’s first Fiscal Year of Company service.</w:t>
      </w:r>
    </w:p>
    <w:p>
      <w:pPr>
        <w:spacing w:after="0" w:line="147" w:lineRule="exact"/>
        <w:rPr>
          <w:rFonts w:ascii="Arial" w:cs="Arial" w:eastAsia="Arial" w:hAnsi="Arial"/>
          <w:sz w:val="19"/>
          <w:szCs w:val="19"/>
          <w:color w:val="auto"/>
        </w:rPr>
      </w:pPr>
    </w:p>
    <w:p>
      <w:pPr>
        <w:jc w:val="both"/>
        <w:ind w:left="-251" w:right="340" w:firstLine="656"/>
        <w:spacing w:after="0" w:line="265" w:lineRule="auto"/>
        <w:tabs>
          <w:tab w:leader="none" w:pos="865"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Restricted Stock Agreement</w:t>
      </w:r>
      <w:r>
        <w:rPr>
          <w:rFonts w:ascii="Arial" w:cs="Arial" w:eastAsia="Arial" w:hAnsi="Arial"/>
          <w:sz w:val="21"/>
          <w:szCs w:val="21"/>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such Shares have lapsed.</w:t>
      </w:r>
    </w:p>
    <w:p>
      <w:pPr>
        <w:spacing w:after="0" w:line="175" w:lineRule="exact"/>
        <w:rPr>
          <w:rFonts w:ascii="Arial" w:cs="Arial" w:eastAsia="Arial" w:hAnsi="Arial"/>
          <w:sz w:val="21"/>
          <w:szCs w:val="21"/>
          <w:color w:val="auto"/>
        </w:rPr>
      </w:pPr>
    </w:p>
    <w:p>
      <w:pPr>
        <w:ind w:left="-251" w:right="100" w:firstLine="656"/>
        <w:spacing w:after="0" w:line="287" w:lineRule="auto"/>
        <w:tabs>
          <w:tab w:leader="none" w:pos="853"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Except as provided in this Section 9, Shares of Restricted Stock may not be sold, transferred, pledged, assigned, or otherwise alienated or hypothecated until the end of the applicable Period of Restriction.</w:t>
      </w:r>
    </w:p>
    <w:p>
      <w:pPr>
        <w:spacing w:after="0" w:line="151" w:lineRule="exact"/>
        <w:rPr>
          <w:rFonts w:ascii="Arial" w:cs="Arial" w:eastAsia="Arial" w:hAnsi="Arial"/>
          <w:sz w:val="21"/>
          <w:szCs w:val="21"/>
          <w:color w:val="auto"/>
        </w:rPr>
      </w:pPr>
    </w:p>
    <w:p>
      <w:pPr>
        <w:ind w:left="-251" w:right="920" w:firstLine="656"/>
        <w:spacing w:after="0" w:line="287" w:lineRule="auto"/>
        <w:tabs>
          <w:tab w:leader="none" w:pos="865"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Other Restrictions</w:t>
      </w:r>
      <w:r>
        <w:rPr>
          <w:rFonts w:ascii="Arial" w:cs="Arial" w:eastAsia="Arial" w:hAnsi="Arial"/>
          <w:sz w:val="21"/>
          <w:szCs w:val="21"/>
          <w:color w:val="auto"/>
        </w:rPr>
        <w:t>. The Administrator, in its sole discretion, may impose such other restrictions on Shares of Restricted Stock as it may deem advisable or appropriate, in accordance with this Section 9(d).</w:t>
      </w:r>
    </w:p>
    <w:p>
      <w:pPr>
        <w:spacing w:after="0" w:line="151" w:lineRule="exact"/>
        <w:rPr>
          <w:rFonts w:ascii="Arial" w:cs="Arial" w:eastAsia="Arial" w:hAnsi="Arial"/>
          <w:sz w:val="21"/>
          <w:szCs w:val="21"/>
          <w:color w:val="auto"/>
        </w:rPr>
      </w:pPr>
    </w:p>
    <w:p>
      <w:pPr>
        <w:jc w:val="both"/>
        <w:ind w:left="-251" w:firstLine="1305"/>
        <w:spacing w:after="0" w:line="250" w:lineRule="auto"/>
        <w:tabs>
          <w:tab w:leader="none" w:pos="1474" w:val="left"/>
        </w:tabs>
        <w:numPr>
          <w:ilvl w:val="2"/>
          <w:numId w:val="70"/>
        </w:numPr>
        <w:rPr>
          <w:rFonts w:ascii="Arial" w:cs="Arial" w:eastAsia="Arial" w:hAnsi="Arial"/>
          <w:sz w:val="22"/>
          <w:szCs w:val="22"/>
          <w:color w:val="auto"/>
        </w:rPr>
      </w:pPr>
      <w:r>
        <w:rPr>
          <w:rFonts w:ascii="Arial" w:cs="Arial" w:eastAsia="Arial" w:hAnsi="Arial"/>
          <w:sz w:val="22"/>
          <w:szCs w:val="22"/>
          <w:color w:val="auto"/>
        </w:rPr>
        <w:t>General Restrictions. The Administrator may set restrictions based upon continued employment or service with the Company and its affiliates, the achievement of specific performance objectives (Company-wide, departmental, or individual), the achievement of Performance Goals, applicable federal or state securities laws, other Applicable Laws, or any other basis determined by the Administrator in its discretion.</w:t>
      </w:r>
    </w:p>
    <w:p>
      <w:pPr>
        <w:spacing w:after="0" w:line="188" w:lineRule="exact"/>
        <w:rPr>
          <w:rFonts w:ascii="Arial" w:cs="Arial" w:eastAsia="Arial" w:hAnsi="Arial"/>
          <w:sz w:val="22"/>
          <w:szCs w:val="22"/>
          <w:color w:val="auto"/>
        </w:rPr>
      </w:pPr>
    </w:p>
    <w:p>
      <w:pPr>
        <w:jc w:val="both"/>
        <w:ind w:left="-251" w:firstLine="1305"/>
        <w:spacing w:after="0" w:line="292" w:lineRule="auto"/>
        <w:tabs>
          <w:tab w:leader="none" w:pos="1802" w:val="left"/>
        </w:tabs>
        <w:numPr>
          <w:ilvl w:val="2"/>
          <w:numId w:val="70"/>
        </w:numPr>
        <w:rPr>
          <w:rFonts w:ascii="Arial" w:cs="Arial" w:eastAsia="Arial" w:hAnsi="Arial"/>
          <w:sz w:val="19"/>
          <w:szCs w:val="19"/>
          <w:color w:val="auto"/>
        </w:rPr>
      </w:pPr>
      <w:r>
        <w:rPr>
          <w:rFonts w:ascii="Arial" w:cs="Arial" w:eastAsia="Arial" w:hAnsi="Arial"/>
          <w:sz w:val="19"/>
          <w:szCs w:val="19"/>
          <w:color w:val="auto"/>
        </w:rPr>
        <w:t>Section 162(m) Performance Restrictions. For purposes of qualifying grants of Restricted Stock as “performance-based compensation” under Section 162(m) of the Code, the Administrator, in its discretion, may set restrictions based upon the achievement of Performance Goals. The Performance Goals shall be set by the Administrator on or before the latest date permissible to enable the Restricted Stock to qualify as “performance-based compensation” under Section 162(m) of the Code. In granting Restricted Stock which is intended to qualify under Section 162(m) of the Code, the Administrator shall follow any procedures determined by it from time to time to be necessary or appropriate to ensure qualification of the Restricted Stock under Section 162(m) of the Code (e.g., in determining the Performance Goals).</w:t>
      </w:r>
    </w:p>
    <w:p>
      <w:pPr>
        <w:spacing w:after="0" w:line="151" w:lineRule="exact"/>
        <w:rPr>
          <w:rFonts w:ascii="Arial" w:cs="Arial" w:eastAsia="Arial" w:hAnsi="Arial"/>
          <w:sz w:val="19"/>
          <w:szCs w:val="19"/>
          <w:color w:val="auto"/>
        </w:rPr>
      </w:pPr>
    </w:p>
    <w:p>
      <w:pPr>
        <w:ind w:left="-251" w:firstLine="1305"/>
        <w:spacing w:after="0" w:line="263" w:lineRule="auto"/>
        <w:tabs>
          <w:tab w:leader="none" w:pos="1683" w:val="left"/>
        </w:tabs>
        <w:numPr>
          <w:ilvl w:val="2"/>
          <w:numId w:val="70"/>
        </w:numPr>
        <w:rPr>
          <w:rFonts w:ascii="Arial" w:cs="Arial" w:eastAsia="Arial" w:hAnsi="Arial"/>
          <w:sz w:val="22"/>
          <w:szCs w:val="22"/>
          <w:color w:val="auto"/>
        </w:rPr>
      </w:pPr>
      <w:r>
        <w:rPr>
          <w:rFonts w:ascii="Arial" w:cs="Arial" w:eastAsia="Arial" w:hAnsi="Arial"/>
          <w:sz w:val="22"/>
          <w:szCs w:val="22"/>
          <w:color w:val="auto"/>
        </w:rPr>
        <w:t>Legend. The Administrator, in its discretion, may legend the Shares representing Restricted Stock to give appropriate notice of such restrictions.</w:t>
      </w:r>
    </w:p>
    <w:p>
      <w:pPr>
        <w:spacing w:after="0" w:line="174" w:lineRule="exact"/>
        <w:rPr>
          <w:rFonts w:ascii="Arial" w:cs="Arial" w:eastAsia="Arial" w:hAnsi="Arial"/>
          <w:sz w:val="22"/>
          <w:szCs w:val="22"/>
          <w:color w:val="auto"/>
        </w:rPr>
      </w:pPr>
    </w:p>
    <w:p>
      <w:pPr>
        <w:ind w:left="-251" w:right="240" w:firstLine="656"/>
        <w:spacing w:after="0" w:line="263" w:lineRule="auto"/>
        <w:tabs>
          <w:tab w:leader="none" w:pos="853"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Removal of Restrictions</w:t>
      </w:r>
      <w:r>
        <w:rPr>
          <w:rFonts w:ascii="Arial" w:cs="Arial" w:eastAsia="Arial" w:hAnsi="Arial"/>
          <w:sz w:val="22"/>
          <w:szCs w:val="22"/>
          <w:color w:val="auto"/>
        </w:rPr>
        <w:t>. Except as otherwise provided in this Section 9, Shares of Restricted Stock covered by each Restricted Stock grant made under the Plan</w:t>
      </w:r>
    </w:p>
    <w:p>
      <w:pPr>
        <w:sectPr>
          <w:pgSz w:w="11900" w:h="16838" w:orient="portrait"/>
          <w:cols w:equalWidth="0" w:num="1">
            <w:col w:w="11169"/>
          </w:cols>
          <w:pgMar w:left="491" w:top="847" w:right="239" w:bottom="1440" w:gutter="0" w:footer="0" w:header="0"/>
        </w:sectPr>
      </w:pPr>
    </w:p>
    <w:bookmarkStart w:id="90" w:name="page91"/>
    <w:bookmarkEnd w:id="90"/>
    <w:p>
      <w:pPr>
        <w:ind w:right="200"/>
        <w:spacing w:after="0" w:line="247" w:lineRule="auto"/>
        <w:rPr>
          <w:sz w:val="20"/>
          <w:szCs w:val="20"/>
          <w:color w:val="auto"/>
        </w:rPr>
      </w:pPr>
      <w:r>
        <w:rPr>
          <w:rFonts w:ascii="Arial" w:cs="Arial" w:eastAsia="Arial" w:hAnsi="Arial"/>
          <w:sz w:val="22"/>
          <w:szCs w:val="22"/>
          <w:color w:val="auto"/>
        </w:rPr>
        <w:t>shall be released from escrow as soon as practicable after the last day of the Period of Restriction. The Administrator, in its discretion, may accelerate the time at which any restrictions shall lapse or be removed. After the restrictions have lapsed, the Participant shall be entitled to have any legend or legends under Section 9(d)(iii) removed from his or her Share, and the Shares shall be freely transferable by the Participant. The Administrator (in its discretion) may establish procedures regarding the release of Shares from escrow and the removal of legends, as necessary or appropriate to minimize administrative burdens on the Company.</w:t>
      </w:r>
    </w:p>
    <w:p>
      <w:pPr>
        <w:spacing w:after="0" w:line="194" w:lineRule="exact"/>
        <w:rPr>
          <w:sz w:val="20"/>
          <w:szCs w:val="20"/>
          <w:color w:val="auto"/>
        </w:rPr>
      </w:pPr>
    </w:p>
    <w:p>
      <w:pPr>
        <w:ind w:right="20" w:firstLine="656"/>
        <w:spacing w:after="0" w:line="287" w:lineRule="auto"/>
        <w:tabs>
          <w:tab w:leader="none" w:pos="1080" w:val="left"/>
        </w:tabs>
        <w:numPr>
          <w:ilvl w:val="1"/>
          <w:numId w:val="71"/>
        </w:numPr>
        <w:rPr>
          <w:rFonts w:ascii="Arial" w:cs="Arial" w:eastAsia="Arial" w:hAnsi="Arial"/>
          <w:sz w:val="21"/>
          <w:szCs w:val="21"/>
          <w:color w:val="auto"/>
        </w:rPr>
      </w:pPr>
      <w:r>
        <w:rPr>
          <w:rFonts w:ascii="Arial" w:cs="Arial" w:eastAsia="Arial" w:hAnsi="Arial"/>
          <w:sz w:val="21"/>
          <w:szCs w:val="21"/>
          <w:u w:val="single" w:color="auto"/>
          <w:color w:val="auto"/>
        </w:rPr>
        <w:t>Voting Rights</w:t>
      </w:r>
      <w:r>
        <w:rPr>
          <w:rFonts w:ascii="Arial" w:cs="Arial" w:eastAsia="Arial" w:hAnsi="Arial"/>
          <w:sz w:val="21"/>
          <w:szCs w:val="21"/>
          <w:color w:val="auto"/>
        </w:rPr>
        <w:t>. During the Period of Restriction, Participants holding Shares of Restricted Stock granted hereunder may exercise full voting rights with respect to those Shares, unless the Administrator determines otherwise.</w:t>
      </w:r>
    </w:p>
    <w:p>
      <w:pPr>
        <w:spacing w:after="0" w:line="151" w:lineRule="exact"/>
        <w:rPr>
          <w:rFonts w:ascii="Arial" w:cs="Arial" w:eastAsia="Arial" w:hAnsi="Arial"/>
          <w:sz w:val="21"/>
          <w:szCs w:val="21"/>
          <w:color w:val="auto"/>
        </w:rPr>
      </w:pPr>
    </w:p>
    <w:p>
      <w:pPr>
        <w:jc w:val="both"/>
        <w:ind w:firstLine="656"/>
        <w:spacing w:after="0" w:line="302" w:lineRule="auto"/>
        <w:tabs>
          <w:tab w:leader="none" w:pos="1116"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Dividends and Other Distributions</w:t>
      </w:r>
      <w:r>
        <w:rPr>
          <w:rFonts w:ascii="Arial" w:cs="Arial" w:eastAsia="Arial" w:hAnsi="Arial"/>
          <w:sz w:val="19"/>
          <w:szCs w:val="19"/>
          <w:color w:val="auto"/>
        </w:rPr>
        <w:t>. During the Period of Restriction, Participants holding Shares of Restricted Stock shall be entitled to receive all dividends and other distributions paid with respect to such Shares unless otherwise provided in the Award Agreement. Any such dividends or distribution shall be subject to the same restrictions on transferability and forfeitability as the Shares of Restricted Stock with respect to which they were paid, unless otherwise provided in the Award Agreement.</w:t>
      </w:r>
    </w:p>
    <w:p>
      <w:pPr>
        <w:spacing w:after="0" w:line="142" w:lineRule="exact"/>
        <w:rPr>
          <w:rFonts w:ascii="Arial" w:cs="Arial" w:eastAsia="Arial" w:hAnsi="Arial"/>
          <w:sz w:val="19"/>
          <w:szCs w:val="19"/>
          <w:color w:val="auto"/>
        </w:rPr>
      </w:pPr>
    </w:p>
    <w:p>
      <w:pPr>
        <w:ind w:right="360" w:firstLine="656"/>
        <w:spacing w:after="0" w:line="343" w:lineRule="auto"/>
        <w:tabs>
          <w:tab w:leader="none" w:pos="1116"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Return of Restricted Stock to the Company</w:t>
      </w:r>
      <w:r>
        <w:rPr>
          <w:rFonts w:ascii="Arial" w:cs="Arial" w:eastAsia="Arial" w:hAnsi="Arial"/>
          <w:sz w:val="19"/>
          <w:szCs w:val="19"/>
          <w:color w:val="auto"/>
        </w:rPr>
        <w:t>. On the date set forth in the Award Agreement, the Restricted Stock for which restrictions have not lapsed shall revert to the Company and again shall become available for grant under the Plan.</w:t>
      </w:r>
    </w:p>
    <w:p>
      <w:pPr>
        <w:spacing w:after="0" w:line="104" w:lineRule="exact"/>
        <w:rPr>
          <w:rFonts w:ascii="Arial" w:cs="Arial" w:eastAsia="Arial" w:hAnsi="Arial"/>
          <w:sz w:val="19"/>
          <w:szCs w:val="19"/>
          <w:color w:val="auto"/>
        </w:rPr>
      </w:pPr>
    </w:p>
    <w:p>
      <w:pPr>
        <w:ind w:left="920" w:hanging="669"/>
        <w:spacing w:after="0"/>
        <w:tabs>
          <w:tab w:leader="none" w:pos="92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20" w:firstLine="656"/>
        <w:spacing w:after="0" w:line="297" w:lineRule="auto"/>
        <w:tabs>
          <w:tab w:leader="none" w:pos="1104"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Restricted Stock Units may be granted to Employees at any time and from time to time, as shall be determined by the Administrator, in its sole discretion. The Administrator shall have complete discretion in determining the number of Restricted Stock Units granted to each Participant, provided that during any Fiscal Year, no Participant shall receive more than a total of 750,000 Restricted Stock Units (and/or Shares of Restricted Stock); provided, however, that such limit shall be 1,500,000 Restricted Stock Units in the Participant’s first Fiscal Year of Company service.</w:t>
      </w:r>
    </w:p>
    <w:p>
      <w:pPr>
        <w:spacing w:after="0" w:line="147" w:lineRule="exact"/>
        <w:rPr>
          <w:rFonts w:ascii="Arial" w:cs="Arial" w:eastAsia="Arial" w:hAnsi="Arial"/>
          <w:sz w:val="19"/>
          <w:szCs w:val="19"/>
          <w:color w:val="auto"/>
        </w:rPr>
      </w:pPr>
    </w:p>
    <w:p>
      <w:pPr>
        <w:ind w:right="160" w:firstLine="656"/>
        <w:spacing w:after="0" w:line="263" w:lineRule="auto"/>
        <w:tabs>
          <w:tab w:leader="none" w:pos="1116"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Value of Restricted Stock Units</w:t>
      </w:r>
      <w:r>
        <w:rPr>
          <w:rFonts w:ascii="Arial" w:cs="Arial" w:eastAsia="Arial" w:hAnsi="Arial"/>
          <w:sz w:val="22"/>
          <w:szCs w:val="22"/>
          <w:color w:val="auto"/>
        </w:rPr>
        <w:t>. Each Restricted Stock Unit shall have an initial value equal to the Fair Market Value of a Share on the Grant Date.</w:t>
      </w:r>
    </w:p>
    <w:p>
      <w:pPr>
        <w:spacing w:after="0" w:line="174" w:lineRule="exact"/>
        <w:rPr>
          <w:rFonts w:ascii="Arial" w:cs="Arial" w:eastAsia="Arial" w:hAnsi="Arial"/>
          <w:sz w:val="22"/>
          <w:szCs w:val="22"/>
          <w:color w:val="auto"/>
        </w:rPr>
      </w:pPr>
    </w:p>
    <w:p>
      <w:pPr>
        <w:jc w:val="both"/>
        <w:ind w:right="160" w:firstLine="656"/>
        <w:spacing w:after="0" w:line="253" w:lineRule="auto"/>
        <w:tabs>
          <w:tab w:leader="none" w:pos="1104"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Restricted Stock Unit Agreement</w:t>
      </w:r>
      <w:r>
        <w:rPr>
          <w:rFonts w:ascii="Arial" w:cs="Arial" w:eastAsia="Arial" w:hAnsi="Arial"/>
          <w:sz w:val="22"/>
          <w:szCs w:val="22"/>
          <w:color w:val="auto"/>
        </w:rPr>
        <w:t>. Each Award of Restricted Stock Units shall be evidenced by an Award Agreement that shall specify any vesting conditions, the number of Restricted Stock Units granted, and such other terms and conditions as the Administrator, in its sole discretion, shall determine.</w:t>
      </w:r>
    </w:p>
    <w:p>
      <w:pPr>
        <w:spacing w:after="0" w:line="185" w:lineRule="exact"/>
        <w:rPr>
          <w:rFonts w:ascii="Arial" w:cs="Arial" w:eastAsia="Arial" w:hAnsi="Arial"/>
          <w:sz w:val="22"/>
          <w:szCs w:val="22"/>
          <w:color w:val="auto"/>
        </w:rPr>
      </w:pPr>
    </w:p>
    <w:p>
      <w:pPr>
        <w:ind w:right="80" w:firstLine="656"/>
        <w:spacing w:after="0" w:line="253" w:lineRule="auto"/>
        <w:tabs>
          <w:tab w:leader="none" w:pos="1116"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Performance Objectives and Other Terms</w:t>
      </w:r>
      <w:r>
        <w:rPr>
          <w:rFonts w:ascii="Arial" w:cs="Arial" w:eastAsia="Arial" w:hAnsi="Arial"/>
          <w:sz w:val="22"/>
          <w:szCs w:val="22"/>
          <w:color w:val="auto"/>
        </w:rPr>
        <w:t>. The Administrator, in its discretion, shall set performance objectives or other vesting criteria which, depending on the extent to which they are met, will determine the number or value of Restricted Stock Units that will be paid out to the Participants. Each Award of Restricted Stock Units shall</w:t>
      </w:r>
    </w:p>
    <w:p>
      <w:pPr>
        <w:sectPr>
          <w:pgSz w:w="11900" w:h="16838" w:orient="portrait"/>
          <w:cols w:equalWidth="0" w:num="1">
            <w:col w:w="11420"/>
          </w:cols>
          <w:pgMar w:left="240" w:top="847" w:right="239" w:bottom="1440" w:gutter="0" w:footer="0" w:header="0"/>
        </w:sectPr>
      </w:pPr>
    </w:p>
    <w:bookmarkStart w:id="91" w:name="page92"/>
    <w:bookmarkEnd w:id="91"/>
    <w:p>
      <w:pPr>
        <w:ind w:right="720"/>
        <w:spacing w:after="0" w:line="263" w:lineRule="auto"/>
        <w:rPr>
          <w:sz w:val="20"/>
          <w:szCs w:val="20"/>
          <w:color w:val="auto"/>
        </w:rPr>
      </w:pPr>
      <w:r>
        <w:rPr>
          <w:rFonts w:ascii="Arial" w:cs="Arial" w:eastAsia="Arial" w:hAnsi="Arial"/>
          <w:sz w:val="22"/>
          <w:szCs w:val="22"/>
          <w:color w:val="auto"/>
        </w:rPr>
        <w:t>be evidenced by an Award Agreement that shall specify the Performance Period, and such other terms and conditions as the Administrator, in its sole discretion, shall determine.</w:t>
      </w:r>
    </w:p>
    <w:p>
      <w:pPr>
        <w:spacing w:after="0" w:line="175" w:lineRule="exact"/>
        <w:rPr>
          <w:sz w:val="20"/>
          <w:szCs w:val="20"/>
          <w:color w:val="auto"/>
        </w:rPr>
      </w:pPr>
    </w:p>
    <w:p>
      <w:pPr>
        <w:jc w:val="both"/>
        <w:ind w:firstLine="1305"/>
        <w:spacing w:after="0" w:line="250" w:lineRule="auto"/>
        <w:tabs>
          <w:tab w:leader="none" w:pos="1987" w:val="left"/>
        </w:tabs>
        <w:numPr>
          <w:ilvl w:val="2"/>
          <w:numId w:val="73"/>
        </w:numPr>
        <w:rPr>
          <w:rFonts w:ascii="Arial" w:cs="Arial" w:eastAsia="Arial" w:hAnsi="Arial"/>
          <w:sz w:val="22"/>
          <w:szCs w:val="22"/>
          <w:color w:val="auto"/>
        </w:rPr>
      </w:pPr>
      <w:r>
        <w:rPr>
          <w:rFonts w:ascii="Arial" w:cs="Arial" w:eastAsia="Arial" w:hAnsi="Arial"/>
          <w:sz w:val="22"/>
          <w:szCs w:val="22"/>
          <w:color w:val="auto"/>
        </w:rPr>
        <w:t>General Performance Objectives, Performance Goals or Vesting Criteria. The Administrator may set performance objectives or vesting criteria based upon the achievement of Company-wide, departmental, or individual goals, Performance Goals, applicable federal or state securities laws, or any other basis determined by the Administrator in its discretion (for example, but not by way of limitation, continuous service as an Employee).</w:t>
      </w:r>
    </w:p>
    <w:p>
      <w:pPr>
        <w:spacing w:after="0" w:line="188" w:lineRule="exact"/>
        <w:rPr>
          <w:rFonts w:ascii="Arial" w:cs="Arial" w:eastAsia="Arial" w:hAnsi="Arial"/>
          <w:sz w:val="22"/>
          <w:szCs w:val="22"/>
          <w:color w:val="auto"/>
        </w:rPr>
      </w:pPr>
    </w:p>
    <w:p>
      <w:pPr>
        <w:jc w:val="both"/>
        <w:ind w:firstLine="1305"/>
        <w:spacing w:after="0" w:line="273" w:lineRule="auto"/>
        <w:tabs>
          <w:tab w:leader="none" w:pos="1939" w:val="left"/>
        </w:tabs>
        <w:numPr>
          <w:ilvl w:val="2"/>
          <w:numId w:val="73"/>
        </w:numPr>
        <w:rPr>
          <w:rFonts w:ascii="Arial" w:cs="Arial" w:eastAsia="Arial" w:hAnsi="Arial"/>
          <w:sz w:val="21"/>
          <w:szCs w:val="21"/>
          <w:color w:val="auto"/>
        </w:rPr>
      </w:pPr>
      <w:r>
        <w:rPr>
          <w:rFonts w:ascii="Arial" w:cs="Arial" w:eastAsia="Arial" w:hAnsi="Arial"/>
          <w:sz w:val="21"/>
          <w:szCs w:val="21"/>
          <w:color w:val="auto"/>
        </w:rPr>
        <w:t>Section 162(m) Performance Objectives. For purposes of qualifying grants of Restricted Stock Units as “performance-based compensation” under Section 162(m) of the Code, the Administrator, in its discretion, may determine that the performance objectives applicable to Restricted Stock Units shall be based on the achievement of Performance Goals. The Performance Goals shall be set by the Administrator on or before the latest date permissible to enable the Restricted Stock Units to qualify as “performance-based compensation” under Section 162(m) of the Code. In granting Restricted Stock Units that are intended to qualify under Section 162(m) of the Code, the Administrator shall follow any procedures determined by it from time to time to be necessary or appropriate to ensure qualification of the Restricted Stock Units under Section 162(m) of the Code (e.g., in determining the Performance Goals).</w:t>
      </w:r>
    </w:p>
    <w:p>
      <w:pPr>
        <w:spacing w:after="0" w:line="179" w:lineRule="exact"/>
        <w:rPr>
          <w:rFonts w:ascii="Arial" w:cs="Arial" w:eastAsia="Arial" w:hAnsi="Arial"/>
          <w:sz w:val="21"/>
          <w:szCs w:val="21"/>
          <w:color w:val="auto"/>
        </w:rPr>
      </w:pPr>
    </w:p>
    <w:p>
      <w:pPr>
        <w:jc w:val="both"/>
        <w:ind w:right="200" w:firstLine="656"/>
        <w:spacing w:after="0" w:line="248" w:lineRule="auto"/>
        <w:tabs>
          <w:tab w:leader="none" w:pos="1104"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Earning of Restricted Stock Units</w:t>
      </w:r>
      <w:r>
        <w:rPr>
          <w:rFonts w:ascii="Arial" w:cs="Arial" w:eastAsia="Arial" w:hAnsi="Arial"/>
          <w:sz w:val="22"/>
          <w:szCs w:val="22"/>
          <w:color w:val="auto"/>
        </w:rPr>
        <w:t>. After the applicable Performance Period has ended, the holder of Restricted Stock Units shall be entitled to receive a payout of the number of Restricted Stock Units earned by the Participant over the Performance Period, to be determined as a function of the extent to which the corresponding performance objectives have been achieved. After the grant of a Restricted Stock Unit, the Administrator, in its sole discretion, may reduce or waive any performance objectives for such Restricted Stock Unit.</w:t>
      </w:r>
    </w:p>
    <w:p>
      <w:pPr>
        <w:spacing w:after="0" w:line="192" w:lineRule="exact"/>
        <w:rPr>
          <w:rFonts w:ascii="Arial" w:cs="Arial" w:eastAsia="Arial" w:hAnsi="Arial"/>
          <w:sz w:val="22"/>
          <w:szCs w:val="22"/>
          <w:color w:val="auto"/>
        </w:rPr>
      </w:pPr>
    </w:p>
    <w:p>
      <w:pPr>
        <w:ind w:right="100" w:firstLine="656"/>
        <w:spacing w:after="0" w:line="271" w:lineRule="auto"/>
        <w:tabs>
          <w:tab w:leader="none" w:pos="1080"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 of Restricted Stock Units</w:t>
      </w:r>
      <w:r>
        <w:rPr>
          <w:rFonts w:ascii="Arial" w:cs="Arial" w:eastAsia="Arial" w:hAnsi="Arial"/>
          <w:sz w:val="21"/>
          <w:szCs w:val="21"/>
          <w:color w:val="auto"/>
        </w:rPr>
        <w:t>. Payment of vested Restricted Stock Units shall be made as soon as practicable after vesting (subject to any deferral permitted under Section 18). The Administrator, in its sole discretion, may pay Restricted Stock Units in the form of cash, in Shares or in a combination thereof.</w:t>
      </w:r>
    </w:p>
    <w:p>
      <w:pPr>
        <w:spacing w:after="0" w:line="167" w:lineRule="exact"/>
        <w:rPr>
          <w:rFonts w:ascii="Arial" w:cs="Arial" w:eastAsia="Arial" w:hAnsi="Arial"/>
          <w:sz w:val="21"/>
          <w:szCs w:val="21"/>
          <w:color w:val="auto"/>
        </w:rPr>
      </w:pPr>
    </w:p>
    <w:p>
      <w:pPr>
        <w:ind w:right="20" w:firstLine="656"/>
        <w:spacing w:after="0" w:line="253" w:lineRule="auto"/>
        <w:tabs>
          <w:tab w:leader="none" w:pos="1116"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Cancellation of Restricted Stock Units</w:t>
      </w:r>
      <w:r>
        <w:rPr>
          <w:rFonts w:ascii="Arial" w:cs="Arial" w:eastAsia="Arial" w:hAnsi="Arial"/>
          <w:sz w:val="22"/>
          <w:szCs w:val="22"/>
          <w:color w:val="auto"/>
        </w:rPr>
        <w:t>. On the date set forth in the Award Agreement, all unvested Restricted Stock Units shall be forfeited to the Company and, except as otherwise determined by the Administrator, again shall be available for grant under the Plan.</w:t>
      </w:r>
    </w:p>
    <w:p>
      <w:pPr>
        <w:spacing w:after="0" w:line="185" w:lineRule="exact"/>
        <w:rPr>
          <w:rFonts w:ascii="Arial" w:cs="Arial" w:eastAsia="Arial" w:hAnsi="Arial"/>
          <w:sz w:val="22"/>
          <w:szCs w:val="22"/>
          <w:color w:val="auto"/>
        </w:rPr>
      </w:pPr>
    </w:p>
    <w:p>
      <w:pPr>
        <w:ind w:right="20" w:firstLine="251"/>
        <w:spacing w:after="0" w:line="287" w:lineRule="auto"/>
        <w:tabs>
          <w:tab w:leader="none" w:pos="91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Leaves of Absence</w:t>
      </w:r>
      <w:r>
        <w:rPr>
          <w:rFonts w:ascii="Arial" w:cs="Arial" w:eastAsia="Arial" w:hAnsi="Arial"/>
          <w:sz w:val="21"/>
          <w:szCs w:val="21"/>
          <w:color w:val="auto"/>
        </w:rPr>
        <w:t>. Unless the Administrator provides otherwise or except as otherwise required by Applicable Laws, vesting of Awards granted hereunder shall continue during any leave of absence approved by the Administrator.</w:t>
      </w:r>
    </w:p>
    <w:p>
      <w:pPr>
        <w:spacing w:after="0" w:line="151" w:lineRule="exact"/>
        <w:rPr>
          <w:rFonts w:ascii="Arial" w:cs="Arial" w:eastAsia="Arial" w:hAnsi="Arial"/>
          <w:sz w:val="21"/>
          <w:szCs w:val="21"/>
          <w:color w:val="auto"/>
        </w:rPr>
      </w:pPr>
    </w:p>
    <w:p>
      <w:pPr>
        <w:jc w:val="both"/>
        <w:ind w:firstLine="251"/>
        <w:spacing w:after="0" w:line="253" w:lineRule="auto"/>
        <w:tabs>
          <w:tab w:leader="none" w:pos="91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Non-Transferability of Awards</w:t>
      </w:r>
      <w:r>
        <w:rPr>
          <w:rFonts w:ascii="Arial" w:cs="Arial" w:eastAsia="Arial" w:hAnsi="Arial"/>
          <w:sz w:val="22"/>
          <w:szCs w:val="22"/>
          <w:color w:val="auto"/>
        </w:rPr>
        <w:t>. Unless determined otherwise by the Administrator, an Award may not be sold, pledged, assigned, hypothecated, transferred, or disposed of in any manner other than by will or by the laws of descent or distribution and may be exercised,</w:t>
      </w:r>
    </w:p>
    <w:p>
      <w:pPr>
        <w:sectPr>
          <w:pgSz w:w="11900" w:h="16838" w:orient="portrait"/>
          <w:cols w:equalWidth="0" w:num="1">
            <w:col w:w="11420"/>
          </w:cols>
          <w:pgMar w:left="240" w:top="847" w:right="239" w:bottom="1440" w:gutter="0" w:footer="0" w:header="0"/>
        </w:sectPr>
      </w:pPr>
    </w:p>
    <w:bookmarkStart w:id="92" w:name="page93"/>
    <w:bookmarkEnd w:id="92"/>
    <w:p>
      <w:pPr>
        <w:jc w:val="both"/>
        <w:spacing w:after="0" w:line="263" w:lineRule="auto"/>
        <w:rPr>
          <w:sz w:val="20"/>
          <w:szCs w:val="20"/>
          <w:color w:val="auto"/>
        </w:rPr>
      </w:pPr>
      <w:r>
        <w:rPr>
          <w:rFonts w:ascii="Arial" w:cs="Arial" w:eastAsia="Arial" w:hAnsi="Arial"/>
          <w:sz w:val="21"/>
          <w:szCs w:val="21"/>
          <w:color w:val="auto"/>
        </w:rPr>
        <w:t>during the lifetime of the recipient, only by the recipient. If the Administrator makes an Award transferable, such Award shall contain such additional terms and conditions as the Administrator deems appropriate; provided, however, that such Award shall in no event be transferable for value. Notwithstanding the foregoing, a Participant may, if the Administrator (in its discretion) so permits, transfer an Award to an individual or entity other than the Company. Any such transfer shall be made in accordance with such procedures as the Administrator may specify from time to time.</w:t>
      </w:r>
    </w:p>
    <w:p>
      <w:pPr>
        <w:spacing w:after="0" w:line="176" w:lineRule="exact"/>
        <w:rPr>
          <w:sz w:val="20"/>
          <w:szCs w:val="20"/>
          <w:color w:val="auto"/>
        </w:rPr>
      </w:pPr>
    </w:p>
    <w:p>
      <w:pPr>
        <w:ind w:left="920" w:hanging="669"/>
        <w:spacing w:after="0"/>
        <w:tabs>
          <w:tab w:leader="none" w:pos="92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Adjustments Upon Changes in Capitalization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40" w:firstLine="656"/>
        <w:spacing w:after="0" w:line="287" w:lineRule="auto"/>
        <w:tabs>
          <w:tab w:leader="none" w:pos="1104" w:val="left"/>
        </w:tabs>
        <w:numPr>
          <w:ilvl w:val="1"/>
          <w:numId w:val="76"/>
        </w:numPr>
        <w:rPr>
          <w:rFonts w:ascii="Arial" w:cs="Arial" w:eastAsia="Arial" w:hAnsi="Arial"/>
          <w:sz w:val="19"/>
          <w:szCs w:val="19"/>
          <w:color w:val="auto"/>
        </w:rPr>
      </w:pPr>
      <w:r>
        <w:rPr>
          <w:rFonts w:ascii="Arial" w:cs="Arial" w:eastAsia="Arial" w:hAnsi="Arial"/>
          <w:sz w:val="19"/>
          <w:szCs w:val="19"/>
          <w:color w:val="auto"/>
        </w:rPr>
        <w:t>Subject to any required action by the stockholders of the Company, the number of Shares covered by each outstanding Award, the number of Shares which have been authorized for issuance under the Plan but as to which no Awards have yet been granted or which have been returned to the Plan upon cancellation or expiration of an Award, as well as the price per Share of Common Stock covered by each such outstanding Award and the 162(m) Fiscal Year share issuance limits under Sections 8(a), 9(a) and 10(a) hereof, shall be proportionately adjusted for any increase or decrease in the number or value of issued Shares resulting from a stock split, reverse stock split, stock dividend, combination or reclassification of the Common Stock, or any other increase or decrease in the number or value of issued Shares effected without receipt of consideration by the Company (excluding a regular cash dividend); provided, however, that conversion of any convertible securities of the Company shall not be deemed to have been “effected without receipt of consideration.” Such adjustment shall be made by the Compensation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59" w:lineRule="exact"/>
        <w:rPr>
          <w:rFonts w:ascii="Arial" w:cs="Arial" w:eastAsia="Arial" w:hAnsi="Arial"/>
          <w:sz w:val="19"/>
          <w:szCs w:val="19"/>
          <w:color w:val="auto"/>
        </w:rPr>
      </w:pPr>
    </w:p>
    <w:p>
      <w:pPr>
        <w:ind w:right="20" w:firstLine="656"/>
        <w:spacing w:after="0" w:line="259" w:lineRule="auto"/>
        <w:tabs>
          <w:tab w:leader="none" w:pos="1116" w:val="left"/>
        </w:tabs>
        <w:numPr>
          <w:ilvl w:val="1"/>
          <w:numId w:val="76"/>
        </w:numPr>
        <w:rPr>
          <w:rFonts w:ascii="Arial" w:cs="Arial" w:eastAsia="Arial" w:hAnsi="Arial"/>
          <w:sz w:val="21"/>
          <w:szCs w:val="21"/>
          <w:color w:val="auto"/>
        </w:rPr>
      </w:pPr>
      <w:r>
        <w:rPr>
          <w:rFonts w:ascii="Arial" w:cs="Arial" w:eastAsia="Arial" w:hAnsi="Arial"/>
          <w:sz w:val="21"/>
          <w:szCs w:val="21"/>
          <w:u w:val="single" w:color="auto"/>
          <w:color w:val="auto"/>
        </w:rPr>
        <w:t>Dissolution or Liquidation</w:t>
      </w:r>
      <w:r>
        <w:rPr>
          <w:rFonts w:ascii="Arial" w:cs="Arial" w:eastAsia="Arial" w:hAnsi="Arial"/>
          <w:sz w:val="21"/>
          <w:szCs w:val="21"/>
          <w:color w:val="auto"/>
        </w:rPr>
        <w:t>. In the event of the proposed dissolution or liquidation of the Company, the Administrator shall notify each Participant as soon as practicable prior to the effective date of such proposed transaction. The Administrator in its discretion may provide for a Participant to have the right to exercise his or her Award until ten (10) days prior to such transaction as to all of the Shares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84" w:lineRule="exact"/>
        <w:rPr>
          <w:rFonts w:ascii="Arial" w:cs="Arial" w:eastAsia="Arial" w:hAnsi="Arial"/>
          <w:sz w:val="21"/>
          <w:szCs w:val="21"/>
          <w:color w:val="auto"/>
        </w:rPr>
      </w:pPr>
    </w:p>
    <w:p>
      <w:pPr>
        <w:ind w:right="380" w:firstLine="656"/>
        <w:spacing w:after="0" w:line="287" w:lineRule="auto"/>
        <w:tabs>
          <w:tab w:leader="none" w:pos="1104" w:val="left"/>
        </w:tabs>
        <w:numPr>
          <w:ilvl w:val="1"/>
          <w:numId w:val="76"/>
        </w:numPr>
        <w:rPr>
          <w:rFonts w:ascii="Arial" w:cs="Arial" w:eastAsia="Arial" w:hAnsi="Arial"/>
          <w:sz w:val="21"/>
          <w:szCs w:val="21"/>
          <w:color w:val="auto"/>
        </w:rPr>
      </w:pPr>
      <w:r>
        <w:rPr>
          <w:rFonts w:ascii="Arial" w:cs="Arial" w:eastAsia="Arial" w:hAnsi="Arial"/>
          <w:sz w:val="21"/>
          <w:szCs w:val="21"/>
          <w:u w:val="single" w:color="auto"/>
          <w:color w:val="auto"/>
        </w:rPr>
        <w:t>Change of Control</w:t>
      </w:r>
      <w:r>
        <w:rPr>
          <w:rFonts w:ascii="Arial" w:cs="Arial" w:eastAsia="Arial" w:hAnsi="Arial"/>
          <w:sz w:val="21"/>
          <w:szCs w:val="21"/>
          <w:color w:val="auto"/>
        </w:rPr>
        <w:t>. In the event of a Change of Control, each outstanding Award shall be assumed or an equivalent Award substituted by the successor corporation or a Parent or Subsidiary of the successor corporation.</w:t>
      </w:r>
    </w:p>
    <w:p>
      <w:pPr>
        <w:spacing w:after="0" w:line="152" w:lineRule="exact"/>
        <w:rPr>
          <w:sz w:val="20"/>
          <w:szCs w:val="20"/>
          <w:color w:val="auto"/>
        </w:rPr>
      </w:pPr>
    </w:p>
    <w:p>
      <w:pPr>
        <w:ind w:right="240" w:firstLine="1297"/>
        <w:spacing w:after="0" w:line="253" w:lineRule="auto"/>
        <w:rPr>
          <w:sz w:val="20"/>
          <w:szCs w:val="20"/>
          <w:color w:val="auto"/>
        </w:rPr>
      </w:pPr>
      <w:r>
        <w:rPr>
          <w:rFonts w:ascii="Arial" w:cs="Arial" w:eastAsia="Arial" w:hAnsi="Arial"/>
          <w:sz w:val="22"/>
          <w:szCs w:val="22"/>
          <w:color w:val="auto"/>
        </w:rPr>
        <w:t>In the event that the successor corporation refuses to assume or substitute for the Award, the Participant shall fully vest in and have the right to exercise all of his or her outstanding Options, including Shares as to which such Awards would not otherwise</w:t>
      </w:r>
    </w:p>
    <w:p>
      <w:pPr>
        <w:sectPr>
          <w:pgSz w:w="11900" w:h="16838" w:orient="portrait"/>
          <w:cols w:equalWidth="0" w:num="1">
            <w:col w:w="11420"/>
          </w:cols>
          <w:pgMar w:left="240" w:top="847" w:right="239" w:bottom="1440" w:gutter="0" w:footer="0" w:header="0"/>
        </w:sectPr>
      </w:pPr>
    </w:p>
    <w:bookmarkStart w:id="93" w:name="page94"/>
    <w:bookmarkEnd w:id="93"/>
    <w:p>
      <w:pPr>
        <w:spacing w:after="0" w:line="246" w:lineRule="auto"/>
        <w:rPr>
          <w:sz w:val="20"/>
          <w:szCs w:val="20"/>
          <w:color w:val="auto"/>
        </w:rPr>
      </w:pPr>
      <w:r>
        <w:rPr>
          <w:rFonts w:ascii="Arial" w:cs="Arial" w:eastAsia="Arial" w:hAnsi="Arial"/>
          <w:sz w:val="22"/>
          <w:szCs w:val="22"/>
          <w:color w:val="auto"/>
        </w:rPr>
        <w:t>be vested or exercisable, all restrictions on Restricted Stock will lapse and all Restricted Stock Units shall become fully vested; provided, however, that, with respect to Awards with performance-based vesting, including but not limited to Restricted Stock and Restricted Stock Units, all performance goals or other vesting criteria will be deemed achieved at one hundred percent (100%) of target levels and all other terms and conditions met. In addition, if an Option is not assumed or substituted in the event of a Change of Control, the Administrator shall notify the Participant in writing or electronically that the Option shall be fully vested and exercisable for a period of fifteen (15) days from the date of such notice, and the Option shall terminate upon the expiration of such period.</w:t>
      </w:r>
    </w:p>
    <w:p>
      <w:pPr>
        <w:spacing w:after="0" w:line="197"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auto"/>
        </w:rPr>
        <w:t>For the purposes of this paragraph, an Award shall be considered assumed if, following the Change of Control, the Award confers the right to purchase or receive, for each Share subject to the Award immediately prior to the Change of Control, the consideration (whether stock, cash, or other securities or property) received in the Change of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of Control is not solely common stock of the successor corporation or its Parent, the Administrator may, with the consent of the successor corporation, provide for the consideration to be received upon the exercise of an Option or upon the payout of the Restricted Stock Unit Award, for each Share subject to the Award, to be solely common stock of the successor corporation or its Parent equal in fair market value to the per share consideration received by holders of Common Stock in the Change of Control.</w:t>
      </w:r>
    </w:p>
    <w:p>
      <w:pPr>
        <w:spacing w:after="0" w:line="186"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of Control corporate structure will not be deemed to invalidate an otherwise valid Award assumption.</w:t>
      </w:r>
    </w:p>
    <w:p>
      <w:pPr>
        <w:spacing w:after="0" w:line="192" w:lineRule="exact"/>
        <w:rPr>
          <w:sz w:val="20"/>
          <w:szCs w:val="20"/>
          <w:color w:val="auto"/>
        </w:rPr>
      </w:pPr>
    </w:p>
    <w:p>
      <w:pPr>
        <w:ind w:left="920" w:hanging="669"/>
        <w:spacing w:after="0"/>
        <w:tabs>
          <w:tab w:leader="none" w:pos="92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312" w:lineRule="auto"/>
        <w:tabs>
          <w:tab w:leader="none" w:pos="1104"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Subject to Section 8(d) hereof, the Board may at any time amend, alter, suspend or terminate the Plan; provided, however, that to the extent necessary and desirable to comply with any Applicable Law, the Company shall obtain stockholder approval of any Plan amendment in such a manner and to such a degree as required.</w:t>
      </w:r>
    </w:p>
    <w:p>
      <w:pPr>
        <w:spacing w:after="0" w:line="133" w:lineRule="exact"/>
        <w:rPr>
          <w:rFonts w:ascii="Arial" w:cs="Arial" w:eastAsia="Arial" w:hAnsi="Arial"/>
          <w:sz w:val="19"/>
          <w:szCs w:val="19"/>
          <w:color w:val="auto"/>
        </w:rPr>
      </w:pPr>
    </w:p>
    <w:p>
      <w:pPr>
        <w:ind w:right="260" w:firstLine="656"/>
        <w:spacing w:after="0" w:line="271" w:lineRule="auto"/>
        <w:tabs>
          <w:tab w:leader="none" w:pos="1116"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Effect of Amendment or Termination</w:t>
      </w:r>
      <w:r>
        <w:rPr>
          <w:rFonts w:ascii="Arial" w:cs="Arial" w:eastAsia="Arial" w:hAnsi="Arial"/>
          <w:sz w:val="21"/>
          <w:szCs w:val="21"/>
          <w:color w:val="auto"/>
        </w:rPr>
        <w:t>. No amendment, alteration, suspension or termination of the Plan shall impair the rights of any Participant, unless mutually agreed otherwise between the Participant and the Administrator, which agreement must be in writing (or electronic format) and signed by the Participant and the Company.</w:t>
      </w:r>
    </w:p>
    <w:p>
      <w:pPr>
        <w:sectPr>
          <w:pgSz w:w="11900" w:h="16838" w:orient="portrait"/>
          <w:cols w:equalWidth="0" w:num="1">
            <w:col w:w="11380"/>
          </w:cols>
          <w:pgMar w:left="240" w:top="847" w:right="279" w:bottom="1440" w:gutter="0" w:footer="0" w:header="0"/>
        </w:sectPr>
      </w:pPr>
    </w:p>
    <w:bookmarkStart w:id="94" w:name="page95"/>
    <w:bookmarkEnd w:id="94"/>
    <w:p>
      <w:pPr>
        <w:ind w:left="669" w:hanging="669"/>
        <w:spacing w:after="0"/>
        <w:tabs>
          <w:tab w:leader="none" w:pos="66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51" w:right="200" w:firstLine="656"/>
        <w:spacing w:after="0" w:line="253" w:lineRule="auto"/>
        <w:tabs>
          <w:tab w:leader="none" w:pos="853"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Legal Compliance</w:t>
      </w:r>
      <w:r>
        <w:rPr>
          <w:rFonts w:ascii="Arial" w:cs="Arial" w:eastAsia="Arial" w:hAnsi="Arial"/>
          <w:sz w:val="22"/>
          <w:szCs w:val="22"/>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85" w:lineRule="exact"/>
        <w:rPr>
          <w:rFonts w:ascii="Arial" w:cs="Arial" w:eastAsia="Arial" w:hAnsi="Arial"/>
          <w:sz w:val="22"/>
          <w:szCs w:val="22"/>
          <w:color w:val="auto"/>
        </w:rPr>
      </w:pPr>
    </w:p>
    <w:p>
      <w:pPr>
        <w:ind w:left="-251" w:right="320" w:firstLine="656"/>
        <w:spacing w:after="0" w:line="302" w:lineRule="auto"/>
        <w:tabs>
          <w:tab w:leader="none" w:pos="865"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Investment Representations</w:t>
      </w:r>
      <w:r>
        <w:rPr>
          <w:rFonts w:ascii="Arial" w:cs="Arial" w:eastAsia="Arial" w:hAnsi="Arial"/>
          <w:sz w:val="19"/>
          <w:szCs w:val="19"/>
          <w:color w:val="auto"/>
        </w:rPr>
        <w:t>. As a condition to the exercise or receipt of Shares pursuant to an Award, the Company may require the person exercising or receiving Shares pursuant to an Award to represent and warrant at the time of any such exercise or receipt that the Shares are being purchased only for investment and without any present intention to sell or distribute such Shares if, in the opinion of counsel for the Company, such a representation is required.</w:t>
      </w:r>
    </w:p>
    <w:p>
      <w:pPr>
        <w:spacing w:after="0" w:line="142" w:lineRule="exact"/>
        <w:rPr>
          <w:rFonts w:ascii="Arial" w:cs="Arial" w:eastAsia="Arial" w:hAnsi="Arial"/>
          <w:sz w:val="19"/>
          <w:szCs w:val="19"/>
          <w:color w:val="auto"/>
        </w:rPr>
      </w:pPr>
    </w:p>
    <w:p>
      <w:pPr>
        <w:ind w:left="669" w:hanging="669"/>
        <w:spacing w:after="0"/>
        <w:tabs>
          <w:tab w:leader="none" w:pos="66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Liability of Company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51" w:right="140" w:firstLine="656"/>
        <w:spacing w:after="0" w:line="250" w:lineRule="auto"/>
        <w:tabs>
          <w:tab w:leader="none" w:pos="853"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Inability to Obtain Authority</w:t>
      </w:r>
      <w:r>
        <w:rPr>
          <w:rFonts w:ascii="Arial" w:cs="Arial" w:eastAsia="Arial" w:hAnsi="Arial"/>
          <w:sz w:val="22"/>
          <w:szCs w:val="22"/>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8" w:lineRule="exact"/>
        <w:rPr>
          <w:rFonts w:ascii="Arial" w:cs="Arial" w:eastAsia="Arial" w:hAnsi="Arial"/>
          <w:sz w:val="22"/>
          <w:szCs w:val="22"/>
          <w:color w:val="auto"/>
        </w:rPr>
      </w:pPr>
    </w:p>
    <w:p>
      <w:pPr>
        <w:ind w:left="-251" w:right="100" w:firstLine="656"/>
        <w:spacing w:after="0" w:line="250" w:lineRule="auto"/>
        <w:tabs>
          <w:tab w:leader="none" w:pos="865"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Grants Exceeding Allotted Shares</w:t>
      </w:r>
      <w:r>
        <w:rPr>
          <w:rFonts w:ascii="Arial" w:cs="Arial" w:eastAsia="Arial" w:hAnsi="Arial"/>
          <w:sz w:val="22"/>
          <w:szCs w:val="22"/>
          <w:color w:val="auto"/>
        </w:rPr>
        <w:t>. If the Shares covered by an Award exceed, as of the Date of Grant, the number of Shares which may be issued under the Plan without additional stockholder approval, such Award shall be void with respect to such excess Shares, unless stockholder approval of an amendment sufficiently increasing the number of Shares subject to the Plan is timely obtained in accordance with Section 14(a) of the Plan.</w:t>
      </w:r>
    </w:p>
    <w:p>
      <w:pPr>
        <w:spacing w:after="0" w:line="188" w:lineRule="exact"/>
        <w:rPr>
          <w:rFonts w:ascii="Arial" w:cs="Arial" w:eastAsia="Arial" w:hAnsi="Arial"/>
          <w:sz w:val="22"/>
          <w:szCs w:val="22"/>
          <w:color w:val="auto"/>
        </w:rPr>
      </w:pPr>
    </w:p>
    <w:p>
      <w:pPr>
        <w:ind w:left="-251" w:firstLine="251"/>
        <w:spacing w:after="0" w:line="263" w:lineRule="auto"/>
        <w:tabs>
          <w:tab w:leader="none" w:pos="667"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Reservation of Shares</w:t>
      </w:r>
      <w:r>
        <w:rPr>
          <w:rFonts w:ascii="Arial" w:cs="Arial" w:eastAsia="Arial" w:hAnsi="Arial"/>
          <w:sz w:val="22"/>
          <w:szCs w:val="22"/>
          <w:color w:val="auto"/>
        </w:rPr>
        <w:t>. The Company, during the term of this Plan, will at all times reserve and keep available such number of Shares as shall be sufficient to satisfy the requirements of the Plan.</w:t>
      </w:r>
    </w:p>
    <w:p>
      <w:pPr>
        <w:spacing w:after="0" w:line="174" w:lineRule="exact"/>
        <w:rPr>
          <w:rFonts w:ascii="Arial" w:cs="Arial" w:eastAsia="Arial" w:hAnsi="Arial"/>
          <w:sz w:val="22"/>
          <w:szCs w:val="22"/>
          <w:color w:val="auto"/>
        </w:rPr>
      </w:pPr>
    </w:p>
    <w:p>
      <w:pPr>
        <w:jc w:val="both"/>
        <w:ind w:left="-251" w:firstLine="251"/>
        <w:spacing w:after="0" w:line="312" w:lineRule="auto"/>
        <w:tabs>
          <w:tab w:leader="none" w:pos="66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Deferrals</w:t>
      </w:r>
      <w:r>
        <w:rPr>
          <w:rFonts w:ascii="Arial" w:cs="Arial" w:eastAsia="Arial" w:hAnsi="Arial"/>
          <w:sz w:val="19"/>
          <w:szCs w:val="19"/>
          <w:color w:val="auto"/>
        </w:rPr>
        <w:t>. The Administrator, in its sole discretion, may permit or require a Participant to defer receipt of the payment of cash or the delivery of Shares that would otherwise be due to such Participant under an Award. Any such deferral elections shall be subject to such rules and procedures as shall be determined by the Administrator in its sole discretion.</w:t>
      </w:r>
    </w:p>
    <w:p>
      <w:pPr>
        <w:spacing w:after="0" w:line="133" w:lineRule="exact"/>
        <w:rPr>
          <w:rFonts w:ascii="Arial" w:cs="Arial" w:eastAsia="Arial" w:hAnsi="Arial"/>
          <w:sz w:val="19"/>
          <w:szCs w:val="19"/>
          <w:color w:val="auto"/>
        </w:rPr>
      </w:pPr>
    </w:p>
    <w:p>
      <w:pPr>
        <w:ind w:left="-251" w:firstLine="251"/>
        <w:spacing w:after="0" w:line="263" w:lineRule="auto"/>
        <w:tabs>
          <w:tab w:leader="none" w:pos="667"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 No Employee shall have the right to be selected to receive an Award under this Plan, or, having been so selected, to be selected to receive a future Award.</w:t>
      </w:r>
    </w:p>
    <w:p>
      <w:pPr>
        <w:spacing w:after="0" w:line="174" w:lineRule="exact"/>
        <w:rPr>
          <w:rFonts w:ascii="Arial" w:cs="Arial" w:eastAsia="Arial" w:hAnsi="Arial"/>
          <w:sz w:val="22"/>
          <w:szCs w:val="22"/>
          <w:color w:val="auto"/>
        </w:rPr>
      </w:pPr>
    </w:p>
    <w:p>
      <w:pPr>
        <w:jc w:val="both"/>
        <w:ind w:left="-251" w:firstLine="251"/>
        <w:spacing w:after="0" w:line="250" w:lineRule="auto"/>
        <w:tabs>
          <w:tab w:leader="none" w:pos="667"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 Rights as Stockholder</w:t>
      </w:r>
      <w:r>
        <w:rPr>
          <w:rFonts w:ascii="Arial" w:cs="Arial" w:eastAsia="Arial" w:hAnsi="Arial"/>
          <w:sz w:val="22"/>
          <w:szCs w:val="22"/>
          <w:color w:val="auto"/>
        </w:rPr>
        <w:t>. Except to the limited extent provided in Sections 9(f) or 9(g), no Participant (nor any beneficiary) shall have any of the rights or privileges of a stockholder of the Company with respect to any Shares issuable pursuant to an Award (or exercise thereof), unless and until Shares shall have been issued, recorded on the records of the Company or its transfer agents or registrars, and delivered to the Participant (or beneficiary).</w:t>
      </w:r>
    </w:p>
    <w:p>
      <w:pPr>
        <w:sectPr>
          <w:pgSz w:w="11900" w:h="16838" w:orient="portrait"/>
          <w:cols w:equalWidth="0" w:num="1">
            <w:col w:w="11169"/>
          </w:cols>
          <w:pgMar w:left="491" w:top="847" w:right="239" w:bottom="1440" w:gutter="0" w:footer="0" w:header="0"/>
        </w:sectPr>
      </w:pPr>
    </w:p>
    <w:bookmarkStart w:id="95" w:name="page96"/>
    <w:bookmarkEnd w:id="95"/>
    <w:p>
      <w:pPr>
        <w:jc w:val="both"/>
        <w:ind w:left="-251" w:firstLine="251"/>
        <w:spacing w:after="0" w:line="246" w:lineRule="auto"/>
        <w:tabs>
          <w:tab w:leader="none" w:pos="66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Withholding Requirements</w:t>
      </w:r>
      <w:r>
        <w:rPr>
          <w:rFonts w:ascii="Arial" w:cs="Arial" w:eastAsia="Arial" w:hAnsi="Arial"/>
          <w:sz w:val="22"/>
          <w:szCs w:val="22"/>
          <w:color w:val="auto"/>
        </w:rPr>
        <w:t>. Prior to the delivery of any Shares or cash pursuant to an Award (or exercise thereof), the Company shall have the power and the right to deduct or withhold, or require a Participant to remit to the Company, an amount sufficient to satisfy federal, state, local and foreign taxes (including the Participant’s FICA obligation) required to be withheld with respect to such Award (or exercise thereof). Notwithstanding any contrary provision of the Plan, if a Participant fails to remit to the Company such withholding amount within the time period specified by the Administrator (in its discretion), the Participant’s Award may, in the Administrator’s discretion, be forfeited and in such case the Participant shall not receive any of the Shares subject to such Award.</w:t>
      </w:r>
    </w:p>
    <w:p>
      <w:pPr>
        <w:spacing w:after="0" w:line="197" w:lineRule="exact"/>
        <w:rPr>
          <w:rFonts w:ascii="Arial" w:cs="Arial" w:eastAsia="Arial" w:hAnsi="Arial"/>
          <w:sz w:val="22"/>
          <w:szCs w:val="22"/>
          <w:color w:val="auto"/>
        </w:rPr>
      </w:pPr>
    </w:p>
    <w:p>
      <w:pPr>
        <w:jc w:val="both"/>
        <w:ind w:left="-251" w:firstLine="251"/>
        <w:spacing w:after="0" w:line="286" w:lineRule="auto"/>
        <w:tabs>
          <w:tab w:leader="none" w:pos="667"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or the applicable Award Agreement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67" w:lineRule="exact"/>
        <w:rPr>
          <w:rFonts w:ascii="Arial" w:cs="Arial" w:eastAsia="Arial" w:hAnsi="Arial"/>
          <w:sz w:val="19"/>
          <w:szCs w:val="19"/>
          <w:color w:val="auto"/>
        </w:rPr>
      </w:pPr>
    </w:p>
    <w:p>
      <w:pPr>
        <w:jc w:val="both"/>
        <w:ind w:left="-251" w:firstLine="251"/>
        <w:spacing w:after="0" w:line="289" w:lineRule="auto"/>
        <w:tabs>
          <w:tab w:leader="none" w:pos="667"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Withholding Arrangements</w:t>
      </w:r>
      <w:r>
        <w:rPr>
          <w:rFonts w:ascii="Arial" w:cs="Arial" w:eastAsia="Arial" w:hAnsi="Arial"/>
          <w:sz w:val="19"/>
          <w:szCs w:val="19"/>
          <w:color w:val="auto"/>
        </w:rPr>
        <w:t>. The Administrator, in its sole discretion and pursuant to such procedures as it may specify from time to time, may permit or require a Participant to satisfy all or part of the tax withholding obligations in connection with an Award by (a) having the Company withhold otherwise deliverable Shares having an aggregate Fair Market Value that does not exceed the amount required to be withheld, (b) delivering to the Company already-owned Shares having an aggregate Fair Market Value sufficient to satisfy the amount required to be withheld, or (c) such other method as may be approved by the Administrator and set forth in an Award Agreement. The number of Shares withheld under subsection (a) shall be determined using rates up to, but not exceeding, the maximum tax rates applicable in a particular jurisdiction on the date that the amount of tax to be withheld is to be determined. The Fair Market Value of the Shares to be withheld or delivered shall be determined as of the date that the amount of the tax to be withheld is determined.</w:t>
      </w:r>
    </w:p>
    <w:p>
      <w:pPr>
        <w:spacing w:after="0" w:line="157" w:lineRule="exact"/>
        <w:rPr>
          <w:rFonts w:ascii="Arial" w:cs="Arial" w:eastAsia="Arial" w:hAnsi="Arial"/>
          <w:sz w:val="19"/>
          <w:szCs w:val="19"/>
          <w:color w:val="auto"/>
        </w:rPr>
      </w:pPr>
    </w:p>
    <w:p>
      <w:pPr>
        <w:jc w:val="both"/>
        <w:ind w:left="-251" w:right="20" w:firstLine="251"/>
        <w:spacing w:after="0" w:line="312" w:lineRule="auto"/>
        <w:tabs>
          <w:tab w:leader="none" w:pos="667"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w:t>
      </w:r>
    </w:p>
    <w:p>
      <w:pPr>
        <w:sectPr>
          <w:pgSz w:w="11900" w:h="16838" w:orient="portrait"/>
          <w:cols w:equalWidth="0" w:num="1">
            <w:col w:w="11169"/>
          </w:cols>
          <w:pgMar w:left="491" w:top="847" w:right="239" w:bottom="1440" w:gutter="0" w:footer="0" w:header="0"/>
        </w:sectPr>
      </w:pPr>
    </w:p>
    <w:bookmarkStart w:id="96" w:name="page97"/>
    <w:bookmarkEnd w:id="96"/>
    <w:p>
      <w:pPr>
        <w:jc w:val="both"/>
        <w:spacing w:after="0" w:line="292" w:lineRule="auto"/>
        <w:rPr>
          <w:sz w:val="20"/>
          <w:szCs w:val="20"/>
          <w:color w:val="auto"/>
        </w:rPr>
      </w:pPr>
      <w:r>
        <w:rPr>
          <w:rFonts w:ascii="Arial" w:cs="Arial" w:eastAsia="Arial" w:hAnsi="Arial"/>
          <w:sz w:val="19"/>
          <w:szCs w:val="19"/>
          <w:color w:val="auto"/>
        </w:rPr>
        <w:t>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51" w:lineRule="exact"/>
        <w:rPr>
          <w:sz w:val="20"/>
          <w:szCs w:val="20"/>
          <w:color w:val="auto"/>
        </w:rPr>
      </w:pPr>
    </w:p>
    <w:p>
      <w:pPr>
        <w:jc w:val="both"/>
        <w:ind w:firstLine="251"/>
        <w:spacing w:after="0" w:line="271" w:lineRule="auto"/>
        <w:tabs>
          <w:tab w:leader="none" w:pos="918"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67" w:lineRule="exact"/>
        <w:rPr>
          <w:rFonts w:ascii="Arial" w:cs="Arial" w:eastAsia="Arial" w:hAnsi="Arial"/>
          <w:sz w:val="21"/>
          <w:szCs w:val="21"/>
          <w:color w:val="auto"/>
        </w:rPr>
      </w:pPr>
    </w:p>
    <w:p>
      <w:pPr>
        <w:ind w:firstLine="251"/>
        <w:spacing w:after="0" w:line="263" w:lineRule="auto"/>
        <w:tabs>
          <w:tab w:leader="none" w:pos="91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Except where otherwise indicated by the context, any masculine term used herein also shall include the feminine; the plural shall include the singular and the singular shall include the plural.</w:t>
      </w:r>
    </w:p>
    <w:p>
      <w:pPr>
        <w:spacing w:after="0" w:line="174" w:lineRule="exact"/>
        <w:rPr>
          <w:rFonts w:ascii="Arial" w:cs="Arial" w:eastAsia="Arial" w:hAnsi="Arial"/>
          <w:sz w:val="22"/>
          <w:szCs w:val="22"/>
          <w:color w:val="auto"/>
        </w:rPr>
      </w:pPr>
    </w:p>
    <w:p>
      <w:pPr>
        <w:jc w:val="both"/>
        <w:ind w:firstLine="251"/>
        <w:spacing w:after="0" w:line="253" w:lineRule="auto"/>
        <w:tabs>
          <w:tab w:leader="none" w:pos="91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85" w:lineRule="exact"/>
        <w:rPr>
          <w:rFonts w:ascii="Arial" w:cs="Arial" w:eastAsia="Arial" w:hAnsi="Arial"/>
          <w:sz w:val="22"/>
          <w:szCs w:val="22"/>
          <w:color w:val="auto"/>
        </w:rPr>
      </w:pPr>
    </w:p>
    <w:p>
      <w:pPr>
        <w:ind w:firstLine="251"/>
        <w:spacing w:after="0" w:line="263" w:lineRule="auto"/>
        <w:tabs>
          <w:tab w:leader="none" w:pos="91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Plan and all Award Agreements shall be construed in accordance with and governed by the laws of the State of California (with the exception of its conflict of laws provisions).</w:t>
      </w:r>
    </w:p>
    <w:p>
      <w:pPr>
        <w:spacing w:after="0" w:line="174" w:lineRule="exact"/>
        <w:rPr>
          <w:rFonts w:ascii="Arial" w:cs="Arial" w:eastAsia="Arial" w:hAnsi="Arial"/>
          <w:sz w:val="22"/>
          <w:szCs w:val="22"/>
          <w:color w:val="auto"/>
        </w:rPr>
      </w:pPr>
    </w:p>
    <w:p>
      <w:pPr>
        <w:ind w:firstLine="251"/>
        <w:spacing w:after="0" w:line="263" w:lineRule="auto"/>
        <w:tabs>
          <w:tab w:leader="none" w:pos="91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are provided herein for convenience only, and shall not serve as a basis for interpretation or construction of the Plan.</w:t>
      </w:r>
    </w:p>
    <w:p>
      <w:pPr>
        <w:sectPr>
          <w:pgSz w:w="11900" w:h="16838" w:orient="portrait"/>
          <w:cols w:equalWidth="0" w:num="1">
            <w:col w:w="11420"/>
          </w:cols>
          <w:pgMar w:left="240" w:top="84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31, 2017</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31, 2017</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July 31, 2017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August 31, 2017</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75"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July 31, 2017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August 31, 2017</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x"/>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5"/>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decimal"/>
      <w:start w:val="7"/>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lowerRoman"/>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decimal"/>
      <w:start w:val="1"/>
    </w:lvl>
    <w:lvl w:ilvl="1">
      <w:lvlJc w:val="left"/>
      <w:lvlText w:val="(%2)"/>
      <w:numFmt w:val="lowerLetter"/>
      <w:start w:val="1"/>
    </w:lvl>
  </w:abstractNum>
  <w:abstractNum w:abstractNumId="37">
    <w:nsid w:val="741226BB"/>
    <w:multiLevelType w:val="hybridMultilevel"/>
    <w:lvl w:ilvl="0">
      <w:lvlJc w:val="left"/>
      <w:lvlText w:val="(%1)"/>
      <w:numFmt w:val="lowerLetter"/>
      <w:start w:val="8"/>
    </w:lvl>
  </w:abstractNum>
  <w:abstractNum w:abstractNumId="38">
    <w:nsid w:val="D34B6A8"/>
    <w:multiLevelType w:val="hybridMultilevel"/>
    <w:lvl w:ilvl="0">
      <w:lvlJc w:val="left"/>
      <w:lvlText w:val="%1"/>
      <w:numFmt w:val="decimal"/>
      <w:start w:val="1"/>
    </w:lvl>
    <w:lvl w:ilvl="1">
      <w:lvlJc w:val="left"/>
      <w:lvlText w:val="(%2)"/>
      <w:numFmt w:val="lowerLetter"/>
      <w:start w:val="15"/>
    </w:lvl>
  </w:abstractNum>
  <w:abstractNum w:abstractNumId="39">
    <w:nsid w:val="10233C99"/>
    <w:multiLevelType w:val="hybridMultilevel"/>
    <w:lvl w:ilvl="0">
      <w:lvlJc w:val="left"/>
      <w:lvlText w:val="%1."/>
      <w:numFmt w:val="decimal"/>
      <w:start w:val="3"/>
    </w:lvl>
    <w:lvl w:ilvl="1">
      <w:lvlJc w:val="left"/>
      <w:lvlText w:val="(%2)"/>
      <w:numFmt w:val="lowerLetter"/>
      <w:start w:val="1"/>
    </w:lvl>
  </w:abstractNum>
  <w:abstractNum w:abstractNumId="40">
    <w:nsid w:val="3F6AB60F"/>
    <w:multiLevelType w:val="hybridMultilevel"/>
    <w:lvl w:ilvl="0">
      <w:lvlJc w:val="left"/>
      <w:lvlText w:val="%1."/>
      <w:numFmt w:val="decimal"/>
      <w:start w:val="5"/>
    </w:lvl>
    <w:lvl w:ilvl="1">
      <w:lvlJc w:val="left"/>
      <w:lvlText w:val="(%2)"/>
      <w:numFmt w:val="lowerLetter"/>
      <w:start w:val="1"/>
    </w:lvl>
  </w:abstractNum>
  <w:abstractNum w:abstractNumId="41">
    <w:nsid w:val="61574095"/>
    <w:multiLevelType w:val="hybridMultilevel"/>
    <w:lvl w:ilvl="0">
      <w:lvlJc w:val="left"/>
      <w:lvlText w:val="%1."/>
      <w:numFmt w:val="decimal"/>
      <w:start w:val="7"/>
    </w:lvl>
    <w:lvl w:ilvl="1">
      <w:lvlJc w:val="left"/>
      <w:lvlText w:val="(%2)"/>
      <w:numFmt w:val="lowerLetter"/>
      <w:start w:val="1"/>
    </w:lvl>
  </w:abstractNum>
  <w:abstractNum w:abstractNumId="42">
    <w:nsid w:val="7E0C57B1"/>
    <w:multiLevelType w:val="hybridMultilevel"/>
    <w:lvl w:ilvl="0">
      <w:lvlJc w:val="left"/>
      <w:lvlText w:val="%1"/>
      <w:numFmt w:val="decimal"/>
      <w:start w:val="1"/>
    </w:lvl>
    <w:lvl w:ilvl="1">
      <w:lvlJc w:val="left"/>
      <w:lvlText w:val="(%2)"/>
      <w:numFmt w:val="lowerLetter"/>
      <w:start w:val="2"/>
    </w:lvl>
  </w:abstractNum>
  <w:abstractNum w:abstractNumId="43">
    <w:nsid w:val="77AE35EB"/>
    <w:multiLevelType w:val="hybridMultilevel"/>
    <w:lvl w:ilvl="0">
      <w:lvlJc w:val="left"/>
      <w:lvlText w:val="%1."/>
      <w:numFmt w:val="decimal"/>
      <w:start w:val="12"/>
    </w:lvl>
    <w:lvl w:ilvl="1">
      <w:lvlJc w:val="left"/>
      <w:lvlText w:val="(%2)"/>
      <w:numFmt w:val="lowerLetter"/>
      <w:start w:val="1"/>
    </w:lvl>
  </w:abstractNum>
  <w:abstractNum w:abstractNumId="44">
    <w:nsid w:val="579BE4F1"/>
    <w:multiLevelType w:val="hybridMultilevel"/>
    <w:lvl w:ilvl="0">
      <w:lvlJc w:val="left"/>
      <w:lvlText w:val="%1"/>
      <w:numFmt w:val="lowerRoman"/>
      <w:start w:val="1"/>
    </w:lvl>
    <w:lvl w:ilvl="1">
      <w:lvlJc w:val="left"/>
      <w:lvlText w:val="(%2)"/>
      <w:numFmt w:val="lowerLetter"/>
      <w:start w:val="3"/>
    </w:lvl>
  </w:abstractNum>
  <w:abstractNum w:abstractNumId="45">
    <w:nsid w:val="310C50B3"/>
    <w:multiLevelType w:val="hybridMultilevel"/>
    <w:lvl w:ilvl="0">
      <w:lvlJc w:val="left"/>
      <w:lvlText w:val="(%1)"/>
      <w:numFmt w:val="lowerRoman"/>
      <w:start w:val="9"/>
    </w:lvl>
    <w:lvl w:ilvl="1">
      <w:lvlJc w:val="left"/>
      <w:lvlText w:val="(%2)"/>
      <w:numFmt w:val="lowerLetter"/>
      <w:start w:val="6"/>
    </w:lvl>
  </w:abstractNum>
  <w:abstractNum w:abstractNumId="46">
    <w:nsid w:val="5FF87E05"/>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7">
    <w:nsid w:val="2F305DEF"/>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8">
    <w:nsid w:val="25A70BF7"/>
    <w:multiLevelType w:val="hybridMultilevel"/>
    <w:lvl w:ilvl="0">
      <w:lvlJc w:val="left"/>
      <w:lvlText w:val="%1."/>
      <w:numFmt w:val="decimal"/>
      <w:start w:val="19"/>
    </w:lvl>
  </w:abstractNum>
  <w:abstractNum w:abstractNumId="49">
    <w:nsid w:val="1DBABF00"/>
    <w:multiLevelType w:val="hybridMultilevel"/>
    <w:lvl w:ilvl="0">
      <w:lvlJc w:val="left"/>
      <w:lvlText w:val="%1."/>
      <w:numFmt w:val="decimal"/>
      <w:start w:val="23"/>
    </w:lvl>
  </w:abstractNum>
  <w:abstractNum w:abstractNumId="50">
    <w:nsid w:val="4AD084E9"/>
    <w:multiLevelType w:val="hybridMultilevel"/>
    <w:lvl w:ilvl="0">
      <w:lvlJc w:val="left"/>
      <w:lvlText w:val="%1."/>
      <w:numFmt w:val="decimal"/>
      <w:start w:val="1"/>
    </w:lvl>
    <w:lvl w:ilvl="1">
      <w:lvlJc w:val="left"/>
      <w:lvlText w:val="(%2)"/>
      <w:numFmt w:val="lowerLetter"/>
      <w:start w:val="1"/>
    </w:lvl>
  </w:abstractNum>
  <w:abstractNum w:abstractNumId="51">
    <w:nsid w:val="1F48EAA1"/>
    <w:multiLevelType w:val="hybridMultilevel"/>
    <w:lvl w:ilvl="0">
      <w:lvlJc w:val="left"/>
      <w:lvlText w:val="%1"/>
      <w:numFmt w:val="upperLetter"/>
      <w:start w:val="1"/>
    </w:lvl>
    <w:lvl w:ilvl="1">
      <w:lvlJc w:val="left"/>
      <w:lvlText w:val="(%2)"/>
      <w:numFmt w:val="lowerRoman"/>
      <w:start w:val="1"/>
    </w:lvl>
  </w:abstractNum>
  <w:abstractNum w:abstractNumId="52">
    <w:nsid w:val="1381823A"/>
    <w:multiLevelType w:val="hybridMultilevel"/>
    <w:lvl w:ilvl="0">
      <w:lvlJc w:val="left"/>
      <w:lvlText w:val="(%1)"/>
      <w:numFmt w:val="upperLetter"/>
      <w:start w:val="1"/>
    </w:lvl>
    <w:lvl w:ilvl="1">
      <w:lvlJc w:val="left"/>
      <w:lvlText w:val="%2"/>
      <w:numFmt w:val="lowerRoman"/>
      <w:start w:val="1"/>
    </w:lvl>
  </w:abstractNum>
  <w:abstractNum w:abstractNumId="53">
    <w:nsid w:val="5DB70AE5"/>
    <w:multiLevelType w:val="hybridMultilevel"/>
    <w:lvl w:ilvl="0">
      <w:lvlJc w:val="left"/>
      <w:lvlText w:val="(%1)"/>
      <w:numFmt w:val="lowerLetter"/>
      <w:start w:val="7"/>
    </w:lvl>
  </w:abstractNum>
  <w:abstractNum w:abstractNumId="54">
    <w:nsid w:val="100F8FCA"/>
    <w:multiLevelType w:val="hybridMultilevel"/>
    <w:lvl w:ilvl="0">
      <w:lvlJc w:val="left"/>
      <w:lvlText w:val="(%1)"/>
      <w:numFmt w:val="lowerLetter"/>
      <w:start w:val="18"/>
    </w:lvl>
    <w:lvl w:ilvl="1">
      <w:lvlJc w:val="left"/>
      <w:lvlText w:val="(%2)"/>
      <w:numFmt w:val="lowerRoman"/>
      <w:start w:val="1"/>
    </w:lvl>
  </w:abstractNum>
  <w:abstractNum w:abstractNumId="55">
    <w:nsid w:val="6590700B"/>
    <w:multiLevelType w:val="hybridMultilevel"/>
    <w:lvl w:ilvl="0">
      <w:lvlJc w:val="left"/>
      <w:lvlText w:val="(%1)"/>
      <w:numFmt w:val="lowerLetter"/>
      <w:start w:val="27"/>
    </w:lvl>
  </w:abstractNum>
  <w:abstractNum w:abstractNumId="56">
    <w:nsid w:val="15014ACB"/>
    <w:multiLevelType w:val="hybridMultilevel"/>
    <w:lvl w:ilvl="0">
      <w:lvlJc w:val="left"/>
      <w:lvlText w:val="%1"/>
      <w:numFmt w:val="lowerRoman"/>
      <w:start w:val="1"/>
    </w:lvl>
    <w:lvl w:ilvl="1">
      <w:lvlJc w:val="left"/>
      <w:lvlText w:val="(%2)"/>
      <w:numFmt w:val="lowerLetter"/>
      <w:start w:val="28"/>
    </w:lvl>
  </w:abstractNum>
  <w:abstractNum w:abstractNumId="57">
    <w:nsid w:val="5F5E7FD0"/>
    <w:multiLevelType w:val="hybridMultilevel"/>
    <w:lvl w:ilvl="0">
      <w:lvlJc w:val="left"/>
      <w:lvlText w:val="(%1)"/>
      <w:numFmt w:val="lowerRoman"/>
      <w:start w:val="4"/>
    </w:lvl>
    <w:lvl w:ilvl="1">
      <w:lvlJc w:val="left"/>
      <w:lvlText w:val="(%2)"/>
      <w:numFmt w:val="lowerLetter"/>
      <w:start w:val="30"/>
    </w:lvl>
  </w:abstractNum>
  <w:abstractNum w:abstractNumId="58">
    <w:nsid w:val="98A3148"/>
    <w:multiLevelType w:val="hybridMultilevel"/>
    <w:lvl w:ilvl="0">
      <w:lvlJc w:val="left"/>
      <w:lvlText w:val="%1"/>
      <w:numFmt w:val="decimal"/>
      <w:start w:val="1"/>
    </w:lvl>
    <w:lvl w:ilvl="1">
      <w:lvlJc w:val="left"/>
      <w:lvlText w:val="(%2)"/>
      <w:numFmt w:val="lowerLetter"/>
      <w:start w:val="34"/>
    </w:lvl>
  </w:abstractNum>
  <w:abstractNum w:abstractNumId="59">
    <w:nsid w:val="799D0247"/>
    <w:multiLevelType w:val="hybridMultilevel"/>
    <w:lvl w:ilvl="0">
      <w:lvlJc w:val="left"/>
      <w:lvlText w:val="%1."/>
      <w:numFmt w:val="decimal"/>
      <w:start w:val="3"/>
    </w:lvl>
    <w:lvl w:ilvl="1">
      <w:lvlJc w:val="left"/>
      <w:lvlText w:val="(%2)"/>
      <w:numFmt w:val="lowerLetter"/>
      <w:start w:val="1"/>
    </w:lvl>
  </w:abstractNum>
  <w:abstractNum w:abstractNumId="60">
    <w:nsid w:val="6B947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1">
    <w:nsid w:val="42C296B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2">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3">
    <w:nsid w:val="1EBA5D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4">
    <w:nsid w:val="661E3F1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5">
    <w:nsid w:val="5DC79EA8"/>
    <w:multiLevelType w:val="hybridMultilevel"/>
    <w:lvl w:ilvl="0">
      <w:lvlJc w:val="left"/>
      <w:lvlText w:val="%1."/>
      <w:numFmt w:val="decimal"/>
      <w:start w:val="7"/>
    </w:lvl>
    <w:lvl w:ilvl="1">
      <w:lvlJc w:val="left"/>
      <w:lvlText w:val="(%2)"/>
      <w:numFmt w:val="lowerLetter"/>
      <w:start w:val="1"/>
    </w:lvl>
  </w:abstractNum>
  <w:abstractNum w:abstractNumId="66">
    <w:nsid w:val="540A471C"/>
    <w:multiLevelType w:val="hybridMultilevel"/>
    <w:lvl w:ilvl="0">
      <w:lvlJc w:val="left"/>
      <w:lvlText w:val="(%1)"/>
      <w:numFmt w:val="lowerLetter"/>
      <w:start w:val="4"/>
    </w:lvl>
  </w:abstractNum>
  <w:abstractNum w:abstractNumId="67">
    <w:nsid w:val="7BD3EE7B"/>
    <w:multiLevelType w:val="hybridMultilevel"/>
    <w:lvl w:ilvl="0">
      <w:lvlJc w:val="left"/>
      <w:lvlText w:val="(%1)"/>
      <w:numFmt w:val="lowerLetter"/>
      <w:start w:val="5"/>
    </w:lvl>
    <w:lvl w:ilvl="1">
      <w:lvlJc w:val="left"/>
      <w:lvlText w:val="(%2)"/>
      <w:numFmt w:val="lowerRoman"/>
      <w:start w:val="1"/>
    </w:lvl>
  </w:abstractNum>
  <w:abstractNum w:abstractNumId="68">
    <w:nsid w:val="51D9C564"/>
    <w:multiLevelType w:val="hybridMultilevel"/>
    <w:lvl w:ilvl="0">
      <w:lvlJc w:val="left"/>
      <w:lvlText w:val="(%1)"/>
      <w:numFmt w:val="lowerLetter"/>
      <w:start w:val="8"/>
    </w:lvl>
  </w:abstractNum>
  <w:abstractNum w:abstractNumId="69">
    <w:nsid w:val="613EFDC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0">
    <w:nsid w:val="BF72B14"/>
    <w:multiLevelType w:val="hybridMultilevel"/>
    <w:lvl w:ilvl="0">
      <w:lvlJc w:val="left"/>
      <w:lvlText w:val="%1"/>
      <w:numFmt w:val="decimal"/>
      <w:start w:val="1"/>
    </w:lvl>
    <w:lvl w:ilvl="1">
      <w:lvlJc w:val="left"/>
      <w:lvlText w:val="(%2)"/>
      <w:numFmt w:val="lowerLetter"/>
      <w:start w:val="6"/>
    </w:lvl>
  </w:abstractNum>
  <w:abstractNum w:abstractNumId="71">
    <w:nsid w:val="11447B73"/>
    <w:multiLevelType w:val="hybridMultilevel"/>
    <w:lvl w:ilvl="0">
      <w:lvlJc w:val="left"/>
      <w:lvlText w:val="%1."/>
      <w:numFmt w:val="decimal"/>
      <w:start w:val="10"/>
    </w:lvl>
    <w:lvl w:ilvl="1">
      <w:lvlJc w:val="left"/>
      <w:lvlText w:val="(%2)"/>
      <w:numFmt w:val="lowerLetter"/>
      <w:start w:val="1"/>
    </w:lvl>
  </w:abstractNum>
  <w:abstractNum w:abstractNumId="72">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3">
    <w:nsid w:val="A0382C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4">
    <w:nsid w:val="8F2B15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5">
    <w:nsid w:val="1A32234B"/>
    <w:multiLevelType w:val="hybridMultilevel"/>
    <w:lvl w:ilvl="0">
      <w:lvlJc w:val="left"/>
      <w:lvlText w:val="%1."/>
      <w:numFmt w:val="decimal"/>
      <w:start w:val="13"/>
    </w:lvl>
    <w:lvl w:ilvl="1">
      <w:lvlJc w:val="left"/>
      <w:lvlText w:val="(%2)"/>
      <w:numFmt w:val="lowerLetter"/>
      <w:start w:val="1"/>
    </w:lvl>
  </w:abstractNum>
  <w:abstractNum w:abstractNumId="76">
    <w:nsid w:val="3B0FD379"/>
    <w:multiLevelType w:val="hybridMultilevel"/>
    <w:lvl w:ilvl="0">
      <w:lvlJc w:val="left"/>
      <w:lvlText w:val="%1."/>
      <w:numFmt w:val="decimal"/>
      <w:start w:val="14"/>
    </w:lvl>
    <w:lvl w:ilvl="1">
      <w:lvlJc w:val="left"/>
      <w:lvlText w:val="(%2)"/>
      <w:numFmt w:val="lowerLetter"/>
      <w:start w:val="1"/>
    </w:lvl>
  </w:abstractNum>
  <w:abstractNum w:abstractNumId="77">
    <w:nsid w:val="68EB2F63"/>
    <w:multiLevelType w:val="hybridMultilevel"/>
    <w:lvl w:ilvl="0">
      <w:lvlJc w:val="left"/>
      <w:lvlText w:val="%1."/>
      <w:numFmt w:val="decimal"/>
      <w:start w:val="15"/>
    </w:lvl>
    <w:lvl w:ilvl="1">
      <w:lvlJc w:val="left"/>
      <w:lvlText w:val="(%2)"/>
      <w:numFmt w:val="lowerLetter"/>
      <w:start w:val="1"/>
    </w:lvl>
  </w:abstractNum>
  <w:abstractNum w:abstractNumId="78">
    <w:nsid w:val="4962813B"/>
    <w:multiLevelType w:val="hybridMultilevel"/>
    <w:lvl w:ilvl="0">
      <w:lvlJc w:val="left"/>
      <w:lvlText w:val="%1."/>
      <w:numFmt w:val="decimal"/>
      <w:start w:val="21"/>
    </w:lvl>
  </w:abstractNum>
  <w:abstractNum w:abstractNumId="79">
    <w:nsid w:val="60B6DF70"/>
    <w:multiLevelType w:val="hybridMultilevel"/>
    <w:lvl w:ilvl="0">
      <w:lvlJc w:val="left"/>
      <w:lvlText w:val="%1."/>
      <w:numFmt w:val="decimal"/>
      <w:start w:val="25"/>
    </w:lvl>
  </w:abstractNum>
  <w:abstractNum w:abstractNumId="80">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1">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2019-12-29T04:29:47Z</dcterms:created>
  <dcterms:modified xsi:type="dcterms:W3CDTF">2019-12-29T04:29:47Z</dcterms:modified>
</cp:coreProperties>
</file>