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2016</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-1844040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May 31, 2016, registrant had outstanding approximately 224,656,057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3"/>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 xml:space="preserve">Unaudited </w:t>
            </w: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April 30, 2016 and 2015</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Comprehensive (Loss) Income for the Three Months Ended April 30, 2016 and</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2015</w:t>
              </w:r>
            </w:hyperlink>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April 30, 2016 and January 31, 2016</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April 30, 2016 and 2015</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920" w:type="dxa"/>
            <w:vAlign w:val="bottom"/>
          </w:tcPr>
          <w:p>
            <w:pPr>
              <w:spacing w:after="0"/>
              <w:rPr>
                <w:sz w:val="24"/>
                <w:szCs w:val="24"/>
                <w:color w:val="auto"/>
              </w:rPr>
            </w:pPr>
          </w:p>
        </w:tc>
        <w:tc>
          <w:tcPr>
            <w:tcW w:w="7600" w:type="dxa"/>
            <w:vAlign w:val="bottom"/>
            <w:tcBorders>
              <w:top w:val="single" w:sz="8" w:color="0000EE"/>
            </w:tcBorders>
            <w:gridSpan w:val="2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3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372"/>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45">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60">
              <w:r>
                <w:rPr>
                  <w:rFonts w:ascii="Arial" w:cs="Arial" w:eastAsia="Arial" w:hAnsi="Arial"/>
                  <w:sz w:val="18"/>
                  <w:szCs w:val="18"/>
                  <w:b w:val="1"/>
                  <w:bCs w:val="1"/>
                  <w:color w:val="0000FF"/>
                  <w:w w:val="88"/>
                </w:rPr>
                <w:t>Defaults Upon Senior Securities</w:t>
              </w:r>
            </w:hyperlink>
          </w:p>
        </w:tc>
        <w:tc>
          <w:tcPr>
            <w:tcW w:w="2120" w:type="dxa"/>
            <w:vAlign w:val="bottom"/>
            <w:gridSpan w:val="5"/>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Mine Safety Disclosures</w:t>
              </w:r>
            </w:hyperlink>
          </w:p>
        </w:tc>
        <w:tc>
          <w:tcPr>
            <w:tcW w:w="6540" w:type="dxa"/>
            <w:vAlign w:val="bottom"/>
            <w:gridSpan w:val="1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60">
              <w:r>
                <w:rPr>
                  <w:rFonts w:ascii="Arial" w:cs="Arial" w:eastAsia="Arial" w:hAnsi="Arial"/>
                  <w:sz w:val="18"/>
                  <w:szCs w:val="18"/>
                  <w:b w:val="1"/>
                  <w:bCs w:val="1"/>
                  <w:color w:val="0000FF"/>
                  <w:w w:val="93"/>
                </w:rPr>
                <w:t>Other Information</w:t>
              </w:r>
            </w:hyperlink>
          </w:p>
        </w:tc>
        <w:tc>
          <w:tcPr>
            <w:tcW w:w="380" w:type="dxa"/>
            <w:vAlign w:val="bottom"/>
          </w:tcPr>
          <w:p>
            <w:pPr>
              <w:spacing w:after="0"/>
              <w:rPr>
                <w:sz w:val="24"/>
                <w:szCs w:val="24"/>
                <w:color w:val="auto"/>
              </w:rPr>
            </w:pPr>
          </w:p>
        </w:tc>
        <w:tc>
          <w:tcPr>
            <w:tcW w:w="7160" w:type="dxa"/>
            <w:vAlign w:val="bottom"/>
            <w:gridSpan w:val="1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2"/>
          </w:tcPr>
          <w:p>
            <w:pPr>
              <w:spacing w:after="0"/>
              <w:rPr>
                <w:rFonts w:ascii="Arial" w:cs="Arial" w:eastAsia="Arial" w:hAnsi="Arial"/>
                <w:sz w:val="18"/>
                <w:szCs w:val="18"/>
                <w:b w:val="1"/>
                <w:bCs w:val="1"/>
                <w:color w:val="0000FF"/>
                <w:w w:val="88"/>
              </w:rPr>
            </w:pPr>
            <w:hyperlink w:anchor="page61">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62">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62</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3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9300"/>
        <w:spacing w:after="0"/>
        <w:tabs>
          <w:tab w:leader="none" w:pos="10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License and 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subscription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license and other revenue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and other facility exit costs,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from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319.8</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326.7</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646.5</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87"/>
        </w:trPr>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38.7</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91.8</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554.7</w:t>
            </w:r>
          </w:p>
        </w:tc>
      </w:tr>
      <w:tr>
        <w:trPr>
          <w:trHeight w:val="540"/>
        </w:trPr>
        <w:tc>
          <w:tcPr>
            <w:tcW w:w="42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242.9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253.9</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194.5</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75.9</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0"/>
        </w:trPr>
        <w:tc>
          <w:tcPr>
            <w:tcW w:w="42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533.2</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21.8</w:t>
            </w:r>
          </w:p>
        </w:tc>
      </w:tr>
      <w:tr>
        <w:trPr>
          <w:trHeight w:val="270"/>
        </w:trPr>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13" w:lineRule="exact"/>
        <w:rPr>
          <w:sz w:val="20"/>
          <w:szCs w:val="20"/>
          <w:color w:val="auto"/>
        </w:rPr>
      </w:pPr>
    </w:p>
    <w:p>
      <w:pPr>
        <w:sectPr>
          <w:pgSz w:w="11900" w:h="16838" w:orient="portrait"/>
          <w:cols w:equalWidth="0" w:num="2">
            <w:col w:w="8080" w:space="720"/>
            <w:col w:w="262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4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income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00" w:type="dxa"/>
            <w:vAlign w:val="bottom"/>
            <w:vMerge w:val="continue"/>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(loss) income per share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(loss) income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(loss) income per share</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comprehensive (loss), net of reclassifications: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 (net of tax effect of ($1.9) and ($1.5),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securities (net of tax effect of ($0.5) and ($0.1), respectively)</w:t>
            </w: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0.2</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(1)</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gain (net of tax effect of $0.0 and $3.8, respectively)</w:t>
            </w:r>
          </w:p>
        </w:tc>
        <w:tc>
          <w:tcPr>
            <w:tcW w:w="2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comprehensive (loss)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12700</wp:posOffset>
            </wp:positionV>
            <wp:extent cx="1663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There were no tax effects related to defined benefit pension items for each of the periods presented.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2016</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2016</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897.9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653.6</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88.6</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2,993.1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538.9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5,515.3</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3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243.3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1,068.9</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1,591.0</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deferred revenue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 term income taxes payable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161.4</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 term notes payable,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1,487.7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1,821.5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1,619.6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5,515.3</w:t>
            </w:r>
          </w:p>
        </w:tc>
      </w:tr>
      <w:tr>
        <w:trPr>
          <w:trHeight w:val="33"/>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19.1</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37.8</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 net of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397.4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143.1</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(110.8)</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(485.2)</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97.5</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w:t>
            </w:r>
          </w:p>
        </w:tc>
      </w:tr>
      <w:tr>
        <w:trPr>
          <w:trHeight w:val="204"/>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47"/>
        </w:trPr>
        <w:tc>
          <w:tcPr>
            <w:tcW w:w="8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33"/>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17"/>
        </w:trPr>
        <w:tc>
          <w:tcPr>
            <w:tcW w:w="8800" w:type="dxa"/>
            <w:vAlign w:val="bottom"/>
          </w:tcPr>
          <w:p>
            <w:pPr>
              <w:ind w:left="7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w:t>
            </w:r>
          </w:p>
        </w:tc>
      </w:tr>
      <w:tr>
        <w:trPr>
          <w:trHeight w:val="33"/>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
        </w:trPr>
        <w:tc>
          <w:tcPr>
            <w:tcW w:w="8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6"/>
          <w:szCs w:val="16"/>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jc w:val="right"/>
        <w:ind w:right="60"/>
        <w:spacing w:after="0"/>
        <w:tabs>
          <w:tab w:leader="none" w:pos="440" w:val="left"/>
        </w:tabs>
        <w:rPr>
          <w:sz w:val="20"/>
          <w:szCs w:val="20"/>
          <w:color w:val="auto"/>
        </w:rPr>
      </w:pPr>
      <w:r>
        <w:rPr>
          <w:rFonts w:ascii="Arial" w:cs="Arial" w:eastAsia="Arial" w:hAnsi="Arial"/>
          <w:sz w:val="16"/>
          <w:szCs w:val="16"/>
          <w:color w:val="auto"/>
        </w:rPr>
        <w:t>(129.6)</w:t>
      </w:r>
      <w:r>
        <w:rPr>
          <w:sz w:val="20"/>
          <w:szCs w:val="20"/>
          <w:color w:val="auto"/>
        </w:rPr>
        <w:tab/>
      </w:r>
      <w:r>
        <w:rPr>
          <w:rFonts w:ascii="Arial" w:cs="Arial" w:eastAsia="Arial" w:hAnsi="Arial"/>
          <w:sz w:val="14"/>
          <w:szCs w:val="14"/>
          <w:color w:val="auto"/>
        </w:rPr>
        <w:t>(227.9)</w:t>
      </w:r>
    </w:p>
    <w:p>
      <w:pPr>
        <w:spacing w:after="0" w:line="7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6"/>
          <w:szCs w:val="16"/>
          <w:color w:val="auto"/>
        </w:rPr>
        <w:t>1,353.0</w:t>
      </w:r>
      <w:r>
        <w:rPr>
          <w:sz w:val="20"/>
          <w:szCs w:val="20"/>
          <w:color w:val="auto"/>
        </w:rPr>
        <w:tab/>
      </w:r>
      <w:r>
        <w:rPr>
          <w:rFonts w:ascii="Arial" w:cs="Arial" w:eastAsia="Arial" w:hAnsi="Arial"/>
          <w:sz w:val="14"/>
          <w:szCs w:val="14"/>
          <w:color w:val="auto"/>
        </w:rPr>
        <w:t>1,410.6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1663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66" w:lineRule="exact"/>
        <w:rPr>
          <w:sz w:val="20"/>
          <w:szCs w:val="20"/>
          <w:color w:val="auto"/>
        </w:rPr>
      </w:pPr>
    </w:p>
    <w:p>
      <w:pPr>
        <w:spacing w:after="0"/>
        <w:tabs>
          <w:tab w:leader="none" w:pos="640" w:val="left"/>
          <w:tab w:leader="none" w:pos="1360" w:val="left"/>
          <w:tab w:leader="none" w:pos="19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1,223.4</w:t>
        <w:tab/>
        <w:t>$</w:t>
      </w:r>
      <w:r>
        <w:rPr>
          <w:sz w:val="20"/>
          <w:szCs w:val="20"/>
          <w:color w:val="auto"/>
        </w:rPr>
        <w:tab/>
      </w:r>
      <w:r>
        <w:rPr>
          <w:rFonts w:ascii="Arial" w:cs="Arial" w:eastAsia="Arial" w:hAnsi="Arial"/>
          <w:sz w:val="14"/>
          <w:szCs w:val="14"/>
          <w:color w:val="auto"/>
        </w:rPr>
        <w:t>1,182.7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34925</wp:posOffset>
            </wp:positionV>
            <wp:extent cx="166370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70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580"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April 30, 2016, and for the three months ended April 30, 2016 and 2015,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2016 are not necessarily indicative of the results for the entire fiscal year ending January 31, 2017, or for any other period. There have been no material changes to Autodesk's significant accounting policies as compared to the significant accounting policies disclosed in the Annual Report on Form 10-K for the fiscal year ended January 31, 2016.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2016, filed on March 23, 2016.</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the quarter ended April 30, 2015, Autodesk determined that it had not correctly accounted for certain liabilities primarily related to employee benefits and unclaimed property. Accordingly, during the three months ended April 30, 2015, we recorded $5.7 million of additional operating expenses related to prior periods.</w:t>
      </w:r>
    </w:p>
    <w:p>
      <w:pPr>
        <w:spacing w:after="0" w:line="18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 xml:space="preserve">As these adjustments were related to the correction of errors, Autodesk performed the analysis required by Staff Accounting Bulletin No. 99, </w:t>
      </w:r>
      <w:r>
        <w:rPr>
          <w:rFonts w:ascii="Arial" w:cs="Arial" w:eastAsia="Arial" w:hAnsi="Arial"/>
          <w:sz w:val="17"/>
          <w:szCs w:val="17"/>
          <w:i w:val="1"/>
          <w:iCs w:val="1"/>
          <w:color w:val="auto"/>
        </w:rPr>
        <w:t>Materiality</w:t>
      </w:r>
      <w:r>
        <w:rPr>
          <w:rFonts w:ascii="Arial" w:cs="Arial" w:eastAsia="Arial" w:hAnsi="Arial"/>
          <w:sz w:val="17"/>
          <w:szCs w:val="17"/>
          <w:color w:val="auto"/>
        </w:rPr>
        <w:t>, and Staff Accounting Bulletin No. 108,</w:t>
      </w:r>
      <w:r>
        <w:rPr>
          <w:rFonts w:ascii="Arial" w:cs="Arial" w:eastAsia="Arial" w:hAnsi="Arial"/>
          <w:sz w:val="17"/>
          <w:szCs w:val="17"/>
          <w:i w:val="1"/>
          <w:iCs w:val="1"/>
          <w:color w:val="auto"/>
        </w:rPr>
        <w:t xml:space="preserve"> Considering the Effects of Prior Year Misstatements When Quantifying Misstatements in Current Year Financial Statements</w:t>
      </w:r>
      <w:r>
        <w:rPr>
          <w:rFonts w:ascii="Arial" w:cs="Arial" w:eastAsia="Arial" w:hAnsi="Arial"/>
          <w:sz w:val="17"/>
          <w:szCs w:val="17"/>
          <w:color w:val="auto"/>
        </w:rPr>
        <w:t>. Based on this analysis, Autodesk concluded that the effect of the errors was not material to the financial position,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cash flows in fiscal 2016 or any other prior fiscal year from both a quantitative and qualitative perspective.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2016, that are of significance, or potential significance, to the Company.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Effective in the first quarter of fiscal 2017, Autodesk adopted FASB's Accounting Standards Update No. 2015-05 ("ASU 2015-05") regarding Subtopic 350-40, “Intangibles - Goodwill and Other - Internal-Use Software: Customer's Accounting for Fees Paid in a Cloud Computing Arrangement.” The amendments in this ASU provide guidance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The amendments for ASU 2015-05 were prospectively applied and did not have a material impact on Autodesk's consolidated financial statements.</w:t>
      </w:r>
    </w:p>
    <w:p>
      <w:pPr>
        <w:spacing w:after="0" w:line="165"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Effective in the first quarter of fiscal 2017, Autodesk adopted FASB's Accounting Standards Update No. 2015-07 ("ASU 2015-07") regarding ASC Topic 820, "Fair Value Measurement: Disclosures for Investments in Certain Entities That Calculate Net Asset Value per Share (or Its Equivalent)." The amendments in ASU 2015-07 remove the requirement to categorize within the fair value hierarchy all investments for which fair value is measured using the net asset value per share practical expedient. The amendments also limit certain disclosures to investments for which the entity has elected to measure at fair value using the net asset value per share practical expedient. The amendments were applied retrospectively by removing from the fair value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hierarchy any investments for which fair value is measured using the net asset value per share practical expedient. Adoption did not have a material impact on Autodesk's consolidated financial statements.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March 2016, the FASB issued Accounting Standards Update No. 2016-09 ("ASU 2016-09") regarding ASC Topic 718, “Improvements to Employee Share-Based Payment Accounting.” The amendments in ASU 2016-09 simplify several aspects of the accounting for share-based payment transactions, including the income tax consequences, classification of awards, and classification on the statement of cash flows. Additionally, the amendments allow an entity to make an entity-wide accounting policy election to either estimate the number of awards that are expected to vest (current GAAP) or account for forfeitures as they occur. Using a modified retrospective approach, the amendments will be effective for Autodesk’s fiscal year beginning February 1, 2018 unless Autodesk elects early adoption.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2016, the FASB issued Accounting Standards Update No. 2016-02 ("ASU 2016-02") regarding ASC Topic 842, "Leases." The amendments in this ASU require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ASU 2016-02 will be effective for Autodesk’s fiscal year beginning February 1, 2019 unless Autodesk elects early adoption. The amendments require a modified retrospective approach with optional practical expedients. Autodesk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January 2016, the FASB issued Accounting Standards Update No. 2016-01 ("ASU 2016-01") regarding ASC Topic 825-10, "Financial Instruments - Overall." The amendments address certain aspects of recognition, measurement, presentation, and disclosure of financial instruments, and require equity securities to be measured at fair value with changes in fair value recognized through net income. The amendments also simplify the impairment assessment of equity investments without readily determinable fair values by requiring a qualitative assessment for impairment quarterly at each reporting period. The amendments in ASU 2016-01 are effective for annual and interim periods beginning after December 15, 2017. An entity should apply the amendments by means of a cumulative-effect adjustment to the balance sheet as of the beginning of the fiscal year of adoption, with prospective adoption of the amendments related to equity securities without readily determinable fair values existing as of the date of adoption. Autodesk is currently evaluating the accounting, transition, and disclosure requirements of the standard and cannot currently estimate the financial statement impact of adoption.</w:t>
      </w:r>
    </w:p>
    <w:p>
      <w:pPr>
        <w:spacing w:after="0" w:line="16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May 2014, the FASB issued Accounting Standards Update No. 2014-09 ("ASU 2014-09") regarding ASC Topic 606, “Revenue from Contracts with Customers.” ASU 2014-09 provides principles for recognizing revenue to depict the transfer of promised goods or services to customers in an amount that reflects the consideration to which the entity expects to be entitled in exchange for those goods or services. In August 2015, the FASB issued ASU 2015-14 to defer the effective date by one year with early adoption permitted as of the original effective date. ASU 2014-09 will be effective for Autodesk’s fiscal year beginning February 1, 2018 unless we elect the earlier date of February 1, 2017. In addition, the FASB issued ASU 2016-08, ASU 2016-10, and ASU 2016-12 in March 2016, April 2016, and May 2016, respectively, to help provide interpretive clarifications on the new guidance in ASC Topic 606. Autodesk is currently evaluating the accounting, transition, and disclosure requirements of the standard and cannot currently estimate the financial statement impact of adoption.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Total sales to the distributor Tech Data Corporation and its global affiliates (“Tech Data”) accounted for 29% of Autodesk’s total net revenue for the three months ended April 30, 2016, and 26% for the three months ended April 30, 2015. The majority of the net revenue from sales to Tech Data relates to Autodesk’s Architecture, Engineering and Construction (“AEC”) segment and is for sales made outside of the United States. In addition, Tech Data accounted for 29% and 22% of trade accounts receivable at April 30, 2016 and January 31, 2016,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2016 and January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April 30, 2016</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Agency bonds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Custody cash deposit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government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Agency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Short-term trading securities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6"/>
                <w:szCs w:val="16"/>
                <w:color w:val="auto"/>
              </w:rPr>
              <w:t>Long-term available-for-sale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Agency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Asset backed securities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Certificates of deposit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Corporate bonds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293.4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620"/>
              <w:spacing w:after="0"/>
              <w:rPr>
                <w:sz w:val="20"/>
                <w:szCs w:val="20"/>
                <w:color w:val="auto"/>
              </w:rPr>
            </w:pPr>
            <w:r>
              <w:rPr>
                <w:rFonts w:ascii="Arial" w:cs="Arial" w:eastAsia="Arial" w:hAnsi="Arial"/>
                <w:sz w:val="16"/>
                <w:szCs w:val="16"/>
                <w:color w:val="auto"/>
              </w:rPr>
              <w:t>Sovereign debt</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U.S. government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3900" w:type="dxa"/>
            <w:vAlign w:val="bottom"/>
          </w:tcPr>
          <w:p>
            <w:pPr>
              <w:ind w:left="6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2,266.5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2,265.2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1,606.0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140"/>
              <w:spacing w:after="0"/>
              <w:rPr>
                <w:sz w:val="20"/>
                <w:szCs w:val="20"/>
                <w:color w:val="auto"/>
              </w:rPr>
            </w:pPr>
            <w:r>
              <w:rPr>
                <w:rFonts w:ascii="Arial" w:cs="Arial" w:eastAsia="Arial" w:hAnsi="Arial"/>
                <w:sz w:val="14"/>
                <w:szCs w:val="14"/>
                <w:b w:val="1"/>
                <w:bCs w:val="1"/>
                <w:color w:val="auto"/>
                <w:w w:val="92"/>
              </w:rPr>
              <w:t>January 31, 2016</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gains</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160"/>
              <w:spacing w:after="0"/>
              <w:rPr>
                <w:sz w:val="20"/>
                <w:szCs w:val="20"/>
                <w:color w:val="auto"/>
              </w:rPr>
            </w:pPr>
            <w:r>
              <w:rPr>
                <w:rFonts w:ascii="Arial" w:cs="Arial" w:eastAsia="Arial" w:hAnsi="Arial"/>
                <w:sz w:val="16"/>
                <w:szCs w:val="16"/>
                <w:color w:val="auto"/>
              </w:rPr>
              <w:t>Agency bonds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Certificates of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16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Custody cash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160"/>
              <w:spacing w:after="0"/>
              <w:rPr>
                <w:sz w:val="20"/>
                <w:szCs w:val="20"/>
                <w:color w:val="auto"/>
              </w:rPr>
            </w:pPr>
            <w:r>
              <w:rPr>
                <w:rFonts w:ascii="Arial" w:cs="Arial" w:eastAsia="Arial" w:hAnsi="Arial"/>
                <w:sz w:val="16"/>
                <w:szCs w:val="16"/>
                <w:color w:val="auto"/>
              </w:rPr>
              <w:t>Money market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160"/>
              <w:spacing w:after="0"/>
              <w:rPr>
                <w:sz w:val="20"/>
                <w:szCs w:val="20"/>
                <w:color w:val="auto"/>
              </w:rPr>
            </w:pPr>
            <w:r>
              <w:rPr>
                <w:rFonts w:ascii="Arial" w:cs="Arial" w:eastAsia="Arial" w:hAnsi="Arial"/>
                <w:sz w:val="16"/>
                <w:szCs w:val="16"/>
                <w:color w:val="auto"/>
              </w:rPr>
              <w:t>U.S. government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160"/>
              <w:spacing w:after="0"/>
              <w:rPr>
                <w:sz w:val="20"/>
                <w:szCs w:val="20"/>
                <w:color w:val="auto"/>
              </w:rPr>
            </w:pPr>
            <w:r>
              <w:rPr>
                <w:rFonts w:ascii="Arial" w:cs="Arial" w:eastAsia="Arial" w:hAnsi="Arial"/>
                <w:sz w:val="16"/>
                <w:szCs w:val="16"/>
                <w:color w:val="auto"/>
              </w:rPr>
              <w:t>Short-term available-for-sale</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Agency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Asset-backed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Sovereign debt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U.S. government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Short-term trading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Agency bonds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 backed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Corporate debt securities</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6"/>
                <w:szCs w:val="16"/>
                <w:color w:val="auto"/>
              </w:rPr>
              <w:t>Sovereign debt</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government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Convertible debt securities (2)</w:t>
            </w: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contracts (3)</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4"/>
        </w:trPr>
        <w:tc>
          <w:tcPr>
            <w:tcW w:w="3560" w:type="dxa"/>
            <w:vAlign w:val="bottom"/>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2,310.6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1,594.4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Considered “available-for-sale”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1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022" w:right="259" w:bottom="1440" w:gutter="0" w:footer="0" w:header="0"/>
        </w:sectPr>
      </w:pPr>
    </w:p>
    <w:bookmarkStart w:id="10" w:name="page11"/>
    <w:bookmarkEnd w:id="10"/>
    <w:p>
      <w:pPr>
        <w:ind w:right="120"/>
        <w:spacing w:after="0" w:line="257" w:lineRule="auto"/>
        <w:rPr>
          <w:sz w:val="20"/>
          <w:szCs w:val="20"/>
          <w:color w:val="auto"/>
        </w:rPr>
      </w:pPr>
      <w:r>
        <w:rPr>
          <w:rFonts w:ascii="Arial" w:cs="Arial" w:eastAsia="Arial" w:hAnsi="Arial"/>
          <w:sz w:val="18"/>
          <w:szCs w:val="18"/>
          <w:color w:val="auto"/>
        </w:rPr>
        <w:t>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months ended April 30, 2016.</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available-for-sale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derivative contracts which are valued using probability weighted discounted cash flow models as some of the inputs to the models are unobservable in the market.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2016 follows:</w:t>
      </w:r>
    </w:p>
    <w:p>
      <w:pPr>
        <w:spacing w:after="0" w:line="379"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13335</wp:posOffset>
            </wp:positionV>
            <wp:extent cx="25984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5984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Convertible Debt</w:t>
            </w:r>
          </w:p>
        </w:tc>
        <w:tc>
          <w:tcPr>
            <w:tcW w:w="280" w:type="dxa"/>
            <w:vAlign w:val="bottom"/>
          </w:tcPr>
          <w:p>
            <w:pPr>
              <w:spacing w:after="0"/>
              <w:rPr>
                <w:sz w:val="14"/>
                <w:szCs w:val="14"/>
                <w:color w:val="auto"/>
              </w:rPr>
            </w:pPr>
          </w:p>
        </w:tc>
        <w:tc>
          <w:tcPr>
            <w:tcW w:w="94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31, 2016</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6"/>
                <w:szCs w:val="16"/>
                <w:color w:val="auto"/>
              </w:rPr>
              <w:t>Purchases</w:t>
            </w:r>
          </w:p>
        </w:tc>
        <w:tc>
          <w:tcPr>
            <w:tcW w:w="200" w:type="dxa"/>
            <w:vAlign w:val="bottom"/>
          </w:tcPr>
          <w:p>
            <w:pPr>
              <w:spacing w:after="0"/>
              <w:rPr>
                <w:sz w:val="20"/>
                <w:szCs w:val="20"/>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Gains included in OCI</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color w:val="auto"/>
              </w:rPr>
              <w:t>Balance at April 30, 2016</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2016</w:t>
            </w:r>
          </w:p>
        </w:tc>
        <w:tc>
          <w:tcPr>
            <w:tcW w:w="10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6"/>
              </w:rPr>
              <w:t>1,003.2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1,004.3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0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536.3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537.8</w:t>
            </w:r>
          </w:p>
        </w:tc>
      </w:tr>
      <w:tr>
        <w:trPr>
          <w:trHeight w:val="33"/>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6"/>
              </w:rPr>
              <w:t>1,541.5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1,544.1</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April 30, 2016 and January 31, 2016, Autodesk had no material securities in a continuous unrealized loss position for greater than twelve months.</w:t>
      </w:r>
    </w:p>
    <w:p>
      <w:pPr>
        <w:spacing w:after="0" w:line="2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both April 30, 2016 and January 31, 2016, Autodesk had $104.3 million in direct investments in privately held companies accounted for under the cost method, which are periodically assessed for other-than-temporary impairment. Autodesk estimates fair value of its cost method investments considering available information such as pricing in recent rounds of financing, current cash positions, earnings and cash flow forecasts, recent operational performance and any other readily available market data.</w:t>
      </w:r>
    </w:p>
    <w:p>
      <w:pPr>
        <w:spacing w:after="0" w:line="18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If Autodesk determines that an other-than-temporary impairment has occurred, Autodesk writes down the investment to its fair value. During the three months ended April 30, 2016, Autodesk recorded no other-than-temporary impairment on its privately held equity investments. During the three months ended April 30, 2015, Autodesk recorded $0.2 million in other-than-temporary impairment on its privately held equity investments.</w:t>
      </w:r>
    </w:p>
    <w:p>
      <w:pPr>
        <w:spacing w:after="0" w:line="16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sales or redemptions of “available-for-sale securities” during the three months ended April 30, 2016 and 2015 resulted in a loss of $0.1 million for both periods. Gains and losses resulting from the sale or redemption of "available-for-sale securities" are recorded in “Interest and other (expense) income, net” on the Company's Condensed Consolidated Statements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44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2016 and 2015 were $430.2 million and $289.9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portion of transaction exposures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income, net” in the Company's Condensed Consolidated Financial Statements at that time.</w:t>
      </w:r>
    </w:p>
    <w:p>
      <w:pPr>
        <w:spacing w:after="0" w:line="179"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net notional amounts of these contracts are presented net settled and were $313.8 million at April 30, 2016 and $142.4 million at January 31, 2016. Outstanding contracts are recognized as either assets or liabilities on the balance sheet at fair value. The majority of the net gain of $6.2 million remaining in “Accumulated other comprehensive loss” as of April 30, 2016 is expected to be recognized into earnings within the next twelve months.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(expense) income,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$40.2 million at April 30, 2016 and $231.6 million at January 31, 2016.</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(expense) income, net.”</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800" w:right="31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April 30, 2016 and January 31,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500" w:type="dxa"/>
            <w:vAlign w:val="bottom"/>
          </w:tcPr>
          <w:p>
            <w:pPr>
              <w:spacing w:after="0"/>
              <w:rPr>
                <w:sz w:val="22"/>
                <w:szCs w:val="22"/>
                <w:color w:val="auto"/>
              </w:rPr>
            </w:pPr>
          </w:p>
        </w:tc>
        <w:tc>
          <w:tcPr>
            <w:tcW w:w="2860" w:type="dxa"/>
            <w:vAlign w:val="bottom"/>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2016</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860" w:type="dxa"/>
            <w:vAlign w:val="bottom"/>
          </w:tcPr>
          <w:p>
            <w:pPr>
              <w:ind w:left="20"/>
              <w:spacing w:after="0"/>
              <w:rPr>
                <w:sz w:val="20"/>
                <w:szCs w:val="20"/>
                <w:color w:val="auto"/>
              </w:rPr>
            </w:pPr>
            <w:r>
              <w:rPr>
                <w:rFonts w:ascii="Arial" w:cs="Arial" w:eastAsia="Arial" w:hAnsi="Arial"/>
                <w:sz w:val="16"/>
                <w:szCs w:val="16"/>
                <w:color w:val="auto"/>
                <w:w w:val="92"/>
              </w:rPr>
              <w:t>Prepaid expenses and other current assets</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88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5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5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Prepaid expenses and other current assets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50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84"/>
        </w:trPr>
        <w:tc>
          <w:tcPr>
            <w:tcW w:w="55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w:t>
            </w: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50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8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88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5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r>
      <w:tr>
        <w:trPr>
          <w:trHeight w:val="244"/>
        </w:trPr>
        <w:tc>
          <w:tcPr>
            <w:tcW w:w="550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w:t>
            </w:r>
          </w:p>
        </w:tc>
      </w:tr>
      <w:tr>
        <w:trPr>
          <w:trHeight w:val="20"/>
        </w:trPr>
        <w:tc>
          <w:tcPr>
            <w:tcW w:w="5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2016 and 2015 (amounts presented include any income tax effects):</w:t>
      </w:r>
    </w:p>
    <w:p>
      <w:pPr>
        <w:spacing w:after="0" w:line="324"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Foreign Currency</w:t>
      </w:r>
    </w:p>
    <w:p>
      <w:pPr>
        <w:spacing w:after="0" w:line="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13335</wp:posOffset>
            </wp:positionV>
            <wp:extent cx="1655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7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23495</wp:posOffset>
            </wp:positionV>
            <wp:extent cx="16554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1"/>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87"/>
                <w:shd w:val="clear" w:color="auto" w:fill="CCEEFF"/>
              </w:rPr>
              <w:t>Amount o</w:t>
            </w: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rPr>
              <w:t xml:space="preserve">f (loss) gain recognized </w:t>
            </w:r>
            <w:r>
              <w:rPr>
                <w:rFonts w:ascii="Arial" w:cs="Arial" w:eastAsia="Arial" w:hAnsi="Arial"/>
                <w:sz w:val="16"/>
                <w:szCs w:val="16"/>
                <w:i w:val="1"/>
                <w:iCs w:val="1"/>
                <w:color w:val="auto"/>
                <w:shd w:val="clear" w:color="auto" w:fill="CCEEFF"/>
              </w:rPr>
              <w:t>in accumulated other comprehensive income on derivatives (effective portion)</w:t>
            </w: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8"/>
              </w:rPr>
              <w:t>Amount and location of gain (loss) reclassified from accumulated other comprehensive income into income (effective portion)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7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8780" w:type="dxa"/>
            <w:vAlign w:val="bottom"/>
            <w:gridSpan w:val="2"/>
          </w:tcPr>
          <w:p>
            <w:pPr>
              <w:ind w:left="38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(loss) gain recognized in income on derivatives (ineffective portion and amount excluded from effectiveness</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78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780" w:type="dxa"/>
            <w:vAlign w:val="bottom"/>
            <w:gridSpan w:val="2"/>
          </w:tcPr>
          <w:p>
            <w:pPr>
              <w:ind w:left="200"/>
              <w:spacing w:after="0"/>
              <w:rPr>
                <w:sz w:val="20"/>
                <w:szCs w:val="20"/>
                <w:color w:val="auto"/>
              </w:rPr>
            </w:pPr>
            <w:r>
              <w:rPr>
                <w:rFonts w:ascii="Arial" w:cs="Arial" w:eastAsia="Arial" w:hAnsi="Arial"/>
                <w:sz w:val="16"/>
                <w:szCs w:val="16"/>
                <w:i w:val="1"/>
                <w:iCs w:val="1"/>
                <w:color w:val="auto"/>
              </w:rPr>
              <w:t>testing)</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 and other (expense) income, net</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2016 and 2015 (amounts presented include any income tax effects):</w:t>
      </w:r>
    </w:p>
    <w:p>
      <w:pPr>
        <w:spacing w:after="0" w:line="324"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9300"/>
        <w:spacing w:after="0"/>
        <w:tabs>
          <w:tab w:leader="none" w:pos="10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loss recognized in income on derivatives</w:t>
      </w:r>
    </w:p>
    <w:p>
      <w:pPr>
        <w:spacing w:after="0" w:line="86" w:lineRule="exact"/>
        <w:rPr>
          <w:sz w:val="20"/>
          <w:szCs w:val="20"/>
          <w:color w:val="auto"/>
        </w:rPr>
      </w:pPr>
    </w:p>
    <w:p>
      <w:pPr>
        <w:ind w:left="380"/>
        <w:spacing w:after="0"/>
        <w:tabs>
          <w:tab w:leader="none" w:pos="8780" w:val="left"/>
          <w:tab w:leader="none" w:pos="9680" w:val="left"/>
          <w:tab w:leader="none" w:pos="10160" w:val="left"/>
          <w:tab w:leader="none" w:pos="11040" w:val="left"/>
        </w:tabs>
        <w:rPr>
          <w:sz w:val="20"/>
          <w:szCs w:val="20"/>
          <w:color w:val="auto"/>
        </w:rPr>
      </w:pPr>
      <w:r>
        <w:rPr>
          <w:rFonts w:ascii="Arial" w:cs="Arial" w:eastAsia="Arial" w:hAnsi="Arial"/>
          <w:sz w:val="16"/>
          <w:szCs w:val="16"/>
          <w:color w:val="auto"/>
        </w:rPr>
        <w:t>Interest and other (expense) income,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(7.0)</w:t>
        <w:tab/>
        <w:t>$</w:t>
      </w:r>
      <w:r>
        <w:rPr>
          <w:sz w:val="20"/>
          <w:szCs w:val="20"/>
          <w:color w:val="auto"/>
        </w:rPr>
        <w:tab/>
      </w:r>
      <w:r>
        <w:rPr>
          <w:rFonts w:ascii="Arial" w:cs="Arial" w:eastAsia="Arial" w:hAnsi="Arial"/>
          <w:sz w:val="14"/>
          <w:szCs w:val="14"/>
          <w:color w:val="auto"/>
        </w:rPr>
        <w:t>(1.4)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ind w:left="220" w:right="4760" w:hanging="212"/>
        <w:spacing w:after="0" w:line="501" w:lineRule="auto"/>
        <w:tabs>
          <w:tab w:leader="none" w:pos="184"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unit activity for the three months ended April 30, 2016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2016</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April 30,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7,739.6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1,015.9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57.68</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(863.8)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56.48</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51.87</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7,550.7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951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-130175</wp:posOffset>
            </wp:positionV>
            <wp:extent cx="951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420" w:right="340" w:hanging="412"/>
        <w:spacing w:after="0" w:line="263"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2016 performance period. The performance stock units were attained at rates ranging from 86.1% to 98.0%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three months ended April 30, 2016 and 2015 was $49.1 million and $59.0 million, respectively.</w:t>
      </w:r>
    </w:p>
    <w:p>
      <w:pPr>
        <w:spacing w:after="0" w:line="237"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During the three months ended April 30, 2016, Autodesk granted 0.6 million restricted stock units. Autodesk recorded stock-based compensation expense related to restricted stock units of $41.7 million and $37.8 million during the three months ended April 30, 2016 and 2015, respectively.</w:t>
      </w:r>
    </w:p>
    <w:p>
      <w:pPr>
        <w:spacing w:after="0" w:line="12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During the three months ended April 30, 2016, Autodesk granted 0.4 million performance restricted stock units (“PSUs”) for which the ultimate number of shares earned is determined based on the achievement of performance criteria at the end of the stated service and performance period. The performance criteria for these grants are based upon net new model subscription additions, new model Annualized Recurring Revenue ("ARR"), non-GAAP total spend, and total subscription renewal rate goals ("FY17 performance criteria") adopted by the Compensation and Human Resource Committee, as well as total stockholder return compared against companies in the S&amp;P Computer Software Select Index (“Relative TSR”). Each PSU covers a three-year period:</w:t>
      </w:r>
    </w:p>
    <w:p>
      <w:pPr>
        <w:spacing w:after="0" w:line="158" w:lineRule="exact"/>
        <w:rPr>
          <w:sz w:val="20"/>
          <w:szCs w:val="20"/>
          <w:color w:val="auto"/>
        </w:rPr>
      </w:pPr>
    </w:p>
    <w:p>
      <w:pPr>
        <w:ind w:left="660" w:right="5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one, depending upon the achievement of the FY17 performance criteria as well as 1-year Relative TSR (covering year one).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one third of the PSUs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PSUs are not considered outstanding stock at the time of grant, as the holders of these units are not entitled to any of the rights of a stockholder, including voting rights. Autodesk has determined the grant-date fair value for these awards using a Monte Carlo simulation model since the awards are also subject to a market condition. The fair value of the PSUs is expensed using the accelerated attribution over the vesting period. Autodesk recorded stock-based compensation expense related to PSUs of $8.1 million and $5.6 million for the three months ended April 30, 2016 and 2015, respectively.</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 of four, six-month exercise periods within a 24-month offering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type w:val="continuous"/>
        </w:sectPr>
      </w:pPr>
    </w:p>
    <w:bookmarkStart w:id="14" w:name="page15"/>
    <w:bookmarkEnd w:id="14"/>
    <w:p>
      <w:pPr>
        <w:ind w:left="440"/>
        <w:spacing w:after="0"/>
        <w:rPr>
          <w:sz w:val="20"/>
          <w:szCs w:val="20"/>
          <w:color w:val="auto"/>
        </w:rPr>
      </w:pPr>
      <w:r>
        <w:rPr>
          <w:rFonts w:ascii="Arial" w:cs="Arial" w:eastAsia="Arial" w:hAnsi="Arial"/>
          <w:sz w:val="17"/>
          <w:szCs w:val="17"/>
          <w:color w:val="auto"/>
        </w:rPr>
        <w:t>Autodesk issued 1.2 million and 1.1 million shares under the ESPP during the three months ended April 30, 2016 and 2015, respectively, with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average price of $36.67 and $36.91 per share, respectively. The weighted average grant date fair value of awards granted under the ESPP was $17.88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$15.99 during the three months ended April 30, 2016 and 2015, respectively, calculated as of the award grant date using the Black-Scholes Merton (“BSM")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pricing model.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2016 and 2015, respectively,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6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Cost of license and other revenue</w:t>
            </w:r>
          </w:p>
        </w:tc>
        <w:tc>
          <w:tcPr>
            <w:tcW w:w="9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w:t>
            </w:r>
          </w:p>
        </w:tc>
      </w:tr>
      <w:tr>
        <w:trPr>
          <w:trHeight w:val="33"/>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(14.0)</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900" w:type="dxa"/>
            <w:vAlign w:val="bottom"/>
            <w:tcBorders>
              <w:top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r>
      <w:tr>
        <w:trPr>
          <w:trHeight w:val="33"/>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utilizes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 April 30, 2016</w:t>
            </w:r>
          </w:p>
        </w:tc>
        <w:tc>
          <w:tcPr>
            <w:tcW w:w="120" w:type="dxa"/>
            <w:vAlign w:val="bottom"/>
          </w:tcPr>
          <w:p>
            <w:pPr>
              <w:spacing w:after="0"/>
              <w:rPr>
                <w:sz w:val="16"/>
                <w:szCs w:val="16"/>
                <w:color w:val="auto"/>
              </w:rPr>
            </w:pPr>
          </w:p>
        </w:tc>
        <w:tc>
          <w:tcPr>
            <w:tcW w:w="34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Three Months Ended April 30, 2015</w:t>
            </w:r>
          </w:p>
        </w:tc>
        <w:tc>
          <w:tcPr>
            <w:tcW w:w="0" w:type="dxa"/>
            <w:vAlign w:val="bottom"/>
          </w:tcPr>
          <w:p>
            <w:pPr>
              <w:spacing w:after="0"/>
              <w:rPr>
                <w:sz w:val="1"/>
                <w:szCs w:val="1"/>
                <w:color w:val="auto"/>
              </w:rPr>
            </w:pPr>
          </w:p>
        </w:tc>
      </w:tr>
      <w:tr>
        <w:trPr>
          <w:trHeight w:val="152"/>
        </w:trPr>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ESPP</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Performance Stock Unit</w:t>
            </w:r>
          </w:p>
        </w:tc>
        <w:tc>
          <w:tcPr>
            <w:tcW w:w="17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6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38.4 - 38.6%</w:t>
            </w:r>
          </w:p>
        </w:tc>
        <w:tc>
          <w:tcPr>
            <w:tcW w:w="12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35.0 - 40.2%</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27.3%</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27.7 - 28.2%</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6"/>
                <w:szCs w:val="16"/>
                <w:color w:val="auto"/>
                <w:w w:val="93"/>
              </w:rPr>
              <w:t>0.6 - 0.7%</w:t>
            </w:r>
          </w:p>
        </w:tc>
        <w:tc>
          <w:tcPr>
            <w:tcW w:w="1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0"/>
              </w:rPr>
              <w:t>0.5 - 0.9%</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0.2%</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0"/>
              </w:rPr>
              <w:t>0.1 - 0.6%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-664210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-321310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620"/>
          </w:cols>
          <w:pgMar w:left="240" w:top="800" w:right="239" w:bottom="1440" w:gutter="0" w:footer="0" w:header="0"/>
          <w:type w:val="continuous"/>
        </w:sectPr>
      </w:pPr>
    </w:p>
    <w:p>
      <w:pPr>
        <w:spacing w:after="0" w:line="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PSUs subject to market conditions includes the expected volatility of Autodesk's peer companies within the S&amp;P Computer Software Select Index.</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type w:val="continuous"/>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Autodesk's income tax expense was $14.4 million and $2.7 million for the three months ended April 30, 2016 and 2015, respectively, relative to a pre-tax loss of $158.6 million and pre-tax income of $21.8 million, respectively, for the same periods. Income tax expense consists primarily of foreign taxes and U.S. tax expense related to indefinite-lived intangibles.</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As of April 30, 2016, the Company had $254.6 million of gross unrecognized tax benefits, excluding interest, of which approximately $239.9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currently the subject of a tax audit in China covering certain transfer pricing matters from 2004-2013. On May 12, 2016, the China Tax Authority (the "CTA") provided an outline of the CTA's current position, but no adjustment has been proposed. Autodesk is currently evaluating that information and believes it is reasonably possible that a future settlement could result in a material tax charge. However, an estimate of the possible tax charge cannot be made based on information available at the balance sheet date.</w:t>
      </w:r>
    </w:p>
    <w:p>
      <w:pPr>
        <w:spacing w:after="0" w:line="18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three months ended April 30, 2016, Autodesk completed several business combinations and technology acquisitions for total cash consideration of approximately $61.3 million. Pro forma results of operations have not been presented because the effects of the acquisitions, individually and in the aggregate, were not material to Autodesk’s Condensed Consolidated Financial Statements.</w:t>
      </w:r>
    </w:p>
    <w:p>
      <w:pPr>
        <w:spacing w:after="0" w:line="18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acquisitions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acquisitions.</w:t>
      </w:r>
    </w:p>
    <w:p>
      <w:pPr>
        <w:spacing w:after="0" w:line="187"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and technology acquisitions completed during the three months ended April 30, 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April 30, 2016</w:t>
            </w:r>
          </w:p>
        </w:tc>
      </w:tr>
      <w:tr>
        <w:trPr>
          <w:trHeight w:val="236"/>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45.4</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1040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10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44"/>
        </w:trPr>
        <w:tc>
          <w:tcPr>
            <w:tcW w:w="10400" w:type="dxa"/>
            <w:vAlign w:val="bottom"/>
          </w:tcPr>
          <w:p>
            <w:pPr>
              <w:ind w:left="28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61.3</w:t>
            </w: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certain business combinations,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2016</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579.3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571.4</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375.8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371.6</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943.0</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(796.2)</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146.8</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by reportable segment during the three months ended April 30, 2016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Platform</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Architecture,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Engineering</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Media and</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Emerging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Manufacturing</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Construction</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Entertainment</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2016</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386.9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256.2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1,684.2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386.9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427.2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1,535.0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 arising from other acquisitions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rPr>
              <w:t>Effect of foreign currency translation, purchase accounting</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540"/>
              <w:spacing w:after="0"/>
              <w:rPr>
                <w:sz w:val="20"/>
                <w:szCs w:val="20"/>
                <w:color w:val="auto"/>
              </w:rPr>
            </w:pPr>
            <w:r>
              <w:rPr>
                <w:rFonts w:ascii="Arial" w:cs="Arial" w:eastAsia="Arial" w:hAnsi="Arial"/>
                <w:sz w:val="16"/>
                <w:szCs w:val="16"/>
                <w:color w:val="auto"/>
              </w:rPr>
              <w:t>adjustments, and other</w:t>
            </w:r>
          </w:p>
        </w:tc>
        <w:tc>
          <w:tcPr>
            <w:tcW w:w="16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April 30, 2016</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431.6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1,729.7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431.6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615.6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Goodwill consists of the excess of consideration transferred over the fair value of net assets acquired in business combinations. Autodesk assigns goodwill to the reporting unit associated with each business combination, and tests goodwill for impairment annually in its fourth fiscal quarter or more often if circumstances indicate a potential impairment. The company has established reporting units based upon its current reporting structure.</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two-step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two-step impairment test is unnecessary.</w:t>
      </w:r>
    </w:p>
    <w:p>
      <w:pPr>
        <w:spacing w:after="0" w:line="19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Therefore, the two-step quantitative impairment test is necessary when either Autodesk does not use the optional assessment or, as a result of the optional assessment, it is not more likely than not that the fair value of the reporting unit is greater than its carrying value. In performing the two-step impairment test, Autodesk uses discounted cash flow models which include assumptions regarding projected cash flows.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As changes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type w:val="continuous"/>
        </w:sectPr>
      </w:pPr>
    </w:p>
    <w:bookmarkStart w:id="17" w:name="page18"/>
    <w:bookmarkEnd w:id="17"/>
    <w:p>
      <w:pPr>
        <w:ind w:right="40"/>
        <w:spacing w:after="0" w:line="302" w:lineRule="auto"/>
        <w:rPr>
          <w:sz w:val="20"/>
          <w:szCs w:val="20"/>
          <w:color w:val="auto"/>
        </w:rPr>
      </w:pPr>
      <w:r>
        <w:rPr>
          <w:rFonts w:ascii="Arial" w:cs="Arial" w:eastAsia="Arial" w:hAnsi="Arial"/>
          <w:sz w:val="16"/>
          <w:szCs w:val="16"/>
          <w:color w:val="auto"/>
        </w:rPr>
        <w:t>in business conditions and assumptions occur, Autodesk may be required to record impairment charges.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significant slowdown in the worldwide economy or the industries Autodesk serves, or (iv) changes in Autodesk’s business strategy or internal financial results forecasts.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At April 30, 2016, Autodesk had marketable securities totaling $1.6 billion, of which $43.2 million related to investments in debt and equity securities that are held in a rabbi trust under non-qualified deferred compensation plans. The total related deferred compensation liability was $43.2 million at April 30, 2016, of which $2.0 million was classified as current and $41.2 million was classified as non-current liabilities. The total related deferred compensation liability at January 31, 2016 was $38.0 million, of which $1.9 million was classified as current and $36.1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2016</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2016</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85.6</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59.0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(380.9)</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$770.1 million as of April 30, 2016.</w:t>
      </w:r>
    </w:p>
    <w:p>
      <w:pPr>
        <w:spacing w:after="0" w:line="179"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In December 2012, Autodesk issued $400.0 million aggregate principal amount of 1.95% notes due December 15, 2017 and $350.0 million aggregate principal amount of 3.6% notes due December 15, 2022 (collectively,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Autodesk may redeem the 2012 Notes at any time, subject to a make whole premium. In addition, upon the occurrence of certain change of control triggering events, Autodesk may be required to repurchase the 2012 Notes at a price equal to 101% of their principal amount, plus accrued and unpaid interest to the date of repurchase. The 2012 Notes contain restrictive covenants that limit Autodesk's ability to create certain liens, to enter into certain sale and leaseback transactions and to consolidate or merge with, or convey, transfer or lease all or substantially all of its assets, subject to important qualifications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and exceptions. Based on quoted market prices, the fair value of the 2012 Notes was approximately $756.1 million as of April 30, 2016.</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financial covenants consist of a leverage ratio, and an interest coverage ratio. The line of credit is syndicated with various financial institutions, including Citibank, N.A., an affiliate of Citigroup, which is one of the lead lenders and an agent. The maturity date on the line of credit is May 2020. At April 30, 2016, Autodesk was in compliance with the credit facility's covenants and had no outstanding borrowings on this line of credit.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Restructuring</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February 2016, the Board of Directors approved a world-wide restructuring plan (“Fiscal 2017 Plan”) in order to re-balance staffing levels and reduce operating expenses to better align them with the evolving needs of the business. The Company's Fiscal 2017 Plan consist of employee termination benefits related to the reduction of its workforce with expected costs of approximately $76.0 million, and lease terminations and other exit costs expected to be approximately $12.0 million. During the three months ended April 30, 2016, restructuring charges under the Fiscal 2017 Plan included $47.6 million in employee termination benefits and $4.7 million in lease terminations and other exit costs. Other costs primarily consist of legal, consulting, and other costs related to employee terminations and are expensed when incurred.</w:t>
      </w:r>
    </w:p>
    <w:p>
      <w:pPr>
        <w:spacing w:after="0" w:line="193"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expects to pay substantially all of the employee termination benefits and facility related liabilities under the Fiscal 2017 Plan by the end of fiscal 2017.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restructuring activities during the three months ended April 30,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Balance at January 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 (1)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Balance at April 30,</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2017 Plan</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73"/>
        </w:trPr>
        <w:tc>
          <w:tcPr>
            <w:tcW w:w="366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Non-current portion (2)</w:t>
            </w:r>
          </w:p>
        </w:tc>
        <w:tc>
          <w:tcPr>
            <w:tcW w:w="36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Adjustments include the impact of computer equipment, software, furniture, and leasehold improvement write-offs, and foreign currency translation.</w:t>
      </w:r>
    </w:p>
    <w:p>
      <w:pPr>
        <w:spacing w:after="0" w:line="9"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current and non-current portions of the reserve are recorded in the Condensed Consolidated Balance Sheets under “Other accrued liabilities” and “Other liabilities,”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40"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Common Stock Repurchase Program</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Stock repurchases have the effect of returning excess cash generated from the Company’s business to stockholders. During the three months ended April 30, 2016, Autodesk repurchased and retired 1.8 million shares at an average repurchase price of $56.75 per share. Common stock and additional paid-in capital and retained earnings were reduced by $45.7 million and $54.4 million, respectively, during the three months ended April 30, 2016.</w:t>
      </w:r>
    </w:p>
    <w:p>
      <w:pPr>
        <w:spacing w:after="0" w:line="18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At April 30, 2016, 4.5 million shares remained available for repurchase under the repurchase program approved by the Board of Directors. During the three months ended April 30, 2016, Autodesk repurchased its common stock through open market purchases. The number of shares acquired and the timing of the purchases are based on several factors, including general market and economic conditions, the number of employee stock option exercises and stock issuances, the trading price of Autodesk common stock, cash on hand and available in the United States, cash requirements for acquisitions, and Company defined trading windows.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April 30,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securities are included in "Interest and other (expense) income, net." Refer to "Note 4: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Income Per Share</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net (loss) income per share is computed using the weighted average number of shares of common stock outstanding for the period, excluding stock options and restricted stock units. Diluted net (loss)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income per share amounts:</w:t>
      </w:r>
    </w:p>
    <w:p>
      <w:pPr>
        <w:spacing w:after="0" w:line="308" w:lineRule="exact"/>
        <w:rPr>
          <w:sz w:val="20"/>
          <w:szCs w:val="20"/>
          <w:color w:val="auto"/>
        </w:rPr>
      </w:pPr>
    </w:p>
    <w:p>
      <w:pPr>
        <w:jc w:val="center"/>
        <w:ind w:left="9740"/>
        <w:spacing w:after="0"/>
        <w:rPr>
          <w:sz w:val="20"/>
          <w:szCs w:val="20"/>
          <w:color w:val="auto"/>
        </w:rPr>
      </w:pPr>
      <w:r>
        <w:rPr>
          <w:rFonts w:ascii="Arial" w:cs="Arial" w:eastAsia="Arial" w:hAnsi="Arial"/>
          <w:sz w:val="13"/>
          <w:szCs w:val="13"/>
          <w:b w:val="1"/>
          <w:bCs w:val="1"/>
          <w:color w:val="auto"/>
        </w:rPr>
        <w:t>Three Months Ended April</w:t>
      </w:r>
    </w:p>
    <w:p>
      <w:pPr>
        <w:spacing w:after="0" w:line="15"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9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Net (loss)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73"/>
        </w:trPr>
        <w:tc>
          <w:tcPr>
            <w:tcW w:w="97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97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97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380"/>
              <w:spacing w:after="0"/>
              <w:rPr>
                <w:sz w:val="20"/>
                <w:szCs w:val="20"/>
                <w:color w:val="auto"/>
              </w:rPr>
            </w:pPr>
            <w:r>
              <w:rPr>
                <w:rFonts w:ascii="Arial" w:cs="Arial" w:eastAsia="Arial" w:hAnsi="Arial"/>
                <w:sz w:val="16"/>
                <w:szCs w:val="16"/>
                <w:color w:val="auto"/>
              </w:rPr>
              <w:t>Denominator for basic net (loss) income per share—weighted average shares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227.2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9720" w:type="dxa"/>
            <w:vAlign w:val="bottom"/>
          </w:tcPr>
          <w:p>
            <w:pPr>
              <w:ind w:left="380"/>
              <w:spacing w:after="0"/>
              <w:rPr>
                <w:sz w:val="20"/>
                <w:szCs w:val="20"/>
                <w:color w:val="auto"/>
              </w:rPr>
            </w:pPr>
            <w:r>
              <w:rPr>
                <w:rFonts w:ascii="Arial" w:cs="Arial" w:eastAsia="Arial" w:hAnsi="Arial"/>
                <w:sz w:val="16"/>
                <w:szCs w:val="16"/>
                <w:color w:val="auto"/>
              </w:rPr>
              <w:t>Denominator for dilutive net (loss) income per share</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224.4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73"/>
        </w:trPr>
        <w:tc>
          <w:tcPr>
            <w:tcW w:w="97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97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income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7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9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7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00" w:hanging="412"/>
        <w:spacing w:after="0" w:line="263"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dilutive securities of 3.2 million shares for the three months ended April 30, 2016 have been excluded from the calculation of diluted net (loss) income per share as those shares would have been anti-dilutive due to the net (loss) incurred during those periods.</w:t>
      </w:r>
    </w:p>
    <w:p>
      <w:pPr>
        <w:spacing w:after="0" w:line="177" w:lineRule="exact"/>
        <w:rPr>
          <w:sz w:val="20"/>
          <w:szCs w:val="20"/>
          <w:color w:val="auto"/>
        </w:rPr>
      </w:pPr>
    </w:p>
    <w:p>
      <w:pPr>
        <w:jc w:val="both"/>
        <w:ind w:right="440" w:firstLine="432"/>
        <w:spacing w:after="0" w:line="312" w:lineRule="auto"/>
        <w:rPr>
          <w:sz w:val="20"/>
          <w:szCs w:val="20"/>
          <w:color w:val="auto"/>
        </w:rPr>
      </w:pPr>
      <w:r>
        <w:rPr>
          <w:rFonts w:ascii="Arial" w:cs="Arial" w:eastAsia="Arial" w:hAnsi="Arial"/>
          <w:sz w:val="16"/>
          <w:szCs w:val="16"/>
          <w:color w:val="auto"/>
        </w:rPr>
        <w:t>The computation of diluted net (loss) income per share does not include shares that are anti-dilutive under the treasury stock method because their exercise prices are higher than the average market value of Autodesk’s stock during the period. For the three months ended April 30, 2016 and 2015, 0.9 million and 0.3 million potentially anti-dilutive shares were excluded from the computation of diluted net (loss) income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AEC, Manufacturing ("MFG"), Platform Solutions and Emerging Business ("PSEB"), and Media and Entertainment ("M&amp;E"). Autodesk has no material inter-segment revenue.</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AEC, MFG, and PSEB segments derive revenue from the sale of licenses for software products and services to customers who design, build, manage or own building, manufacturing and infrastructure projects. Autodesk's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coordinated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Building Design Suites, Autodesk Infrastructure Design Suites, AutoCAD Civil 3D, AutoCAD Map 3D, and AutoCAD Architecture.</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Product Design Suites, Autodesk Delcam products, AutoCAD Mechanical, and Autodesk Moldflow products.</w:t>
      </w:r>
    </w:p>
    <w:p>
      <w:pPr>
        <w:spacing w:after="0" w:line="188"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20"/>
        <w:spacing w:after="0" w:line="277" w:lineRule="auto"/>
        <w:rPr>
          <w:sz w:val="20"/>
          <w:szCs w:val="20"/>
          <w:color w:val="auto"/>
        </w:rPr>
      </w:pPr>
      <w:r>
        <w:rPr>
          <w:rFonts w:ascii="Arial" w:cs="Arial" w:eastAsia="Arial" w:hAnsi="Arial"/>
          <w:sz w:val="17"/>
          <w:szCs w:val="17"/>
          <w:color w:val="auto"/>
        </w:rPr>
        <w:t>serve. Autodesk’s AutoCAD product also provides a platform for Autodesk’s developer partners to build custom solutions for a range of diverse design-oriented markets. PSEB's revenue primarily includes revenue from sales of AutoCAD and AutoCAD LT, the AutoCAD Design Suite and many other design products, including consumer design products, as well as from sales of licenses of other Autodesk's design products.</w:t>
      </w:r>
    </w:p>
    <w:p>
      <w:pPr>
        <w:spacing w:after="0" w:line="17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M&amp;E provides content creators in film, television, commercials, video games, design visualization and VR the tools needed to connect artists together so they can create the world’s most engaging visual content. M&amp;E products run on the desktop, on mobile devices, and in the cloud and cover a broad range of capabilities including conceptualization, modeling, animation, visual effects, collaboration, authoring, and rendering. Key products include Maya and 3ds Max, which are used extensively for 3D modeling and animation in the world’s most famous movies, TV shows, and video games; Flame, for visual effects, finishing and color grading in commercials, film &amp; television; MotionBuilder, for 3D character animation software in virtual production; Stingray, a real-time 3D game engine for creating video games, interactive &amp; immersive experiences; Shotgun, a cloud platform for enabling collaboration and production management; Sketchbook &amp; Graphic for concept design and illustration; and Arnold rendering software that offers advanced, efficient, high-quality rendering capabilities that are scalable to the cloud.</w:t>
      </w:r>
    </w:p>
    <w:p>
      <w:pPr>
        <w:spacing w:after="0" w:line="192"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“Business and Summary of Significant Accounting Policies” of Autodesk's Annual Report on Form 10-K for the fiscal year ended January 31, 2016. Autodesk evaluates each segment’s performance on the basis of gross profit. Autodesk currently does not separately accumulate and report asset information by segment, except for goodwill, which is disclosed in Note 9, “Goodwill.”</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84" w:right="279" w:bottom="1440" w:gutter="0" w:footer="0" w:header="0"/>
        </w:sectPr>
      </w:pPr>
    </w:p>
    <w:bookmarkStart w:id="22" w:name="page23"/>
    <w:bookmarkEnd w:id="22"/>
    <w:p>
      <w:pPr>
        <w:ind w:left="420"/>
        <w:spacing w:after="0"/>
        <w:rPr>
          <w:sz w:val="20"/>
          <w:szCs w:val="20"/>
          <w:color w:val="auto"/>
        </w:rPr>
      </w:pPr>
      <w:r>
        <w:rPr>
          <w:rFonts w:ascii="Arial" w:cs="Arial" w:eastAsia="Arial" w:hAnsi="Arial"/>
          <w:sz w:val="16"/>
          <w:szCs w:val="16"/>
          <w:color w:val="auto"/>
        </w:rPr>
        <w:t>Information concerning the operations of Autodesk’s reportable segments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Architecture, Engineering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Platform Solutions and Emerging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Unallocated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Three Months Ended April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1080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352"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218.9   $   236.7</w:t>
      </w:r>
    </w:p>
    <w:p>
      <w:pPr>
        <w:spacing w:after="0" w:line="8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158.0</w:t>
      </w:r>
      <w:r>
        <w:rPr>
          <w:rFonts w:ascii="Arial" w:cs="Arial" w:eastAsia="Arial" w:hAnsi="Arial"/>
          <w:sz w:val="15"/>
          <w:szCs w:val="15"/>
          <w:color w:val="auto"/>
        </w:rPr>
        <w:t>184.6</w:t>
      </w:r>
    </w:p>
    <w:p>
      <w:pPr>
        <w:spacing w:after="0" w:line="86"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16"/>
          <w:szCs w:val="16"/>
          <w:color w:val="auto"/>
        </w:rPr>
        <w:t>100.0</w:t>
      </w:r>
      <w:r>
        <w:rPr>
          <w:sz w:val="20"/>
          <w:szCs w:val="20"/>
          <w:color w:val="auto"/>
        </w:rPr>
        <w:tab/>
      </w:r>
      <w:r>
        <w:rPr>
          <w:rFonts w:ascii="Arial" w:cs="Arial" w:eastAsia="Arial" w:hAnsi="Arial"/>
          <w:sz w:val="15"/>
          <w:szCs w:val="15"/>
          <w:color w:val="auto"/>
        </w:rPr>
        <w:t>185.3</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35.0</w:t>
      </w:r>
      <w:r>
        <w:rPr>
          <w:sz w:val="20"/>
          <w:szCs w:val="20"/>
          <w:color w:val="auto"/>
        </w:rPr>
        <w:tab/>
      </w:r>
      <w:r>
        <w:rPr>
          <w:rFonts w:ascii="Arial" w:cs="Arial" w:eastAsia="Arial" w:hAnsi="Arial"/>
          <w:sz w:val="15"/>
          <w:szCs w:val="15"/>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66" w:lineRule="exact"/>
        <w:rPr>
          <w:sz w:val="20"/>
          <w:szCs w:val="20"/>
          <w:color w:val="auto"/>
        </w:rPr>
      </w:pPr>
    </w:p>
    <w:p>
      <w:pPr>
        <w:spacing w:after="0"/>
        <w:tabs>
          <w:tab w:leader="none" w:pos="300" w:val="left"/>
          <w:tab w:leader="none" w:pos="900" w:val="left"/>
          <w:tab w:leader="none" w:pos="1180" w:val="left"/>
        </w:tabs>
        <w:rPr>
          <w:sz w:val="20"/>
          <w:szCs w:val="20"/>
          <w:color w:val="auto"/>
        </w:rPr>
      </w:pPr>
      <w:r>
        <w:rPr>
          <w:rFonts w:ascii="Arial" w:cs="Arial" w:eastAsia="Arial" w:hAnsi="Arial"/>
          <w:sz w:val="16"/>
          <w:szCs w:val="16"/>
          <w:color w:val="auto"/>
        </w:rPr>
        <w:t>$</w:t>
        <w:tab/>
        <w:t>511.9</w:t>
        <w:tab/>
        <w:t>$</w:t>
      </w:r>
      <w:r>
        <w:rPr>
          <w:sz w:val="20"/>
          <w:szCs w:val="20"/>
          <w:color w:val="auto"/>
        </w:rPr>
        <w:tab/>
      </w:r>
      <w:r>
        <w:rPr>
          <w:rFonts w:ascii="Arial" w:cs="Arial" w:eastAsia="Arial" w:hAnsi="Arial"/>
          <w:sz w:val="15"/>
          <w:szCs w:val="15"/>
          <w:color w:val="auto"/>
        </w:rPr>
        <w:t>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080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77"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193.6   $   217.0</w:t>
      </w:r>
    </w:p>
    <w:p>
      <w:pPr>
        <w:spacing w:after="0" w:line="8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6"/>
          <w:szCs w:val="16"/>
          <w:color w:val="auto"/>
        </w:rPr>
        <w:t>136.1</w:t>
      </w:r>
      <w:r>
        <w:rPr>
          <w:rFonts w:ascii="Arial" w:cs="Arial" w:eastAsia="Arial" w:hAnsi="Arial"/>
          <w:sz w:val="15"/>
          <w:szCs w:val="15"/>
          <w:color w:val="auto"/>
        </w:rPr>
        <w:t>158.1</w:t>
      </w:r>
    </w:p>
    <w:p>
      <w:pPr>
        <w:spacing w:after="0" w:line="86" w:lineRule="exact"/>
        <w:rPr>
          <w:sz w:val="20"/>
          <w:szCs w:val="20"/>
          <w:color w:val="auto"/>
        </w:rPr>
      </w:pPr>
    </w:p>
    <w:p>
      <w:pPr>
        <w:ind w:left="400"/>
        <w:spacing w:after="0"/>
        <w:tabs>
          <w:tab w:leader="none" w:pos="1180" w:val="left"/>
        </w:tabs>
        <w:rPr>
          <w:sz w:val="20"/>
          <w:szCs w:val="20"/>
          <w:color w:val="auto"/>
        </w:rPr>
      </w:pPr>
      <w:r>
        <w:rPr>
          <w:rFonts w:ascii="Arial" w:cs="Arial" w:eastAsia="Arial" w:hAnsi="Arial"/>
          <w:sz w:val="16"/>
          <w:szCs w:val="16"/>
          <w:color w:val="auto"/>
        </w:rPr>
        <w:t>76.1</w:t>
      </w:r>
      <w:r>
        <w:rPr>
          <w:sz w:val="20"/>
          <w:szCs w:val="20"/>
          <w:color w:val="auto"/>
        </w:rPr>
        <w:tab/>
      </w:r>
      <w:r>
        <w:rPr>
          <w:rFonts w:ascii="Arial" w:cs="Arial" w:eastAsia="Arial" w:hAnsi="Arial"/>
          <w:sz w:val="15"/>
          <w:szCs w:val="15"/>
          <w:color w:val="auto"/>
        </w:rPr>
        <w:t>163.3</w:t>
      </w:r>
    </w:p>
    <w:p>
      <w:pPr>
        <w:spacing w:after="0" w:line="86" w:lineRule="exact"/>
        <w:rPr>
          <w:sz w:val="20"/>
          <w:szCs w:val="20"/>
          <w:color w:val="auto"/>
        </w:rPr>
      </w:pPr>
    </w:p>
    <w:p>
      <w:pPr>
        <w:ind w:left="400"/>
        <w:spacing w:after="0"/>
        <w:tabs>
          <w:tab w:leader="none" w:pos="1260" w:val="left"/>
        </w:tabs>
        <w:rPr>
          <w:sz w:val="20"/>
          <w:szCs w:val="20"/>
          <w:color w:val="auto"/>
        </w:rPr>
      </w:pPr>
      <w:r>
        <w:rPr>
          <w:rFonts w:ascii="Arial" w:cs="Arial" w:eastAsia="Arial" w:hAnsi="Arial"/>
          <w:sz w:val="16"/>
          <w:szCs w:val="16"/>
          <w:color w:val="auto"/>
        </w:rPr>
        <w:t>28.0</w:t>
      </w:r>
      <w:r>
        <w:rPr>
          <w:sz w:val="20"/>
          <w:szCs w:val="20"/>
          <w:color w:val="auto"/>
        </w:rPr>
        <w:tab/>
      </w:r>
      <w:r>
        <w:rPr>
          <w:rFonts w:ascii="Arial" w:cs="Arial" w:eastAsia="Arial" w:hAnsi="Arial"/>
          <w:sz w:val="15"/>
          <w:szCs w:val="15"/>
          <w:color w:val="auto"/>
        </w:rPr>
        <w:t>32.7</w:t>
      </w:r>
    </w:p>
    <w:p>
      <w:pPr>
        <w:spacing w:after="0" w:line="86" w:lineRule="exact"/>
        <w:rPr>
          <w:sz w:val="20"/>
          <w:szCs w:val="20"/>
          <w:color w:val="auto"/>
        </w:rPr>
      </w:pPr>
    </w:p>
    <w:p>
      <w:pPr>
        <w:ind w:left="340"/>
        <w:spacing w:after="0"/>
        <w:tabs>
          <w:tab w:leader="none" w:pos="122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4"/>
          <w:szCs w:val="14"/>
          <w:color w:val="auto"/>
        </w:rPr>
        <w:t>(16.4)</w:t>
      </w:r>
    </w:p>
    <w:p>
      <w:pPr>
        <w:spacing w:after="0" w:line="86" w:lineRule="exact"/>
        <w:rPr>
          <w:sz w:val="20"/>
          <w:szCs w:val="20"/>
          <w:color w:val="auto"/>
        </w:rPr>
      </w:pPr>
    </w:p>
    <w:p>
      <w:pPr>
        <w:spacing w:after="0"/>
        <w:tabs>
          <w:tab w:leader="none" w:pos="300" w:val="left"/>
          <w:tab w:leader="none" w:pos="900" w:val="left"/>
          <w:tab w:leader="none" w:pos="1180" w:val="left"/>
        </w:tabs>
        <w:rPr>
          <w:sz w:val="20"/>
          <w:szCs w:val="20"/>
          <w:color w:val="auto"/>
        </w:rPr>
      </w:pPr>
      <w:r>
        <w:rPr>
          <w:rFonts w:ascii="Arial" w:cs="Arial" w:eastAsia="Arial" w:hAnsi="Arial"/>
          <w:sz w:val="16"/>
          <w:szCs w:val="16"/>
          <w:color w:val="auto"/>
        </w:rPr>
        <w:t>$</w:t>
        <w:tab/>
        <w:t>419.4</w:t>
        <w:tab/>
        <w:t>$</w:t>
      </w:r>
      <w:r>
        <w:rPr>
          <w:sz w:val="20"/>
          <w:szCs w:val="20"/>
          <w:color w:val="auto"/>
        </w:rPr>
        <w:tab/>
      </w:r>
      <w:r>
        <w:rPr>
          <w:rFonts w:ascii="Arial" w:cs="Arial" w:eastAsia="Arial" w:hAnsi="Arial"/>
          <w:sz w:val="15"/>
          <w:szCs w:val="15"/>
          <w:color w:val="auto"/>
        </w:rPr>
        <w:t>554.7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1080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9020" w:space="720"/>
            <w:col w:w="1680"/>
          </w:cols>
          <w:pgMar w:left="240" w:top="584" w:right="239" w:bottom="1440" w:gutter="0" w:footer="0" w:header="0"/>
        </w:sectPr>
      </w:pPr>
    </w:p>
    <w:p>
      <w:pPr>
        <w:ind w:left="420" w:right="500" w:hanging="412"/>
        <w:spacing w:after="0" w:line="263"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52" w:lineRule="exact"/>
        <w:rPr>
          <w:sz w:val="20"/>
          <w:szCs w:val="20"/>
          <w:color w:val="auto"/>
        </w:rPr>
      </w:pPr>
    </w:p>
    <w:p>
      <w:pPr>
        <w:jc w:val="center"/>
        <w:ind w:left="9740"/>
        <w:spacing w:after="0"/>
        <w:rPr>
          <w:sz w:val="20"/>
          <w:szCs w:val="20"/>
          <w:color w:val="auto"/>
        </w:rPr>
      </w:pPr>
      <w:r>
        <w:rPr>
          <w:rFonts w:ascii="Arial" w:cs="Arial" w:eastAsia="Arial" w:hAnsi="Arial"/>
          <w:sz w:val="13"/>
          <w:szCs w:val="13"/>
          <w:b w:val="1"/>
          <w:bCs w:val="1"/>
          <w:color w:val="auto"/>
        </w:rPr>
        <w:t>Three Months Ended April</w:t>
      </w:r>
    </w:p>
    <w:p>
      <w:pPr>
        <w:spacing w:after="0" w:line="15"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2015</w:t>
            </w:r>
          </w:p>
        </w:tc>
      </w:tr>
      <w:tr>
        <w:trPr>
          <w:trHeight w:val="210"/>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60"/>
        </w:trPr>
        <w:tc>
          <w:tcPr>
            <w:tcW w:w="9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7"/>
        </w:trPr>
        <w:tc>
          <w:tcPr>
            <w:tcW w:w="9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9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199.6</w:t>
            </w:r>
          </w:p>
        </w:tc>
      </w:tr>
      <w:tr>
        <w:trPr>
          <w:trHeight w:val="237"/>
        </w:trPr>
        <w:tc>
          <w:tcPr>
            <w:tcW w:w="97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44.4</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244.0</w:t>
            </w:r>
          </w:p>
        </w:tc>
      </w:tr>
      <w:tr>
        <w:trPr>
          <w:trHeight w:val="217"/>
        </w:trPr>
        <w:tc>
          <w:tcPr>
            <w:tcW w:w="97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245.4</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4"/>
        </w:trPr>
        <w:tc>
          <w:tcPr>
            <w:tcW w:w="9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60"/>
        </w:trPr>
        <w:tc>
          <w:tcPr>
            <w:tcW w:w="97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r>
      <w:tr>
        <w:trPr>
          <w:trHeight w:val="237"/>
        </w:trPr>
        <w:tc>
          <w:tcPr>
            <w:tcW w:w="9720" w:type="dxa"/>
            <w:vAlign w:val="bottom"/>
          </w:tcPr>
          <w:p>
            <w:pPr>
              <w:ind w:left="720"/>
              <w:spacing w:after="0"/>
              <w:rPr>
                <w:sz w:val="20"/>
                <w:szCs w:val="20"/>
                <w:color w:val="auto"/>
              </w:rPr>
            </w:pPr>
            <w:r>
              <w:rPr>
                <w:rFonts w:ascii="Arial" w:cs="Arial" w:eastAsia="Arial" w:hAnsi="Arial"/>
                <w:sz w:val="16"/>
                <w:szCs w:val="16"/>
                <w:color w:val="auto"/>
              </w:rPr>
              <w:t>Japan</w:t>
            </w:r>
          </w:p>
        </w:tc>
        <w:tc>
          <w:tcPr>
            <w:tcW w:w="18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65.1</w:t>
            </w: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92.0</w:t>
            </w:r>
          </w:p>
        </w:tc>
      </w:tr>
      <w:tr>
        <w:trPr>
          <w:trHeight w:val="217"/>
        </w:trPr>
        <w:tc>
          <w:tcPr>
            <w:tcW w:w="972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157.1</w:t>
            </w: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646.5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type w:val="continuous"/>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Months Ended April 30, 2016” and “Business Outlook” below, anticipated future net revenue, future GAAP and non-GAAP net (loss) income per share, operating margin, operating expenses, billings,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our ability to increase our subscription base, expected market trends, including the growth of cloud and mobile computing, the effect of unemployment, the availability of credit, our expectations for our restructuring, the effects of mixed global economic conditions, the effects of revenue recognition, our backlog, expected trends in certain financial metrics, including expenses, the impact of acquisitions and investment activities, expectations regarding our cash needs, the effects of fluctuations in exchange rates and our hedging activities on our financial results, our ability to successfully expand adoption of our products, our ability to gain market acceptance of new businesses and sales initiatives, our ability to successfully increase sales of product suites as part of our overall sales strategy, the impact of economic volatility and geopolitical activities in certain countries, particularly emerging economy countries, and the effects of potential non-cash charges on our financial results and the resulting effect on our financial results. In addition, forward-looking statements also consist of statements involving expectations regarding product capability and acceptance, continuation of our stock repurchase program, remediations to our controls environment,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Autodesk’s vision is to help people imagine, design, and create a better world. We do this by developing software and services for the world’s designers, architects, engineers, digital artists, professionals, and non-professionals alike— who design and make the world's places (architecture, engineering, and construction), things (manufacturing), and media (games and digital entertainment).</w:t>
      </w:r>
    </w:p>
    <w:p>
      <w:pPr>
        <w:spacing w:after="0" w:line="1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we have accelerated our move to the cloud and mobile devices and are offering more flexible licensing. For example, Autodesk BIM 360, PLM 360, Fusion 360, and AutoCAD 360 Pro, some of our cloud service offerings, provide tools, including mobile and social capabilities, to help streamline design, collaboration,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92"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Our strategy is to lead the industries we serve to cloud-based technologies and business models. This entails both a technological shift and a business model shift. We now offer term-based product subscriptions for individual products and suites offerings, cloud service offerings, and flexible enterprise business agreements ("new model subscription offerings"). These offerings are designed to give our customers more flexibility with how they use our products and service offerings and to address new types of customers such as project-based users and small businesses. As part of this transition, we discontinued selling new perpetual licenses of most individual software products effective February 1, 2016, and plan to discontinue selling new perpetual licenses of suites effective August 1, 2016.</w:t>
      </w:r>
    </w:p>
    <w:p>
      <w:pPr>
        <w:spacing w:after="0" w:line="19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With the discontinuation of the sale of most perpetual licenses, we are accelerating our transition away from selling a hybrid of perpetual licenses and term-based product subscriptions toward a single subscription model. During the transition,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0" w:right="259" w:bottom="1440" w:gutter="0" w:footer="0" w:header="0"/>
        </w:sectPr>
      </w:pPr>
    </w:p>
    <w:bookmarkStart w:id="24" w:name="page25"/>
    <w:bookmarkEnd w:id="24"/>
    <w:p>
      <w:pPr>
        <w:ind w:right="560"/>
        <w:spacing w:after="0" w:line="277" w:lineRule="auto"/>
        <w:rPr>
          <w:sz w:val="20"/>
          <w:szCs w:val="20"/>
          <w:color w:val="auto"/>
        </w:rPr>
      </w:pPr>
      <w:r>
        <w:rPr>
          <w:rFonts w:ascii="Arial" w:cs="Arial" w:eastAsia="Arial" w:hAnsi="Arial"/>
          <w:sz w:val="18"/>
          <w:szCs w:val="18"/>
          <w:color w:val="auto"/>
        </w:rPr>
        <w:t>revenue, gross margin, operating margin, earnings (loss) per share, deferred revenue, billings, and cash flow from operations will be impacted as more revenue is recognized ratably rather than up front and as new offerings bring a wider variety of price points.</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As we progress through the business model transition, billings and reported revenue are less relevant to measure the success of the business as perpetual license sales are discontinued in favor of subscription offerings, which have considerably lower up-front prices. Annualized recurring revenue ("ARR") and subscription additions will better reflect business momentum and provide additional transparency into the transition. To further analyze progress, we will also disaggregate our growth in these metrics between the original maintenance plan model ("maintenance") and the new model subscription offerings. We expect maintenance subscriptions to peak as perpetual license sales end this year, and we expect them to decline slowly over time.</w:t>
      </w:r>
    </w:p>
    <w:p>
      <w:pPr>
        <w:spacing w:after="0" w:line="15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Autodesk sells our products and services globally, through a combination of indirect and direct channels. During the three months ended April 30, 2016 and 2015, our indirect channels, which include value added resellers, direct market resellers, distributors, computer manufacturers, and other software developers, were responsible for 75% and 81% of our overall revenue, respectively. During the same periods, our direct channels, which include sales resources dedicated to selling in our largest accounts, our highly specialized products, and business transacted through our company estore, were responsible for 25% and 19% of our overall revenue, respectively. We anticipate that our channel mix will continue to change, particularly as we scale our digitally transacted e-store business and our largest accounts shift towards direct-only business models. Importantly, our indirect channel will continue to transact and support the majority of our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Spark program to support ideas that push the boundaries of 3D printing and nurture the companies that will advance innovations within 3D printing hardware and software. We have also created the Autodesk Forge program to support innovators that build solutions to facilitate the development of a single connected ecosystem for the future of how things are designed, made, and used.</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educators, and students is a key competitive advantage.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is committed to helping fuel a lifelong passion for design in students of all ages. We offer free educational licenses of Autodesk</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software worldwide to students, educators, and educational institutions.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In fiscal 2016, we also made Autodesk Design Academy curricula available on iTunes U. Our intention is to make Autodesk software ubiquitous and the design software of choice for those poised to become the next generation of professional users.</w:t>
      </w:r>
    </w:p>
    <w:p>
      <w:pPr>
        <w:spacing w:after="0" w:line="191"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ind w:right="300"/>
        <w:spacing w:after="0" w:line="308" w:lineRule="auto"/>
        <w:rPr>
          <w:sz w:val="20"/>
          <w:szCs w:val="20"/>
          <w:color w:val="auto"/>
        </w:rPr>
      </w:pPr>
      <w:r>
        <w:rPr>
          <w:rFonts w:ascii="Arial" w:cs="Arial" w:eastAsia="Arial" w:hAnsi="Arial"/>
          <w:sz w:val="17"/>
          <w:szCs w:val="17"/>
          <w:color w:val="auto"/>
        </w:rPr>
        <w:t>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2016. In addition, we highlighted those policies that involve a higher degree of judgment and complexity with further discussion in Item 7, “Management’s Discussion and Analysis of Financial Condition and Results of Operations” in our Form 10-K. We believe these policies are the most critical to aid in fully understanding and evaluating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2016 and 2015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10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340" w:type="dxa"/>
            <w:vAlign w:val="bottom"/>
          </w:tcPr>
          <w:p>
            <w:pPr>
              <w:jc w:val="center"/>
              <w:ind w:left="36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2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760" w:type="dxa"/>
            <w:vAlign w:val="bottom"/>
          </w:tcPr>
          <w:p>
            <w:pPr>
              <w:jc w:val="right"/>
              <w:ind w:right="388"/>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April 30, 2016</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April 30, 2015</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Revenue</w:t>
            </w:r>
          </w:p>
        </w:tc>
      </w:tr>
      <w:tr>
        <w:trPr>
          <w:trHeight w:val="23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511.9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646.5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91.8</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419.4</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554.7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574.4</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8"/>
              </w:rPr>
              <w:t>112 %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533.2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17"/>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We are undergoing a business model transition in which we will discontinue selling new perpetual licenses in favor of new model subscriptions. During the transition, revenue, gross margin, operating margin, earnings (loss) per share, deferred revenue, billings, and cash flow from operations will be impacted as more revenue is recognized ratably rather than up front and as new offerings bring a wider variety of price points.</w:t>
      </w:r>
    </w:p>
    <w:p>
      <w:pPr>
        <w:spacing w:after="0" w:line="166"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During the three months ended April 30, 2016, as compared to the same period in the prior fiscal year, net revenue and gross profit decreased 21% and 24%, respectively, while operating expenses increased 8%. The drivers of these results are discussed below under the heading “Results of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Net revenue decreased during the three months ended April 30, 2016, as compared to the same period in the prior fiscal year, primarily due to a 43% decrease in License and other revenue, partially offset by a 2% increase in subscription revenue. The 43% decrease in License and other revenue was primarily a result of the discontinuation of the sale of most individual perpetual products as of February 1, 2016. The 2% increase in subscription revenue was primarily driven by a 34% increase in revenue from our new model subscription offerings, partially offset by a 1% decrease in maintenance revenue.</w:t>
      </w:r>
    </w:p>
    <w:p>
      <w:pPr>
        <w:spacing w:after="0" w:line="154"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29% of Autodesk’s total net revenue for the three months ended April 30, 2016, as compared to 26% for the three months ended April 30, 2015. Our customers through Tech Data are the resellers and end users who purchase our software licenses and services. Should any of the agreements between Tech Data and us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i w:val="1"/>
          <w:iCs w:val="1"/>
          <w:color w:val="auto"/>
        </w:rPr>
        <w:t>Operating Margin Analysis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Income from operations decreased to a $155.0 million loss from operations in the three months ended April 30, 2016 due to a $134.6 million or 21% decrease in net revenue, a $0.7 million or 1% increase in cost of revenue, and a $41.2 million or 8% increase in our operating expenses as compared to the same period in the prior fiscal year. Our operating margin decreased to (30)% for the three months ended April 30, 2016 from 3% for the three months ended April 30, 2015.</w:t>
      </w:r>
    </w:p>
    <w:p>
      <w:pPr>
        <w:spacing w:after="0" w:line="18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increase in operating expenses was primarily driven by restructuring charges and other facility exit costs during the three months ended April 30, 2016. The decrease in operating margin was primarily driven by a decrease in revenue and an increase in operating expenses during the three months ended April 30, 2016, as noted above.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Further discussion regarding the cost of goods sold and operating expense activities are discussed below under the heading “Results of Operations.”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Model Transition Metrics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order to help better understand our financial performance during and after the transition, we have introduced several new metrics including recurring revenue, total subscriptions, ARR, and annualized revenue per subscription ("ARPS"). ARR and ARPS are performance metrics and should be viewed independently of revenue and deferred revenue as ARR and ARPS are not intended to be combined with those items. Please refer to the Glossary of Terms for further discussion regarding the new metric terminology.</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Recurring revenue represents the revenue for the period from our traditional maintenance plans and revenue from our new model subscription offerings, including portions of revenue allocated to license &amp; other revenue for those offerings. It excludes subscription revenue related to education offerings, consumer product offerings, select Creative Finishing product offerings, Autodesk Buzzsaw, Autodesk Constructware, and third party products. Recurring revenue acquired with the acquisition of a business is captured and may cause variability in the comparison of this calculation.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for the three months ended April 30, 2016 and April 30,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22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compared to</w:t>
            </w:r>
          </w:p>
        </w:tc>
        <w:tc>
          <w:tcPr>
            <w:tcW w:w="120" w:type="dxa"/>
            <w:vAlign w:val="bottom"/>
          </w:tcPr>
          <w:p>
            <w:pPr>
              <w:spacing w:after="0"/>
              <w:rPr>
                <w:sz w:val="14"/>
                <w:szCs w:val="14"/>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w w:val="95"/>
              </w:rPr>
              <w:t>Three Months</w:t>
            </w:r>
          </w:p>
        </w:tc>
      </w:tr>
      <w:tr>
        <w:trPr>
          <w:trHeight w:val="192"/>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r>
      <w:tr>
        <w:trPr>
          <w:trHeight w:val="264"/>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April 30, 2016</w:t>
            </w:r>
          </w:p>
        </w:tc>
        <w:tc>
          <w:tcPr>
            <w:tcW w:w="220" w:type="dxa"/>
            <w:vAlign w:val="bottom"/>
          </w:tcPr>
          <w:p>
            <w:pPr>
              <w:spacing w:after="0"/>
              <w:rPr>
                <w:sz w:val="22"/>
                <w:szCs w:val="22"/>
                <w:color w:val="auto"/>
              </w:rPr>
            </w:pPr>
          </w:p>
        </w:tc>
        <w:tc>
          <w:tcPr>
            <w:tcW w:w="680" w:type="dxa"/>
            <w:vAlign w:val="bottom"/>
          </w:tcPr>
          <w:p>
            <w:pPr>
              <w:jc w:val="right"/>
              <w:ind w:right="343"/>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8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w w:val="97"/>
              </w:rPr>
              <w:t>April 30, 2015</w:t>
            </w:r>
          </w:p>
        </w:tc>
      </w:tr>
      <w:tr>
        <w:trPr>
          <w:trHeight w:val="177"/>
        </w:trPr>
        <w:tc>
          <w:tcPr>
            <w:tcW w:w="20" w:type="dxa"/>
            <w:vAlign w:val="bottom"/>
          </w:tcPr>
          <w:p>
            <w:pPr>
              <w:spacing w:after="0"/>
              <w:rPr>
                <w:sz w:val="15"/>
                <w:szCs w:val="15"/>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Subscription revenue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6.2</w:t>
            </w:r>
          </w:p>
        </w:tc>
        <w:tc>
          <w:tcPr>
            <w:tcW w:w="10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319.8</w:t>
            </w:r>
          </w:p>
        </w:tc>
      </w:tr>
      <w:tr>
        <w:trPr>
          <w:trHeight w:val="33"/>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License and other revenue from new model subscription offerings (1)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18.8</w:t>
            </w:r>
          </w:p>
        </w:tc>
      </w:tr>
      <w:tr>
        <w:trPr>
          <w:trHeight w:val="237"/>
        </w:trPr>
        <w:tc>
          <w:tcPr>
            <w:tcW w:w="20" w:type="dxa"/>
            <w:vAlign w:val="bottom"/>
          </w:tcPr>
          <w:p>
            <w:pPr>
              <w:spacing w:after="0"/>
              <w:rPr>
                <w:sz w:val="20"/>
                <w:szCs w:val="20"/>
                <w:color w:val="auto"/>
              </w:rPr>
            </w:pPr>
          </w:p>
        </w:tc>
        <w:tc>
          <w:tcPr>
            <w:tcW w:w="7060" w:type="dxa"/>
            <w:vAlign w:val="bottom"/>
          </w:tcPr>
          <w:p>
            <w:pPr>
              <w:ind w:left="20"/>
              <w:spacing w:after="0"/>
              <w:rPr>
                <w:sz w:val="20"/>
                <w:szCs w:val="20"/>
                <w:color w:val="auto"/>
              </w:rPr>
            </w:pPr>
            <w:r>
              <w:rPr>
                <w:rFonts w:ascii="Arial" w:cs="Arial" w:eastAsia="Arial" w:hAnsi="Arial"/>
                <w:sz w:val="16"/>
                <w:szCs w:val="16"/>
                <w:color w:val="auto"/>
              </w:rPr>
              <w:t>Less: other adjustments (2)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33"/>
        </w:trPr>
        <w:tc>
          <w:tcPr>
            <w:tcW w:w="20" w:type="dxa"/>
            <w:vAlign w:val="bottom"/>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recurring revenue (3)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358.9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330.2</w:t>
            </w:r>
          </w:p>
        </w:tc>
      </w:tr>
      <w:tr>
        <w:trPr>
          <w:trHeight w:val="22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portion of revenue for new model subscription offerings allocated to license &amp; other revenue within our Condensed Consolidated Statements of Operations.</w:t>
      </w:r>
    </w:p>
    <w:p>
      <w:pPr>
        <w:spacing w:after="0" w:line="28" w:lineRule="exact"/>
        <w:rPr>
          <w:rFonts w:ascii="Arial" w:cs="Arial" w:eastAsia="Arial" w:hAnsi="Arial"/>
          <w:sz w:val="14"/>
          <w:szCs w:val="14"/>
          <w:color w:val="auto"/>
        </w:rPr>
      </w:pPr>
    </w:p>
    <w:p>
      <w:pPr>
        <w:ind w:left="420" w:right="80" w:hanging="412"/>
        <w:spacing w:after="0" w:line="246"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adjustments include subscription revenue related to education offerings, select Creative Finishing product offerings, Autodesk Buzzsaw, Autodesk Constructware, and third party products which are excluded from recurring revenue.</w:t>
      </w: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recurring revenue as presented may not recalculate on an annualized basis to total ARR in the next table due to rounding.</w:t>
      </w:r>
    </w:p>
    <w:p>
      <w:pPr>
        <w:spacing w:after="0" w:line="202"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During the three months ended April 30, 2016 and 2015, recurring revenue was 70% and 51% of total net revenue,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color w:val="auto"/>
        </w:rPr>
        <w:t>The following table outlines our total subscriptions, ARR and ARPS metrics as of April 30, 2016 and January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ind w:left="380"/>
              <w:spacing w:after="0"/>
              <w:rPr>
                <w:sz w:val="20"/>
                <w:szCs w:val="20"/>
                <w:color w:val="auto"/>
              </w:rPr>
            </w:pPr>
            <w:r>
              <w:rPr>
                <w:rFonts w:ascii="Arial" w:cs="Arial" w:eastAsia="Arial" w:hAnsi="Arial"/>
                <w:sz w:val="14"/>
                <w:szCs w:val="14"/>
                <w:b w:val="1"/>
                <w:bCs w:val="1"/>
                <w:color w:val="auto"/>
              </w:rPr>
              <w:t>Change compared to</w:t>
            </w:r>
          </w:p>
        </w:tc>
        <w:tc>
          <w:tcPr>
            <w:tcW w:w="1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ind w:left="40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160" w:type="dxa"/>
            <w:vAlign w:val="bottom"/>
            <w:vMerge w:val="restart"/>
          </w:tcPr>
          <w:p>
            <w:pPr>
              <w:spacing w:after="0"/>
              <w:rPr>
                <w:sz w:val="4"/>
                <w:szCs w:val="4"/>
                <w:color w:val="auto"/>
              </w:rPr>
            </w:pPr>
          </w:p>
        </w:tc>
        <w:tc>
          <w:tcPr>
            <w:tcW w:w="11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Balances, April</w:t>
            </w: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65"/>
        </w:trPr>
        <w:tc>
          <w:tcPr>
            <w:tcW w:w="716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18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30, 2016</w:t>
            </w:r>
          </w:p>
        </w:tc>
        <w:tc>
          <w:tcPr>
            <w:tcW w:w="10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1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77"/>
        </w:trPr>
        <w:tc>
          <w:tcPr>
            <w:tcW w:w="7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60" w:type="dxa"/>
            <w:vAlign w:val="bottom"/>
          </w:tcPr>
          <w:p>
            <w:pPr>
              <w:ind w:left="40"/>
              <w:spacing w:after="0"/>
              <w:rPr>
                <w:sz w:val="20"/>
                <w:szCs w:val="20"/>
                <w:color w:val="auto"/>
              </w:rPr>
            </w:pPr>
            <w:r>
              <w:rPr>
                <w:rFonts w:ascii="Arial" w:cs="Arial" w:eastAsia="Arial" w:hAnsi="Arial"/>
                <w:sz w:val="16"/>
                <w:szCs w:val="16"/>
                <w:color w:val="auto"/>
              </w:rPr>
              <w:t>Maintenance plan subscriptions</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2,143.3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2,151.0</w:t>
            </w:r>
          </w:p>
        </w:tc>
      </w:tr>
      <w:tr>
        <w:trPr>
          <w:trHeight w:val="33"/>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subscriptions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139.7</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33 %</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427.2</w:t>
            </w:r>
          </w:p>
        </w:tc>
      </w:tr>
      <w:tr>
        <w:trPr>
          <w:trHeight w:val="217"/>
        </w:trPr>
        <w:tc>
          <w:tcPr>
            <w:tcW w:w="7160" w:type="dxa"/>
            <w:vAlign w:val="bottom"/>
          </w:tcPr>
          <w:p>
            <w:pPr>
              <w:ind w:left="40"/>
              <w:spacing w:after="0"/>
              <w:rPr>
                <w:sz w:val="20"/>
                <w:szCs w:val="20"/>
                <w:color w:val="auto"/>
              </w:rPr>
            </w:pPr>
            <w:r>
              <w:rPr>
                <w:rFonts w:ascii="Arial" w:cs="Arial" w:eastAsia="Arial" w:hAnsi="Arial"/>
                <w:sz w:val="16"/>
                <w:szCs w:val="16"/>
                <w:color w:val="auto"/>
              </w:rPr>
              <w:t>Total subscriptions</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2,710.2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132.0</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5 %</w:t>
            </w: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2,578.2</w:t>
            </w:r>
          </w:p>
        </w:tc>
      </w:tr>
      <w:tr>
        <w:trPr>
          <w:trHeight w:val="33"/>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24"/>
        </w:trPr>
        <w:tc>
          <w:tcPr>
            <w:tcW w:w="7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1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6"/>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1 %</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1,121.4</w:t>
            </w: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color w:val="auto"/>
              </w:rPr>
              <w:t>New model ARR</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21 %</w:t>
            </w:r>
          </w:p>
        </w:tc>
        <w:tc>
          <w:tcPr>
            <w:tcW w:w="2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255.0</w:t>
            </w:r>
          </w:p>
        </w:tc>
      </w:tr>
      <w:tr>
        <w:trPr>
          <w:trHeight w:val="33"/>
        </w:trPr>
        <w:tc>
          <w:tcPr>
            <w:tcW w:w="7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ARR</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4 %</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1,376.4</w:t>
            </w:r>
          </w:p>
        </w:tc>
      </w:tr>
      <w:tr>
        <w:trPr>
          <w:trHeight w:val="324"/>
        </w:trPr>
        <w:tc>
          <w:tcPr>
            <w:tcW w:w="7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(ARR divided by Subscriptions)</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6"/>
                <w:szCs w:val="16"/>
                <w:color w:val="auto"/>
              </w:rPr>
              <w:t>Maintenance plan ARPS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1 %</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521</w:t>
            </w:r>
          </w:p>
        </w:tc>
      </w:tr>
      <w:tr>
        <w:trPr>
          <w:trHeight w:val="33"/>
        </w:trPr>
        <w:tc>
          <w:tcPr>
            <w:tcW w:w="7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Model ARPS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r>
      <w:tr>
        <w:trPr>
          <w:trHeight w:val="217"/>
        </w:trPr>
        <w:tc>
          <w:tcPr>
            <w:tcW w:w="7160" w:type="dxa"/>
            <w:vAlign w:val="bottom"/>
          </w:tcPr>
          <w:p>
            <w:pPr>
              <w:ind w:left="40"/>
              <w:spacing w:after="0"/>
              <w:rPr>
                <w:sz w:val="20"/>
                <w:szCs w:val="20"/>
                <w:color w:val="auto"/>
              </w:rPr>
            </w:pPr>
            <w:r>
              <w:rPr>
                <w:rFonts w:ascii="Arial" w:cs="Arial" w:eastAsia="Arial" w:hAnsi="Arial"/>
                <w:sz w:val="16"/>
                <w:szCs w:val="16"/>
                <w:color w:val="auto"/>
              </w:rPr>
              <w:t>Total ARPS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534</w:t>
            </w:r>
          </w:p>
        </w:tc>
      </w:tr>
    </w:tbl>
    <w:p>
      <w:pPr>
        <w:spacing w:after="0" w:line="20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Total subscriptions increased 5% or 132,000 from the fourth quarter of fiscal 2016 to 2.71 million as of April 30, 2016. Maintenance subscriptions decreased 8,000 from the end of fiscal 2016, primarily as a result of the discontinuation of new perpetual license sales for most individual products at the end of the fourth quarter of fiscal 2016. New model subscriptions increased 33% as of April 30, 2016 as compared to the end of fiscal 2016, primarily driven by strong growth in all new model subscription types, led by product subscriptions.</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ARR increased 4% or $59.2 million from the fourth quarter of fiscal 2016 to $1,435.6 million as of April 30, 2016, primarily due to a 21% increase in new model ARR driven by growth in all new model subscription types, led by flexible enterprise business agreements.</w:t>
      </w:r>
    </w:p>
    <w:p>
      <w:pPr>
        <w:spacing w:after="0" w:line="197" w:lineRule="exact"/>
        <w:rPr>
          <w:sz w:val="20"/>
          <w:szCs w:val="20"/>
          <w:color w:val="auto"/>
        </w:rPr>
      </w:pPr>
    </w:p>
    <w:p>
      <w:pPr>
        <w:jc w:val="both"/>
        <w:ind w:right="340" w:firstLine="405"/>
        <w:spacing w:after="0" w:line="264" w:lineRule="auto"/>
        <w:rPr>
          <w:sz w:val="20"/>
          <w:szCs w:val="20"/>
          <w:color w:val="auto"/>
        </w:rPr>
      </w:pPr>
      <w:r>
        <w:rPr>
          <w:rFonts w:ascii="Arial" w:cs="Arial" w:eastAsia="Arial" w:hAnsi="Arial"/>
          <w:sz w:val="18"/>
          <w:szCs w:val="18"/>
          <w:color w:val="auto"/>
        </w:rPr>
        <w:t>ARPS decreased 1% from the January 31, 2016 to $530 as of April 30, 2016. The 1% decrease in total ARPS was primarily due to a 9% decrease in new model ARPS, which decreased as a result of individual product subscriptions leading the growth in new model subscriptions, which are priced lower than our flexible enterprise business agreements.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We generate a significant amount of our revenue in the U.S., Germany, Japan, the United Kingdom, and Canada. Our revenue was negatively impacted by foreign exchange rate changes during the three months ended April 30, 2016 as compared to the same period in the prior fiscal year. Had applicable exchange rates from the three months ended April 30, 2015 been in effect during the three months ended April 30, 2016 and had we excluded foreign exchange hedge gains and losses from the three months ended April 30, 2016, net revenue would have decreased 17% on a constant currency basis during the three months ended April 30, 2016 as compared to the same period in the prior fiscal year.</w:t>
      </w:r>
    </w:p>
    <w:p>
      <w:pPr>
        <w:spacing w:after="0" w:line="173"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total spend, defined as cost of revenue plus operating expenses, during the three months ended April 30, 2016 increased 7%, on an as reported basis as compared to the same period in the prior fiscal year. Had applicable exchange rates from the three months ended April 30, 2015 been in effect during the three months ended April 30, 2016 and had we excluded foreign exchange hedge gains and losses from the three months ended April 30, 2016, total spend would have increased 8%, on a constant currency basis compared to the same period in the prior fiscal year.</w:t>
      </w:r>
    </w:p>
    <w:p>
      <w:pPr>
        <w:spacing w:after="0" w:line="171"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At April 30, 2016, we had $2.8 billion in cash and marketable securities. We completed the three months ended April 30, 2016 with lower accounts receivable and higher deferred revenue balances as compared to the fiscal year ended January 31, 2016. Our deferred revenue balance at April 30, 2016 was $1.5 billion, which will be recognized as revenue ratably over the life of the contracts. The term of our subscription contracts is typically between one and three years. Our cash flow from operations increased 90% to $164.4 million for the three months ended April 30, 2016 compared to $86.5 million for the three months ended April 30, 2015. We repurchased 1.8 million shares of our common stock for $100.1 million during the three months ended April 30, 2016. Comparatively, we repurchased 1.6 million shares of our common stock for $95.4 million during the three months ended April 30, 2015. Further discussion regarding the balance sheet and cash flow activities are discussed below under the heading “Liquidity and Capital Resources.”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Business Outlook</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Autodesk is undergoing a business model transition in which the company will discontinue selling new perpetual licenses in favor of subscriptions and flexible license arrangements. During the transition, revenue, gross margin, operating margin, EPS, deferred revenue, and cash flow from operations will be impacted as more revenue is recognized ratably rather than up front and as new offerings bring a wider variety of price points. Over time, we expect our business model transition to expand our customer base by eliminating higher up-front licensing costs and provide more flexibility in how customers gain access to and pay for our products. In the future, we expect this business model transition will increase our long-term revenue growth rate by increasing total subscriptions, ARR, and customer value over time.</w:t>
      </w:r>
    </w:p>
    <w:p>
      <w:pPr>
        <w:spacing w:after="0" w:line="19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February 2016, we commenced a restructuring plan to reduce headcount by approximately 10% and to consolidate certain facilities around the world in order to accelerate the Company’s transition to a subscription-based business model and its move to the cloud. Through the restructuring, we seek to reduce expenses, streamline the organization, and reallocate resources to align more closely with the Company’s needs going forward. See further discussion of our restructuring plan in Note 13, “Restructuring” of the Notes to Consolidated Financial Statements. As a result of these actions, we have incurred and will incur additional costs in the short term that negatively impact our net income and cash flows from operating activities and have the effect of reducing our operating margins.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Q2 FY17 Guidance Metrics</w:t>
            </w:r>
          </w:p>
        </w:tc>
        <w:tc>
          <w:tcPr>
            <w:tcW w:w="5900" w:type="dxa"/>
            <w:vAlign w:val="bottom"/>
            <w:gridSpan w:val="2"/>
          </w:tcPr>
          <w:p>
            <w:pPr>
              <w:ind w:left="3560"/>
              <w:spacing w:after="0"/>
              <w:rPr>
                <w:sz w:val="20"/>
                <w:szCs w:val="20"/>
                <w:color w:val="auto"/>
              </w:rPr>
            </w:pPr>
            <w:r>
              <w:rPr>
                <w:rFonts w:ascii="Arial" w:cs="Arial" w:eastAsia="Arial" w:hAnsi="Arial"/>
                <w:sz w:val="14"/>
                <w:szCs w:val="14"/>
                <w:b w:val="1"/>
                <w:bCs w:val="1"/>
                <w:color w:val="auto"/>
              </w:rPr>
              <w:t>Q2 FY17 (ending July 31, 2016)</w:t>
            </w: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(in millions)</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$520</w:t>
            </w:r>
          </w:p>
        </w:tc>
      </w:tr>
      <w:tr>
        <w:trPr>
          <w:trHeight w:val="224"/>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EPS GAAP</w:t>
            </w:r>
          </w:p>
        </w:tc>
        <w:tc>
          <w:tcPr>
            <w:tcW w:w="4500" w:type="dxa"/>
            <w:vAlign w:val="bottom"/>
          </w:tcPr>
          <w:p>
            <w:pPr>
              <w:jc w:val="right"/>
              <w:spacing w:after="0"/>
              <w:rPr>
                <w:sz w:val="20"/>
                <w:szCs w:val="20"/>
                <w:color w:val="auto"/>
              </w:rPr>
            </w:pPr>
            <w:r>
              <w:rPr>
                <w:rFonts w:ascii="Arial" w:cs="Arial" w:eastAsia="Arial" w:hAnsi="Arial"/>
                <w:sz w:val="16"/>
                <w:szCs w:val="16"/>
                <w:color w:val="auto"/>
              </w:rPr>
              <w:t>($0.73)</w:t>
            </w:r>
          </w:p>
        </w:tc>
        <w:tc>
          <w:tcPr>
            <w:tcW w:w="1400" w:type="dxa"/>
            <w:vAlign w:val="bottom"/>
          </w:tcPr>
          <w:p>
            <w:pPr>
              <w:spacing w:after="0"/>
              <w:rPr>
                <w:sz w:val="20"/>
                <w:szCs w:val="20"/>
                <w:color w:val="auto"/>
              </w:rPr>
            </w:pPr>
            <w:r>
              <w:rPr>
                <w:rFonts w:ascii="Arial" w:cs="Arial" w:eastAsia="Arial" w:hAnsi="Arial"/>
                <w:sz w:val="16"/>
                <w:szCs w:val="16"/>
                <w:color w:val="auto"/>
              </w:rPr>
              <w:t>- ($0.63)</w:t>
            </w:r>
          </w:p>
        </w:tc>
      </w:tr>
      <w:tr>
        <w:trPr>
          <w:trHeight w:val="33"/>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EPS non-GAAP (1)</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($0.11)</w:t>
            </w: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w:t>
            </w:r>
          </w:p>
        </w:tc>
        <w:tc>
          <w:tcPr>
            <w:tcW w:w="45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ind w:right="400" w:firstLine="8"/>
        <w:spacing w:after="0" w:line="297" w:lineRule="auto"/>
        <w:tabs>
          <w:tab w:leader="none" w:pos="2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Non-GAAP earnings per diluted share exclude $0.26 related to stock-based compensation expense, between $0.12 and $0.09 related to GAAP-only tax charges, $0.09 related to restructuring charges and other facility exit costs, and $0.08 for the amortization of acquisition related intangibles.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ind w:left="40"/>
              <w:spacing w:after="0"/>
              <w:rPr>
                <w:sz w:val="20"/>
                <w:szCs w:val="20"/>
                <w:color w:val="auto"/>
              </w:rPr>
            </w:pPr>
            <w:r>
              <w:rPr>
                <w:rFonts w:ascii="Arial" w:cs="Arial" w:eastAsia="Arial" w:hAnsi="Arial"/>
                <w:sz w:val="14"/>
                <w:szCs w:val="14"/>
                <w:b w:val="1"/>
                <w:bCs w:val="1"/>
                <w:color w:val="auto"/>
              </w:rPr>
              <w:t>FY17 Guidance Metrics</w:t>
            </w:r>
          </w:p>
        </w:tc>
        <w:tc>
          <w:tcPr>
            <w:tcW w:w="4540" w:type="dxa"/>
            <w:vAlign w:val="bottom"/>
            <w:gridSpan w:val="2"/>
          </w:tcPr>
          <w:p>
            <w:pPr>
              <w:jc w:val="center"/>
              <w:ind w:left="1740"/>
              <w:spacing w:after="0"/>
              <w:rPr>
                <w:sz w:val="20"/>
                <w:szCs w:val="20"/>
                <w:color w:val="auto"/>
              </w:rPr>
            </w:pPr>
            <w:r>
              <w:rPr>
                <w:rFonts w:ascii="Arial" w:cs="Arial" w:eastAsia="Arial" w:hAnsi="Arial"/>
                <w:sz w:val="14"/>
                <w:szCs w:val="14"/>
                <w:b w:val="1"/>
                <w:bCs w:val="1"/>
                <w:color w:val="auto"/>
                <w:w w:val="93"/>
              </w:rPr>
              <w:t>FY17 (ending January 31, 2017)</w:t>
            </w:r>
          </w:p>
        </w:tc>
      </w:tr>
      <w:tr>
        <w:trPr>
          <w:trHeight w:val="243"/>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 (in millions) (1)</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$2,050</w:t>
            </w:r>
          </w:p>
        </w:tc>
      </w:tr>
      <w:tr>
        <w:trPr>
          <w:trHeight w:val="224"/>
        </w:trPr>
        <w:tc>
          <w:tcPr>
            <w:tcW w:w="6880" w:type="dxa"/>
            <w:vAlign w:val="bottom"/>
          </w:tcPr>
          <w:p>
            <w:pPr>
              <w:ind w:left="40"/>
              <w:spacing w:after="0"/>
              <w:rPr>
                <w:sz w:val="20"/>
                <w:szCs w:val="20"/>
                <w:color w:val="auto"/>
              </w:rPr>
            </w:pPr>
            <w:r>
              <w:rPr>
                <w:rFonts w:ascii="Arial" w:cs="Arial" w:eastAsia="Arial" w:hAnsi="Arial"/>
                <w:sz w:val="16"/>
                <w:szCs w:val="16"/>
                <w:color w:val="auto"/>
              </w:rPr>
              <w:t>GAAP spend growth (cost of revenue plus operating expenses)</w:t>
            </w:r>
          </w:p>
        </w:tc>
        <w:tc>
          <w:tcPr>
            <w:tcW w:w="3120" w:type="dxa"/>
            <w:vAlign w:val="bottom"/>
          </w:tcPr>
          <w:p>
            <w:pPr>
              <w:jc w:val="right"/>
              <w:spacing w:after="0"/>
              <w:rPr>
                <w:sz w:val="20"/>
                <w:szCs w:val="20"/>
                <w:color w:val="auto"/>
              </w:rPr>
            </w:pPr>
            <w:r>
              <w:rPr>
                <w:rFonts w:ascii="Arial" w:cs="Arial" w:eastAsia="Arial" w:hAnsi="Arial"/>
                <w:sz w:val="16"/>
                <w:szCs w:val="16"/>
                <w:color w:val="auto"/>
              </w:rPr>
              <w:t>3%</w:t>
            </w:r>
          </w:p>
        </w:tc>
        <w:tc>
          <w:tcPr>
            <w:tcW w:w="1420" w:type="dxa"/>
            <w:vAlign w:val="bottom"/>
          </w:tcPr>
          <w:p>
            <w:pPr>
              <w:ind w:left="20"/>
              <w:spacing w:after="0"/>
              <w:rPr>
                <w:sz w:val="20"/>
                <w:szCs w:val="20"/>
                <w:color w:val="auto"/>
              </w:rPr>
            </w:pPr>
            <w:r>
              <w:rPr>
                <w:rFonts w:ascii="Arial" w:cs="Arial" w:eastAsia="Arial" w:hAnsi="Arial"/>
                <w:sz w:val="16"/>
                <w:szCs w:val="16"/>
                <w:color w:val="auto"/>
              </w:rPr>
              <w:t>- 4%</w:t>
            </w:r>
          </w:p>
        </w:tc>
      </w:tr>
      <w:tr>
        <w:trPr>
          <w:trHeight w:val="33"/>
        </w:trPr>
        <w:tc>
          <w:tcPr>
            <w:tcW w:w="6880" w:type="dxa"/>
            <w:vAlign w:val="bottom"/>
          </w:tcPr>
          <w:p>
            <w:pPr>
              <w:spacing w:after="0"/>
              <w:rPr>
                <w:sz w:val="2"/>
                <w:szCs w:val="2"/>
                <w:color w:val="auto"/>
              </w:rPr>
            </w:pPr>
          </w:p>
        </w:tc>
        <w:tc>
          <w:tcPr>
            <w:tcW w:w="4540" w:type="dxa"/>
            <w:vAlign w:val="bottom"/>
            <w:gridSpan w:val="2"/>
          </w:tcPr>
          <w:p>
            <w:pPr>
              <w:spacing w:after="0"/>
              <w:rPr>
                <w:sz w:val="2"/>
                <w:szCs w:val="2"/>
                <w:color w:val="auto"/>
              </w:rPr>
            </w:pPr>
          </w:p>
        </w:tc>
      </w:tr>
      <w:tr>
        <w:trPr>
          <w:trHeight w:val="237"/>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spend growth (cost of revenue plus operating expenses) (2)</w:t>
            </w:r>
          </w:p>
        </w:tc>
        <w:tc>
          <w:tcPr>
            <w:tcW w:w="4540" w:type="dxa"/>
            <w:vAlign w:val="bottom"/>
            <w:tcBorders>
              <w:bottom w:val="single" w:sz="8" w:color="CCEEFF"/>
            </w:tcBorders>
            <w:gridSpan w:val="2"/>
            <w:shd w:val="clear" w:color="auto" w:fill="CCEEFF"/>
          </w:tcPr>
          <w:p>
            <w:pPr>
              <w:jc w:val="center"/>
              <w:ind w:left="1740"/>
              <w:spacing w:after="0"/>
              <w:rPr>
                <w:sz w:val="20"/>
                <w:szCs w:val="20"/>
                <w:color w:val="auto"/>
              </w:rPr>
            </w:pPr>
            <w:r>
              <w:rPr>
                <w:rFonts w:ascii="Arial" w:cs="Arial" w:eastAsia="Arial" w:hAnsi="Arial"/>
                <w:sz w:val="16"/>
                <w:szCs w:val="16"/>
                <w:color w:val="auto"/>
                <w:w w:val="97"/>
              </w:rPr>
              <w:t>(1%) - flat</w:t>
            </w:r>
          </w:p>
        </w:tc>
      </w:tr>
      <w:tr>
        <w:trPr>
          <w:trHeight w:val="224"/>
        </w:trPr>
        <w:tc>
          <w:tcPr>
            <w:tcW w:w="6880" w:type="dxa"/>
            <w:vAlign w:val="bottom"/>
          </w:tcPr>
          <w:p>
            <w:pPr>
              <w:ind w:left="40"/>
              <w:spacing w:after="0"/>
              <w:rPr>
                <w:sz w:val="20"/>
                <w:szCs w:val="20"/>
                <w:color w:val="auto"/>
              </w:rPr>
            </w:pPr>
            <w:r>
              <w:rPr>
                <w:rFonts w:ascii="Arial" w:cs="Arial" w:eastAsia="Arial" w:hAnsi="Arial"/>
                <w:sz w:val="16"/>
                <w:szCs w:val="16"/>
                <w:color w:val="auto"/>
              </w:rPr>
              <w:t>EPS GAAP</w:t>
            </w:r>
          </w:p>
        </w:tc>
        <w:tc>
          <w:tcPr>
            <w:tcW w:w="3120" w:type="dxa"/>
            <w:vAlign w:val="bottom"/>
          </w:tcPr>
          <w:p>
            <w:pPr>
              <w:jc w:val="right"/>
              <w:spacing w:after="0"/>
              <w:rPr>
                <w:sz w:val="20"/>
                <w:szCs w:val="20"/>
                <w:color w:val="auto"/>
              </w:rPr>
            </w:pPr>
            <w:r>
              <w:rPr>
                <w:rFonts w:ascii="Arial" w:cs="Arial" w:eastAsia="Arial" w:hAnsi="Arial"/>
                <w:sz w:val="16"/>
                <w:szCs w:val="16"/>
                <w:color w:val="auto"/>
              </w:rPr>
              <w:t>($3.25)</w:t>
            </w:r>
          </w:p>
        </w:tc>
        <w:tc>
          <w:tcPr>
            <w:tcW w:w="1420" w:type="dxa"/>
            <w:vAlign w:val="bottom"/>
          </w:tcPr>
          <w:p>
            <w:pPr>
              <w:ind w:left="20"/>
              <w:spacing w:after="0"/>
              <w:rPr>
                <w:sz w:val="20"/>
                <w:szCs w:val="20"/>
                <w:color w:val="auto"/>
              </w:rPr>
            </w:pPr>
            <w:r>
              <w:rPr>
                <w:rFonts w:ascii="Arial" w:cs="Arial" w:eastAsia="Arial" w:hAnsi="Arial"/>
                <w:sz w:val="16"/>
                <w:szCs w:val="16"/>
                <w:color w:val="auto"/>
              </w:rPr>
              <w:t>- ($2.87)</w:t>
            </w:r>
          </w:p>
        </w:tc>
      </w:tr>
      <w:tr>
        <w:trPr>
          <w:trHeight w:val="33"/>
        </w:trPr>
        <w:tc>
          <w:tcPr>
            <w:tcW w:w="68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EPS non-GAAP (3)</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($0.70)</w:t>
            </w:r>
          </w:p>
        </w:tc>
      </w:tr>
      <w:tr>
        <w:trPr>
          <w:trHeight w:val="224"/>
        </w:trPr>
        <w:tc>
          <w:tcPr>
            <w:tcW w:w="6880" w:type="dxa"/>
            <w:vAlign w:val="bottom"/>
          </w:tcPr>
          <w:p>
            <w:pPr>
              <w:ind w:left="40"/>
              <w:spacing w:after="0"/>
              <w:rPr>
                <w:sz w:val="20"/>
                <w:szCs w:val="20"/>
                <w:color w:val="auto"/>
              </w:rPr>
            </w:pPr>
            <w:r>
              <w:rPr>
                <w:rFonts w:ascii="Arial" w:cs="Arial" w:eastAsia="Arial" w:hAnsi="Arial"/>
                <w:sz w:val="16"/>
                <w:szCs w:val="16"/>
                <w:color w:val="auto"/>
              </w:rPr>
              <w:t>Net subscription additions</w:t>
            </w:r>
          </w:p>
        </w:tc>
        <w:tc>
          <w:tcPr>
            <w:tcW w:w="3120" w:type="dxa"/>
            <w:vAlign w:val="bottom"/>
          </w:tcPr>
          <w:p>
            <w:pPr>
              <w:jc w:val="right"/>
              <w:spacing w:after="0"/>
              <w:rPr>
                <w:sz w:val="20"/>
                <w:szCs w:val="20"/>
                <w:color w:val="auto"/>
              </w:rPr>
            </w:pPr>
            <w:r>
              <w:rPr>
                <w:rFonts w:ascii="Arial" w:cs="Arial" w:eastAsia="Arial" w:hAnsi="Arial"/>
                <w:sz w:val="16"/>
                <w:szCs w:val="16"/>
                <w:color w:val="auto"/>
              </w:rPr>
              <w:t>475,000</w:t>
            </w:r>
          </w:p>
        </w:tc>
        <w:tc>
          <w:tcPr>
            <w:tcW w:w="1420" w:type="dxa"/>
            <w:vAlign w:val="bottom"/>
          </w:tcPr>
          <w:p>
            <w:pPr>
              <w:ind w:left="20"/>
              <w:spacing w:after="0"/>
              <w:rPr>
                <w:sz w:val="20"/>
                <w:szCs w:val="20"/>
                <w:color w:val="auto"/>
              </w:rPr>
            </w:pPr>
            <w:r>
              <w:rPr>
                <w:rFonts w:ascii="Arial" w:cs="Arial" w:eastAsia="Arial" w:hAnsi="Arial"/>
                <w:sz w:val="16"/>
                <w:szCs w:val="16"/>
                <w:color w:val="auto"/>
              </w:rPr>
              <w:t>- 525,000</w:t>
            </w:r>
          </w:p>
        </w:tc>
      </w:tr>
      <w:tr>
        <w:trPr>
          <w:trHeight w:val="249"/>
        </w:trPr>
        <w:tc>
          <w:tcPr>
            <w:tcW w:w="6880" w:type="dxa"/>
            <w:vAlign w:val="bottom"/>
          </w:tcPr>
          <w:p>
            <w:pPr>
              <w:spacing w:after="0"/>
              <w:rPr>
                <w:sz w:val="20"/>
                <w:szCs w:val="20"/>
                <w:color w:val="auto"/>
              </w:rPr>
            </w:pPr>
            <w:r>
              <w:rPr>
                <w:rFonts w:ascii="Arial" w:cs="Arial" w:eastAsia="Arial" w:hAnsi="Arial"/>
                <w:sz w:val="18"/>
                <w:szCs w:val="18"/>
                <w:color w:val="auto"/>
              </w:rPr>
              <w:t>_______________</w:t>
            </w:r>
          </w:p>
        </w:tc>
        <w:tc>
          <w:tcPr>
            <w:tcW w:w="312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Excluding the impact of foreign currency rates and hedge gains/losses revenue guidance would be $1,995 - $2,095 million.</w:t>
      </w:r>
    </w:p>
    <w:p>
      <w:pPr>
        <w:spacing w:after="0" w:line="9" w:lineRule="exact"/>
        <w:rPr>
          <w:rFonts w:ascii="Arial" w:cs="Arial" w:eastAsia="Arial" w:hAnsi="Arial"/>
          <w:sz w:val="16"/>
          <w:szCs w:val="16"/>
          <w:color w:val="auto"/>
        </w:rPr>
      </w:pPr>
    </w:p>
    <w:p>
      <w:pPr>
        <w:ind w:right="280" w:firstLine="8"/>
        <w:spacing w:after="0" w:line="246" w:lineRule="auto"/>
        <w:tabs>
          <w:tab w:leader="none" w:pos="23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Non-GAAP spend excludes $229 million related to stock-based compensation expense, $88 million related to restructuring charges and other facility exit costs, and $66 million for the amortization of acquisition-related intangibles.</w:t>
      </w:r>
    </w:p>
    <w:p>
      <w:pPr>
        <w:ind w:right="160" w:firstLine="8"/>
        <w:spacing w:after="0" w:line="257" w:lineRule="auto"/>
        <w:tabs>
          <w:tab w:leader="none" w:pos="23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Non-GAAP earnings per diluted share excludes $1.02 related to stock-based compensation expense, between $0.59 and $0.46 of GAAP-only tax charges, $0.39 related to restructuring charges and other facility exit costs, and $0.30 for the amortization of acquisition-related intangibles.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remain diligent about managing our spend while making essential investments to drive growth.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16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April 30, 2016</w:t>
            </w:r>
          </w:p>
        </w:tc>
        <w:tc>
          <w:tcPr>
            <w:tcW w:w="180" w:type="dxa"/>
            <w:vAlign w:val="bottom"/>
          </w:tcPr>
          <w:p>
            <w:pPr>
              <w:spacing w:after="0"/>
              <w:rPr>
                <w:sz w:val="22"/>
                <w:szCs w:val="22"/>
                <w:color w:val="auto"/>
              </w:rPr>
            </w:pPr>
          </w:p>
        </w:tc>
        <w:tc>
          <w:tcPr>
            <w:tcW w:w="600" w:type="dxa"/>
            <w:vAlign w:val="bottom"/>
          </w:tcPr>
          <w:p>
            <w:pPr>
              <w:jc w:val="right"/>
              <w:ind w:right="28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401"/>
              <w:spacing w:after="0"/>
              <w:rPr>
                <w:sz w:val="20"/>
                <w:szCs w:val="20"/>
                <w:color w:val="auto"/>
              </w:rPr>
            </w:pPr>
            <w:r>
              <w:rPr>
                <w:rFonts w:ascii="Arial" w:cs="Arial" w:eastAsia="Arial" w:hAnsi="Arial"/>
                <w:sz w:val="14"/>
                <w:szCs w:val="14"/>
                <w:b w:val="1"/>
                <w:bCs w:val="1"/>
                <w:color w:val="auto"/>
              </w:rPr>
              <w:t>April 30, 2015</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8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84"/>
        </w:trPr>
        <w:tc>
          <w:tcPr>
            <w:tcW w:w="58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0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184"/>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Operating Segment:</w:t>
            </w: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8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(17.8)</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237"/>
        </w:trPr>
        <w:tc>
          <w:tcPr>
            <w:tcW w:w="580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180" w:type="dxa"/>
            <w:vAlign w:val="bottom"/>
          </w:tcPr>
          <w:p>
            <w:pPr>
              <w:spacing w:after="0"/>
              <w:rPr>
                <w:sz w:val="20"/>
                <w:szCs w:val="20"/>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(85.3)</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21"/>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44"/>
        </w:trPr>
        <w:tc>
          <w:tcPr>
            <w:tcW w:w="58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511.9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subscription revenue consists of three components: (1) maintenance revenue from our perpetual software products; (2) maintenance revenue from our term-based product subscriptions and flexible enterprise business agreements; and (3) revenue from our cloud service offerings. Our maintenance plans provide our customers with a cost effective and predictable budgetary option to obtain the productivity 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 Revenue for our cloud service offerings is recognized ratably over the contract term commencing with the date our service is made available to customers and when all other revenue recognition criteria have been satisfied.</w:t>
      </w:r>
    </w:p>
    <w:p>
      <w:pPr>
        <w:spacing w:after="0" w:line="17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Subscription revenue increased 2% during the three months ended April 30, 2016, as compared to the three months ended April 30, 2015, primarily due to a 34% increase in new model subscription revenue, partially offset by a 1% decrease in maintenance revenue. The 34% increase in new model subscription revenue was due to a 203% increase in product subscription revenue. The 1% decrease in maintenance revenue was attributable to the business model transition, as we expect maintenance revenue will slowly decline as perpetual license sales end, and customers adopt our new model subscription offerings.</w:t>
      </w:r>
    </w:p>
    <w:p>
      <w:pPr>
        <w:spacing w:after="0" w:line="154"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Maintenance revenue represented 88% and 91% of subscription revenue for the three months ended April 30, 2016 and 2015, respectively. New model subscription revenue represented 12% and 9% of subscription revenue for the three months ended April 30, 2016 and 2015, respectively.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License and other revenue consists of two components: (1) all forms of product license revenue and (2) other revenue. 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License and other revenue decreased 43% during the three months ended April 30, 2016, as compared to the three months ended April 30, 2015. Product license revenue, as a percentage of license and other revenue, was 80% and 89% for the three months ended April 30, 2016 and 2015, respectively. The decrease in product license revenue was due to the business model transition, which led to a 60% decrease in revenue from perpetual licenses as we have discontinued selling perpetual seats of most of our product offerings. This decrease was partially offset by a 96% increase in license revenue from our new model subscription offerings.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96" w:right="239" w:bottom="1440" w:gutter="0" w:footer="0" w:header="0"/>
        </w:sectPr>
      </w:pPr>
    </w:p>
    <w:bookmarkStart w:id="30" w:name="page31"/>
    <w:bookmarkEnd w:id="30"/>
    <w:p>
      <w:pPr>
        <w:ind w:right="40" w:firstLine="405"/>
        <w:spacing w:after="0" w:line="264" w:lineRule="auto"/>
        <w:rPr>
          <w:sz w:val="20"/>
          <w:szCs w:val="20"/>
          <w:color w:val="auto"/>
        </w:rPr>
      </w:pPr>
      <w:r>
        <w:rPr>
          <w:rFonts w:ascii="Arial" w:cs="Arial" w:eastAsia="Arial" w:hAnsi="Arial"/>
          <w:sz w:val="18"/>
          <w:szCs w:val="18"/>
          <w:color w:val="auto"/>
        </w:rPr>
        <w:t>Other revenue increased 6% during the three months ended April 30, 2016, as compared to the three months ended April 30, 2015. The increase in other revenue was due to an increase in consulting revenue, partially offset by a decrease in revenue from Creative Finishing. Other revenue represented 7% and 5% of total net revenue for the three months ended April 30, 2016 and 2015, respectively,</w:t>
      </w:r>
    </w:p>
    <w:p>
      <w:pPr>
        <w:spacing w:after="0" w:line="181"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Backlog related to current software license product orders that had not been delivered at the end of the quarter decreased by $24.3 million during the three months ended April 30, 2016 from $31.4 million at January 31, 2016 to $7.1 million at April 30, 2016. Backlog from current software license product orders that we have not been delivered consists of orders for currently available licensed software products from customers with approved credit status.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have four reportable segments: AEC, MFG, PSEB, and M&amp;E. We have no material inter-segment revenue. During the business model transition, revenue has been and will be negatively impacted as more revenue is recognized ratably rather than up front and as new product offerings generally have a lower initial purchase price. This broad impact is reflected in the drivers below.</w:t>
      </w:r>
    </w:p>
    <w:p>
      <w:pPr>
        <w:spacing w:after="0" w:line="181"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During the three months ended April 30, 2016, net revenue for AEC decreased by 8% as compared to the same period in the prior fiscal year, primarily due to a 6% decline in our AEC suites driven by Autodesk Building Design Suite. Partially offsetting the decline in AEC suites revenue was positive growth in our flexible enterprise business agreements which increased 26% as compared to the same period in the prior fiscal year.</w:t>
      </w:r>
    </w:p>
    <w:p>
      <w:pPr>
        <w:spacing w:after="0" w:line="16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During the three months ended April 30, 2016, net revenue for MFG decreased by 14% as compared to the same period in the prior fiscal year primarily due to an 18% decline in our MFG suites driven by a decrease in revenue from our Product Design Suites.</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three months ended April 30, 2016, net revenue for PSEB decreased by 46% as compared to the same period in the prior fiscal year primarily due to a 47% decrease in revenue from our AutoCAD and ACAD LT products. As part of the transition to term-based product subscriptions for our individual software products in February 2016, products like AutoCAD and ACAD LT will be negatively impacted when compared to the same period in the prior fiscal year as revenue is recognized ratably rather than up front.</w:t>
      </w:r>
    </w:p>
    <w:p>
      <w:pPr>
        <w:spacing w:after="0" w:line="187"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During the three months ended April 30, 2016, net revenue for M&amp;E decreased by 12% as compared to the same period in the prior fiscal year, primarily due to a 9% decrease in Animation, which was driven by lower revenue on our 3ds Max product offerings.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w w:val="98"/>
              </w:rPr>
              <w:t>Three Months Ended April 30,</w:t>
            </w:r>
          </w:p>
        </w:tc>
        <w:tc>
          <w:tcPr>
            <w:tcW w:w="1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As a % of Net</w:t>
            </w:r>
          </w:p>
        </w:tc>
        <w:tc>
          <w:tcPr>
            <w:tcW w:w="204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w w:val="98"/>
              </w:rPr>
              <w:t>Three Months Ended April 30,</w:t>
            </w:r>
          </w:p>
        </w:tc>
        <w:tc>
          <w:tcPr>
            <w:tcW w:w="100" w:type="dxa"/>
            <w:vAlign w:val="bottom"/>
          </w:tcPr>
          <w:p>
            <w:pPr>
              <w:spacing w:after="0"/>
              <w:rPr>
                <w:sz w:val="14"/>
                <w:szCs w:val="14"/>
                <w:color w:val="auto"/>
              </w:rPr>
            </w:pPr>
          </w:p>
        </w:tc>
        <w:tc>
          <w:tcPr>
            <w:tcW w:w="1760" w:type="dxa"/>
            <w:vAlign w:val="bottom"/>
          </w:tcPr>
          <w:p>
            <w:pPr>
              <w:jc w:val="right"/>
              <w:ind w:right="388"/>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35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16"/>
                <w:szCs w:val="16"/>
                <w:color w:val="auto"/>
              </w:rPr>
            </w:pPr>
          </w:p>
        </w:tc>
        <w:tc>
          <w:tcPr>
            <w:tcW w:w="1540" w:type="dxa"/>
            <w:vAlign w:val="bottom"/>
          </w:tcPr>
          <w:p>
            <w:pPr>
              <w:jc w:val="right"/>
              <w:ind w:right="80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480" w:type="dxa"/>
            <w:vAlign w:val="bottom"/>
          </w:tcPr>
          <w:p>
            <w:pPr>
              <w:spacing w:after="0"/>
              <w:rPr>
                <w:sz w:val="16"/>
                <w:szCs w:val="16"/>
                <w:color w:val="auto"/>
              </w:rPr>
            </w:pPr>
          </w:p>
        </w:tc>
        <w:tc>
          <w:tcPr>
            <w:tcW w:w="1560" w:type="dxa"/>
            <w:vAlign w:val="bottom"/>
          </w:tcPr>
          <w:p>
            <w:pPr>
              <w:jc w:val="right"/>
              <w:ind w:right="8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760" w:type="dxa"/>
            <w:vAlign w:val="bottom"/>
          </w:tcPr>
          <w:p>
            <w:pPr>
              <w:jc w:val="right"/>
              <w:ind w:right="548"/>
              <w:spacing w:after="0"/>
              <w:rPr>
                <w:sz w:val="20"/>
                <w:szCs w:val="20"/>
                <w:color w:val="auto"/>
              </w:rPr>
            </w:pPr>
            <w:r>
              <w:rPr>
                <w:rFonts w:ascii="Arial" w:cs="Arial" w:eastAsia="Arial" w:hAnsi="Arial"/>
                <w:sz w:val="14"/>
                <w:szCs w:val="14"/>
                <w:b w:val="1"/>
                <w:bCs w:val="1"/>
                <w:color w:val="auto"/>
              </w:rPr>
              <w:t>Revenue</w:t>
            </w: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5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60"/>
        </w:trPr>
        <w:tc>
          <w:tcPr>
            <w:tcW w:w="35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5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217.7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244.0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202.6</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245.4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500" w:type="dxa"/>
            <w:vAlign w:val="bottom"/>
          </w:tcPr>
          <w:p>
            <w:pPr>
              <w:spacing w:after="0"/>
              <w:rPr>
                <w:sz w:val="20"/>
                <w:szCs w:val="20"/>
                <w:color w:val="auto"/>
              </w:rPr>
            </w:pP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91.6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157.1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5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511.9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646.5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Net revenue in the Americas geography decreased by 11% on an as reported basis and 10% on a constant currency basis during the three months ended April 30, 2016, as compared to the same period in the prior fiscal year. Net revenue in the Americas attributable to the United States was approximately 85% and 82% for three months ended April 30, 2016 and 2015, respectively.</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International net revenue represented 64% and 69% of our net revenue for the three months ended April 30, 2016 and 2015, respectively. Net revenue in the Europe, Middle East and Africa ("EMEA") geography decreased by 17% on an as reported basis and 11% on a constant currency basis during the three months ended April 30, 2016 as compared to the same period in the prior fiscal year. Net revenue in the Asia Pacific ("APAC") geography decreased by 42% on an as reported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and 39% on a constant currency basis during the three months ended April 30, 2016 as compared to the same period in the prior fiscal year.</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Weak global economic conditions that have been characterized by restructuring of sovereign debt, high unemployment, and volatility in the financial markets may impact our future financial results. Additionally during the business model transition, revenue has been and will be negatively impacted as more revenue is recognized ratably rather than up front and as new product offerings generally have a lower initial purchase price. This transition has a particular impact to emerging economies as sales of perpetual licenses have historically comprised a greater percentage of total emerging economy sales in comparison to mature markets.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revenue in emerging economies decreased by 40% on an as reported basis and on a constant currency basis during the three months ended April 30,</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2016 as compared to the same period in the prior fiscal year. Revenue from emerging economies represented 11% and 14% of net revenue for the three months ended April 30, 2016 and 2015,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200" w:type="dxa"/>
            <w:vAlign w:val="bottom"/>
          </w:tcPr>
          <w:p>
            <w:pPr>
              <w:spacing w:after="0"/>
              <w:rPr>
                <w:sz w:val="14"/>
                <w:szCs w:val="14"/>
                <w:color w:val="auto"/>
              </w:rPr>
            </w:pPr>
          </w:p>
        </w:tc>
        <w:tc>
          <w:tcPr>
            <w:tcW w:w="16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30, 2016</w:t>
            </w:r>
          </w:p>
        </w:tc>
        <w:tc>
          <w:tcPr>
            <w:tcW w:w="300" w:type="dxa"/>
            <w:vAlign w:val="bottom"/>
          </w:tcPr>
          <w:p>
            <w:pPr>
              <w:spacing w:after="0"/>
              <w:rPr>
                <w:sz w:val="22"/>
                <w:szCs w:val="22"/>
                <w:color w:val="auto"/>
              </w:rPr>
            </w:pPr>
          </w:p>
        </w:tc>
        <w:tc>
          <w:tcPr>
            <w:tcW w:w="820" w:type="dxa"/>
            <w:vAlign w:val="bottom"/>
          </w:tcPr>
          <w:p>
            <w:pPr>
              <w:jc w:val="right"/>
              <w:ind w:right="46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40" w:type="dxa"/>
            <w:vAlign w:val="bottom"/>
          </w:tcPr>
          <w:p>
            <w:pPr>
              <w:jc w:val="right"/>
              <w:ind w:right="5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jc w:val="right"/>
              <w:ind w:right="422"/>
              <w:spacing w:after="0"/>
              <w:rPr>
                <w:sz w:val="20"/>
                <w:szCs w:val="20"/>
                <w:color w:val="auto"/>
              </w:rPr>
            </w:pPr>
            <w:r>
              <w:rPr>
                <w:rFonts w:ascii="Arial" w:cs="Arial" w:eastAsia="Arial" w:hAnsi="Arial"/>
                <w:sz w:val="14"/>
                <w:szCs w:val="14"/>
                <w:b w:val="1"/>
                <w:bCs w:val="1"/>
                <w:color w:val="auto"/>
              </w:rPr>
              <w:t>April 30, 2015</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82"/>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2"/>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License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84"/>
        </w:trPr>
        <w:tc>
          <w:tcPr>
            <w:tcW w:w="50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Cost of subscription revenue includes the labor costs of providing product support to our maintenance and new model subscription customers, including rent and occupancy, shipping and handling costs, professional services fees related to operating our network and cloud infrastructure, depreciation expense and operating lease payments associated with computer equipment, data center costs, salaries, related expenses of network operations, and allocated IT and facilities costs.</w:t>
      </w:r>
    </w:p>
    <w:p>
      <w:pPr>
        <w:spacing w:after="0" w:line="18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Cost of subscription revenue increased 3% during the three months ended April 30, 2016 as compared to the same period in the prior fiscal year, primarily due to an increase in cloud and hosting related costs.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Cost of license and other revenue includes labor costs associated with product setup and fulfillment and costs of consulting and training services contracts and collaborative project management services contracts. Cost of license and other revenue also includes stock-based compensation expense, direct material and overhead charges, amortization of developed technology, allocated IT and facilities costs, professional services fees and royalties. Direct material and overhead charges include the cost of hardware sold (mainly Ember printers in the PSEB segment), and costs associated with electronic and physical fulfillment.</w:t>
      </w:r>
    </w:p>
    <w:p>
      <w:pPr>
        <w:spacing w:after="0" w:line="188"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Cost of license and other revenue decreased 1% for the three months ended April 30, 2016 as compared to the same period in the prior fiscal year, primarily due to a decrease in amortization of our developed technology as well as lower employee related costs for our consulting related offerings.</w:t>
      </w:r>
    </w:p>
    <w:p>
      <w:pPr>
        <w:spacing w:after="0" w:line="1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expect cost of revenue to decrease in absolute dollars and remain flat as a percentage of net revenue during the second quarter of fiscal 2017, as compared to the second quarter of fiscal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w w:val="95"/>
              </w:rPr>
              <w:t>Change compared to 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April 30, 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2015</w:t>
            </w:r>
          </w:p>
        </w:tc>
      </w:tr>
      <w:tr>
        <w:trPr>
          <w:trHeight w:val="23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242.9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  $</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253.9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23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Marketing and sales expenses include salaries, bonuses, benefits and stock-based compensation expense for our marketing and sales employees, the expense of travel, entertainment and training for such personnel, the costs of programs aimed at increasing revenue, such as advertising, trade shows and expositions, and various sales and promotional programs. Marketing and sales expenses also include labor costs associated with sales and order management, sales and dealer commissions, rent and occupancy, payment processing fees, the cost of supplies and equipment, and allocated IT and facilities costs.</w:t>
      </w:r>
    </w:p>
    <w:p>
      <w:pPr>
        <w:spacing w:after="0" w:line="15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Marketing and sales expenses decreased 4% for the three months ended April 30, 2016 as compared to the same period in the prior fiscal year, primarily due to lower employee-related costs resulting from the restructuring plan announced in February 2016.</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expect marketing and sales expenses to slightly increase in absolute dollars and increase as a percentage of net revenue during the second quarter of fiscal 2017, as compared to the second quarter of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1"/>
              </w:rPr>
              <w:t>Change compared to</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48"/>
              <w:spacing w:after="0"/>
              <w:rPr>
                <w:sz w:val="20"/>
                <w:szCs w:val="20"/>
                <w:color w:val="auto"/>
              </w:rPr>
            </w:pPr>
            <w:r>
              <w:rPr>
                <w:rFonts w:ascii="Arial" w:cs="Arial" w:eastAsia="Arial" w:hAnsi="Arial"/>
                <w:sz w:val="14"/>
                <w:szCs w:val="14"/>
                <w:b w:val="1"/>
                <w:bCs w:val="1"/>
                <w:color w:val="auto"/>
                <w:w w:val="93"/>
              </w:rPr>
              <w:t>prior fiscal year</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2015</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195.5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  $</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 and allocated IT and facilities costs.</w:t>
      </w:r>
    </w:p>
    <w:p>
      <w:pPr>
        <w:spacing w:after="0" w:line="16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Research and development expenses increased 1% during the three months ended April 30, 2016 as compared to the same period in the prior fiscal year, primarily due to an increase in stock-based compensation expense as a result of a higher fair market value of awards granted, partially offset by a decrease in professional fees.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expect research and development expenses to increase in absolute dollars and as a percentage of net revenue during the second quarter of fiscal 2017, as compared to the second quarter of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Change compared to</w:t>
            </w: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April 30, 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2015</w:t>
            </w:r>
          </w:p>
        </w:tc>
        <w:tc>
          <w:tcPr>
            <w:tcW w:w="0" w:type="dxa"/>
            <w:vAlign w:val="bottom"/>
          </w:tcPr>
          <w:p>
            <w:pPr>
              <w:spacing w:after="0"/>
              <w:rPr>
                <w:sz w:val="1"/>
                <w:szCs w:val="1"/>
                <w:color w:val="auto"/>
              </w:rPr>
            </w:pPr>
          </w:p>
        </w:tc>
      </w:tr>
      <w:tr>
        <w:trPr>
          <w:trHeight w:val="23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6"/>
                <w:szCs w:val="16"/>
                <w:color w:val="auto"/>
              </w:rPr>
              <w:t>— %  $</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certain foreign business taxes, gains and losses on our operating expense cash flow hedges, expense of travel, entertainment and training, IT and facilities costs, and the cost of supplies and equipment.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3" w:name="page34"/>
    <w:bookmarkEnd w:id="33"/>
    <w:p>
      <w:pPr>
        <w:ind w:firstLine="432"/>
        <w:spacing w:after="0" w:line="277" w:lineRule="auto"/>
        <w:rPr>
          <w:sz w:val="20"/>
          <w:szCs w:val="20"/>
          <w:color w:val="auto"/>
        </w:rPr>
      </w:pPr>
      <w:r>
        <w:rPr>
          <w:rFonts w:ascii="Arial" w:cs="Arial" w:eastAsia="Arial" w:hAnsi="Arial"/>
          <w:sz w:val="18"/>
          <w:szCs w:val="18"/>
          <w:color w:val="auto"/>
        </w:rPr>
        <w:t>General and administrative expenses remained flat during the three months ended April 30, 2016, as compared to the same period in the prior fiscal year primarily due to an increase in professional fees, offset by a decrease in facilities costs.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expect general and administrative expenses to slightly increase in both absolute dollars and as a percentage of net revenue during the second quarter of fiscal 2017, as compared to the second quarter of fiscal 2016.</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5"/>
          </w:tcPr>
          <w:p>
            <w:pPr>
              <w:ind w:left="280"/>
              <w:spacing w:after="0"/>
              <w:rPr>
                <w:sz w:val="20"/>
                <w:szCs w:val="20"/>
                <w:color w:val="auto"/>
              </w:rPr>
            </w:pPr>
            <w:r>
              <w:rPr>
                <w:rFonts w:ascii="Arial" w:cs="Arial" w:eastAsia="Arial" w:hAnsi="Arial"/>
                <w:sz w:val="14"/>
                <w:szCs w:val="14"/>
                <w:b w:val="1"/>
                <w:bCs w:val="1"/>
                <w:color w:val="auto"/>
              </w:rPr>
              <w:t>Change compared to</w:t>
            </w:r>
          </w:p>
        </w:tc>
        <w:tc>
          <w:tcPr>
            <w:tcW w:w="16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April 30, 2015</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  $</w:t>
            </w:r>
          </w:p>
        </w:tc>
        <w:tc>
          <w:tcPr>
            <w:tcW w:w="16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Amortization of purchased intangibles decreased 11% during the three months ended April 30, 2016 as compared to the same period in the prior fiscal year, primarily related to the accumulated effects associated with amortization expense of intangible assets purchased over time.</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expect amortization of purchased intangibles to decrease in absolute dollars and remain flat as a percentage of net revenue during the second quarter of fiscal 2017, as compared to the second quarter of fiscal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 Charges and Other Facility Exit Costs,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 compared to</w:t>
            </w:r>
          </w:p>
        </w:tc>
        <w:tc>
          <w:tcPr>
            <w:tcW w:w="180" w:type="dxa"/>
            <w:vAlign w:val="bottom"/>
          </w:tcPr>
          <w:p>
            <w:pPr>
              <w:spacing w:after="0"/>
              <w:rPr>
                <w:sz w:val="14"/>
                <w:szCs w:val="14"/>
                <w:color w:val="auto"/>
              </w:rPr>
            </w:pPr>
          </w:p>
        </w:tc>
        <w:tc>
          <w:tcPr>
            <w:tcW w:w="168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April 30, 2016</w:t>
            </w:r>
          </w:p>
        </w:tc>
        <w:tc>
          <w:tcPr>
            <w:tcW w:w="320" w:type="dxa"/>
            <w:vAlign w:val="bottom"/>
          </w:tcPr>
          <w:p>
            <w:pPr>
              <w:spacing w:after="0"/>
              <w:rPr>
                <w:sz w:val="22"/>
                <w:szCs w:val="22"/>
                <w:color w:val="auto"/>
              </w:rPr>
            </w:pPr>
          </w:p>
        </w:tc>
        <w:tc>
          <w:tcPr>
            <w:tcW w:w="800" w:type="dxa"/>
            <w:vAlign w:val="bottom"/>
          </w:tcPr>
          <w:p>
            <w:pPr>
              <w:jc w:val="right"/>
              <w:ind w:right="44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20" w:type="dxa"/>
            <w:vAlign w:val="bottom"/>
          </w:tcPr>
          <w:p>
            <w:pPr>
              <w:jc w:val="right"/>
              <w:ind w:right="48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center"/>
              <w:ind w:right="103"/>
              <w:spacing w:after="0"/>
              <w:rPr>
                <w:sz w:val="20"/>
                <w:szCs w:val="20"/>
                <w:color w:val="auto"/>
              </w:rPr>
            </w:pPr>
            <w:r>
              <w:rPr>
                <w:rFonts w:ascii="Arial" w:cs="Arial" w:eastAsia="Arial" w:hAnsi="Arial"/>
                <w:sz w:val="14"/>
                <w:szCs w:val="14"/>
                <w:b w:val="1"/>
                <w:bCs w:val="1"/>
                <w:color w:val="auto"/>
                <w:w w:val="95"/>
              </w:rPr>
              <w:t>April 30, 2015</w:t>
            </w:r>
          </w:p>
        </w:tc>
        <w:tc>
          <w:tcPr>
            <w:tcW w:w="0" w:type="dxa"/>
            <w:vAlign w:val="bottom"/>
          </w:tcPr>
          <w:p>
            <w:pPr>
              <w:spacing w:after="0"/>
              <w:rPr>
                <w:sz w:val="1"/>
                <w:szCs w:val="1"/>
                <w:color w:val="auto"/>
              </w:rPr>
            </w:pPr>
          </w:p>
        </w:tc>
      </w:tr>
      <w:tr>
        <w:trPr>
          <w:trHeight w:val="236"/>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Restructuring charges and other facility exit costs, net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ind w:right="443"/>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gridSpan w:val="2"/>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ind w:left="136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9"/>
        </w:trPr>
        <w:tc>
          <w:tcPr>
            <w:tcW w:w="5120" w:type="dxa"/>
            <w:vAlign w:val="bottom"/>
            <w:gridSpan w:val="2"/>
          </w:tcPr>
          <w:p>
            <w:pPr>
              <w:ind w:left="60"/>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4860" w:type="dxa"/>
            <w:vAlign w:val="bottom"/>
          </w:tcPr>
          <w:p>
            <w:pPr>
              <w:ind w:left="160"/>
              <w:spacing w:after="0"/>
              <w:rPr>
                <w:sz w:val="20"/>
                <w:szCs w:val="20"/>
                <w:color w:val="auto"/>
              </w:rPr>
            </w:pPr>
            <w:r>
              <w:rPr>
                <w:rFonts w:ascii="Arial" w:cs="Arial" w:eastAsia="Arial" w:hAnsi="Arial"/>
                <w:sz w:val="16"/>
                <w:szCs w:val="16"/>
                <w:color w:val="auto"/>
              </w:rPr>
              <w:t>Percentage is not meaningful</w:t>
            </w: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February 2016, the Board of Directors approved a world-wide restructuring plan (“Fiscal 2017 Plan”) in order to re-balance staffing levels and reduce operating expenses to better align them with the evolving needs of the Company's business. The Company's Fiscal 2017 Plan consist of employee termination benefits related to the reduction of its workforce of approximately $76.0 million, and lease terminations and other exit costs of approximately $12.0 million. We recorded $52.3 million in restructuring charges and other facility exit costs during the three months ended April 30, 2016. See Note 13, “Restructuring,” in the Notes to Condensed Consolidated Financial Statements for further discussion.</w:t>
      </w:r>
    </w:p>
    <w:p>
      <w:pPr>
        <w:sectPr>
          <w:pgSz w:w="11900" w:h="16838" w:orient="portrait"/>
          <w:cols w:equalWidth="0" w:num="1">
            <w:col w:w="11420"/>
          </w:cols>
          <w:pgMar w:left="240" w:top="584" w:right="239" w:bottom="1440" w:gutter="0" w:footer="0" w:header="0"/>
        </w:sectPr>
      </w:pP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components of interest and other (expense) income, net: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12261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r>
      <w:tr>
        <w:trPr>
          <w:trHeight w:val="223"/>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22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22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2.9</w:t>
            </w:r>
          </w:p>
        </w:tc>
      </w:tr>
      <w:tr>
        <w:trPr>
          <w:trHeight w:val="33"/>
        </w:trPr>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33"/>
        </w:trPr>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60" w:space="720"/>
            <w:col w:w="1940"/>
          </w:cols>
          <w:pgMar w:left="240" w:top="584" w:right="239" w:bottom="1440" w:gutter="0" w:footer="0" w:header="0"/>
          <w:type w:val="continuous"/>
        </w:sectPr>
      </w:pPr>
    </w:p>
    <w:p>
      <w:pPr>
        <w:spacing w:after="0" w:line="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Interest and other (expense) income, net decreased 3.9 million in the three months ended April 30, 2016, as compared to the same period in the prior fiscal year, primarily due to interest expense resulting from the issuance of $450.0 million aggregate principal amount of 3.125% notes due June 15, 2020 and $300.0 million aggregate principal amount of 4.375% notes due June 15, 2025.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type w:val="continuous"/>
        </w:sectPr>
      </w:pPr>
    </w:p>
    <w:bookmarkStart w:id="34" w:name="page35"/>
    <w:bookmarkEnd w:id="34"/>
    <w:p>
      <w:pPr>
        <w:ind w:left="420"/>
        <w:spacing w:after="0"/>
        <w:rPr>
          <w:sz w:val="20"/>
          <w:szCs w:val="20"/>
          <w:color w:val="auto"/>
        </w:rPr>
      </w:pPr>
      <w:r>
        <w:rPr>
          <w:rFonts w:ascii="Arial" w:cs="Arial" w:eastAsia="Arial" w:hAnsi="Arial"/>
          <w:sz w:val="15"/>
          <w:szCs w:val="15"/>
          <w:color w:val="auto"/>
        </w:rPr>
        <w:t>Interest expense and investment income fluctuates based on average cash, marketable securities and debt balances, average maturities and interest rates.</w:t>
      </w:r>
    </w:p>
    <w:p>
      <w:pPr>
        <w:spacing w:after="0" w:line="26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Income tax expense was $14.4 million and $2.7 million for the three months ended April 30, 2016 and 2015, respectively. Income tax expense consists primarily of foreign taxes and U.S. tax expense related to indefinite-lived intangibles.</w:t>
      </w:r>
    </w:p>
    <w:p>
      <w:pPr>
        <w:spacing w:after="0" w:line="170"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and prudent whereby management may determine that it is more likely than not that the federal and state deferred tax assets will be realized; therefore,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jc w:val="both"/>
        <w:ind w:right="200" w:firstLine="405"/>
        <w:spacing w:after="0" w:line="257" w:lineRule="auto"/>
        <w:rPr>
          <w:sz w:val="20"/>
          <w:szCs w:val="20"/>
          <w:color w:val="auto"/>
        </w:rPr>
      </w:pPr>
      <w:r>
        <w:rPr>
          <w:rFonts w:ascii="Arial" w:cs="Arial" w:eastAsia="Arial" w:hAnsi="Arial"/>
          <w:sz w:val="18"/>
          <w:szCs w:val="18"/>
          <w:color w:val="auto"/>
        </w:rPr>
        <w:t>As of April 30, 2016, we had $254.6 million of gross unrecognized tax benefits, excluding interest, of which approximately $239.9 million represents the amount of unrecognized tax benefits that would impact the effective tax rate, if recognized. However, this rate impact would be offset to the extent that recognition of unrecognized tax benefits currently presented as a reduction of deferred tax assets would increase the valuation allowance. It is possible that the amount of unrecognized tax benefits will change in the next twelve months; however, an estimate of the range of the possible change cannot be made at this time.</w:t>
      </w:r>
    </w:p>
    <w:p>
      <w:pPr>
        <w:spacing w:after="0" w:line="188"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are currently the subject of a tax audit in China covering certain transfer pricing matters from 2004-2013. On May 12, 2016, the China Tax Authority (the "CTA") provided an outline of the CTA's current position, but no adjustment has been proposed. We are currently evaluating that information and believe it is reasonably possible that a future settlement could result in a material tax charge. However, an estimate of the possible tax charge cannot be made based on information available at the balance sheet date.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0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months ended April 30, 2016 and 2015,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r>
      <w:tr>
        <w:trPr>
          <w:trHeight w:val="196"/>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7"/>
                <w:szCs w:val="17"/>
                <w:color w:val="auto"/>
              </w:rPr>
            </w:pP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419.4</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554.7</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1"/>
              <w:spacing w:after="0"/>
              <w:rPr>
                <w:sz w:val="20"/>
                <w:szCs w:val="20"/>
                <w:color w:val="auto"/>
              </w:rPr>
            </w:pPr>
            <w:r>
              <w:rPr>
                <w:rFonts w:ascii="Arial" w:cs="Arial" w:eastAsia="Arial" w:hAnsi="Arial"/>
                <w:sz w:val="16"/>
                <w:szCs w:val="16"/>
                <w:color w:val="auto"/>
              </w:rPr>
              <w:t>433.8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571.1</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82 %</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8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85 %</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from operations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(155.0)</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21.5</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(loss) income from operations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(27.0)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94.1</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8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(173.0)</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19.1</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net (loss)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(23.0)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69.1</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income per share (1)</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(0.77)</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0.08</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diluted net (loss) income per share (1)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(0.10)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0.30</w:t>
            </w:r>
          </w:p>
        </w:tc>
      </w:tr>
      <w:tr>
        <w:trPr>
          <w:trHeight w:val="33"/>
        </w:trPr>
        <w:tc>
          <w:tcPr>
            <w:tcW w:w="8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224.4</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231.7</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280" w:type="dxa"/>
            <w:vAlign w:val="bottom"/>
          </w:tcPr>
          <w:p>
            <w:pPr>
              <w:spacing w:after="0"/>
              <w:rPr>
                <w:sz w:val="20"/>
                <w:szCs w:val="20"/>
                <w:color w:val="auto"/>
              </w:rPr>
            </w:pPr>
          </w:p>
        </w:tc>
        <w:tc>
          <w:tcPr>
            <w:tcW w:w="1120" w:type="dxa"/>
            <w:vAlign w:val="bottom"/>
          </w:tcPr>
          <w:p>
            <w:pPr>
              <w:jc w:val="right"/>
              <w:ind w:right="181"/>
              <w:spacing w:after="0"/>
              <w:rPr>
                <w:sz w:val="20"/>
                <w:szCs w:val="20"/>
                <w:color w:val="auto"/>
              </w:rPr>
            </w:pPr>
            <w:r>
              <w:rPr>
                <w:rFonts w:ascii="Arial" w:cs="Arial" w:eastAsia="Arial" w:hAnsi="Arial"/>
                <w:sz w:val="16"/>
                <w:szCs w:val="16"/>
                <w:color w:val="auto"/>
              </w:rPr>
              <w:t>224.4</w:t>
            </w:r>
          </w:p>
        </w:tc>
        <w:tc>
          <w:tcPr>
            <w:tcW w:w="4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231.7</w:t>
            </w:r>
          </w:p>
        </w:tc>
      </w:tr>
      <w:tr>
        <w:trPr>
          <w:trHeight w:val="249"/>
        </w:trPr>
        <w:tc>
          <w:tcPr>
            <w:tcW w:w="8660" w:type="dxa"/>
            <w:vAlign w:val="bottom"/>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ind w:left="420" w:right="16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income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and other facility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(loss)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and other facility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 income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 and other facility exit costs,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on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(provision) items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(loss) income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4579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r>
      <w:tr>
        <w:trPr>
          <w:trHeight w:val="190"/>
        </w:trPr>
        <w:tc>
          <w:tcPr>
            <w:tcW w:w="2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6"/>
                <w:szCs w:val="16"/>
                <w:color w:val="auto"/>
              </w:rPr>
            </w:pPr>
          </w:p>
        </w:tc>
      </w:tr>
      <w:tr>
        <w:trPr>
          <w:trHeight w:val="249"/>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419.4</w:t>
            </w:r>
          </w:p>
        </w:tc>
        <w:tc>
          <w:tcPr>
            <w:tcW w:w="1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554.7</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2.9</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13.5</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433.8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571.1</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4"/>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21.5</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50.2</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13.5</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8.9</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94.1</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4"/>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19.1</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50.2</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13.5</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8.9</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270"/>
        </w:trPr>
        <w:tc>
          <w:tcPr>
            <w:tcW w:w="26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69.1</w:t>
            </w:r>
          </w:p>
        </w:tc>
      </w:tr>
      <w:tr>
        <w:trPr>
          <w:trHeight w:val="33"/>
        </w:trPr>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400" w:space="720"/>
            <w:col w:w="2300"/>
          </w:cols>
          <w:pgMar w:left="240" w:top="580"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19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264"/>
        </w:trPr>
        <w:tc>
          <w:tcPr>
            <w:tcW w:w="9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income per share (1)</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7"/>
        </w:trPr>
        <w:tc>
          <w:tcPr>
            <w:tcW w:w="94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94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and other facility exit costs,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80" w:type="dxa"/>
            <w:vAlign w:val="bottom"/>
          </w:tcPr>
          <w:p>
            <w:pPr>
              <w:ind w:left="380"/>
              <w:spacing w:after="0"/>
              <w:rPr>
                <w:sz w:val="20"/>
                <w:szCs w:val="20"/>
                <w:color w:val="auto"/>
              </w:rPr>
            </w:pPr>
            <w:r>
              <w:rPr>
                <w:rFonts w:ascii="Arial" w:cs="Arial" w:eastAsia="Arial" w:hAnsi="Arial"/>
                <w:sz w:val="16"/>
                <w:szCs w:val="16"/>
                <w:color w:val="auto"/>
              </w:rPr>
              <w:t>Gain on strategic investments</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48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22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(loss) income per share (1)</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5"/>
              </w:rPr>
              <w:t>Shares included in non-GAAP net income per share, but excluded from GAAP net loss per share as they would have been anti-dilutive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33"/>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60" w:hanging="412"/>
        <w:spacing w:after="0" w:line="26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(loss) income per share was computed independently for each of the periods presented; therefore the sum of the net (loss) income per share amount for the quarters may not equal the total for the year.</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Restructuring charges and other facility exit costs (benefits), net. </w:t>
      </w:r>
      <w:r>
        <w:rPr>
          <w:rFonts w:ascii="Arial" w:cs="Arial" w:eastAsia="Arial" w:hAnsi="Arial"/>
          <w:sz w:val="18"/>
          <w:szCs w:val="18"/>
          <w:color w:val="auto"/>
        </w:rPr>
        <w:t>These expenses are associated with realigning our business strategies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 conditions. 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Loss (gain) on strategic investments. </w:t>
      </w:r>
      <w:r>
        <w:rPr>
          <w:rFonts w:ascii="Arial" w:cs="Arial" w:eastAsia="Arial" w:hAnsi="Arial"/>
          <w:sz w:val="17"/>
          <w:szCs w:val="17"/>
          <w:color w:val="auto"/>
        </w:rPr>
        <w:t>We exclude gains and losses related to our strategic investments from our non-GAAP measures primarily because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finds it useful to exclude these variable gains and losses on these investments in assessing our financial results. Included in these amounts are non-cash unrealized gains and losses on the derivative components, realized gains and losses on the sales or losses on the impairment of these investments. We believe excluding these items is useful to investors because these excluded items do not correlate to the underlying performance of our business and these losses or gains were incurred in connection with strategic investments which do not occur regularly.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6" w:right="239" w:bottom="1440" w:gutter="0" w:footer="0" w:header="0"/>
        </w:sectPr>
      </w:pPr>
    </w:p>
    <w:bookmarkStart w:id="38" w:name="page39"/>
    <w:bookmarkEnd w:id="38"/>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income, and include a non-GAAP tax</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facilities exit costs (benefits)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primary source of cash is from the sale of our term-based product licenses.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8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At April 30, 2016, our principal sources of liquidity were cash, cash equivalents and marketable securities totaling $2.8 billion and net accounts receivable of $256.4 million.</w:t>
      </w:r>
    </w:p>
    <w:p>
      <w:pPr>
        <w:spacing w:after="0" w:line="170"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June 2015, we issued $450.0 million aggregate principal amount of 3.125% notes due June 15, 2020 and $300.0 million aggregate principal amount of 4.375% notes due June 15, 2025. In December 2012, we issued $400.0 million aggregate principal amount of 1.95% notes due December 15, 2017 and $350.0 million aggregate principal amount of 3.6% notes due December 15, 2022 (all four series of notes collectively, the “Notes”). As of June 6, 2016, we have $1.5 billion aggregate principal amount of Notes outstanding. In addition, we have a line of credit facility that permits unsecured short-term borrowings of up to $400.0 million with a May 2020 maturity date. As of June 6, 2016, we have no amounts outstanding under the credit facility. Borrowings under the credit facility and the net proceeds from the offering of the Notes are available for general corporate purposes.</w:t>
      </w:r>
    </w:p>
    <w:p>
      <w:pPr>
        <w:spacing w:after="0" w:line="17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Our cash, cash equivalents and marketable securities remained flat at $2.8 billion as of April 30, 2016 as compared to January 31, 2016 primarily as a result of cash generated from operations offset by cash used for repurchases of our common stock (net of stock issuance proceeds), acquisitions including business combinations and technology purchases, and capital expenditures. The cash proceeds from issuance of common stock vary based on our stock price, stock option exercise activity and the volume of employee purchases under the Employee Stock Purchase Plan.</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primary source of net cash provided by operating activities of $164.4 million for the three months ended April 30, 2016 was cash flow provided by changes in operating assets and liabilities of $176.3 million. The primary working capital source of cash was a decrease in accounts receivable. The primary working capital uses of cash were decreases in accrued compensation and other accrued liabilities. Our days sales outstanding in trade receivables was 46 at April 30, 2016 compared to 92 at January 31, 2016. The days sales outstanding decrease relates primarily to a seasonal decline in maintenance billings and improved billings linearity.</w:t>
      </w:r>
    </w:p>
    <w:p>
      <w:pPr>
        <w:spacing w:after="0" w:line="18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At April 30, 2016, our short-term investment portfolio had an estimated fair value of $1,043.9 million and a cost basis of $1,042.3 million. The portfolio fair value consisted of $369.8 million invested in corporate bonds, $262.4 million invested in certificates of deposit, $156.7 million invested in commercial paper, $124.8 million invested in U.S. government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right="100"/>
        <w:spacing w:after="0" w:line="277" w:lineRule="auto"/>
        <w:rPr>
          <w:sz w:val="20"/>
          <w:szCs w:val="20"/>
          <w:color w:val="auto"/>
        </w:rPr>
      </w:pPr>
      <w:r>
        <w:rPr>
          <w:rFonts w:ascii="Arial" w:cs="Arial" w:eastAsia="Arial" w:hAnsi="Arial"/>
          <w:sz w:val="18"/>
          <w:szCs w:val="18"/>
          <w:color w:val="auto"/>
        </w:rPr>
        <w:t>$42.3 million invested in agency bonds, $24.0 million invested in sovereign debt, $11.1 million invested in asset backed securities, and $9.6 million invested in municipal bonds.</w:t>
      </w:r>
    </w:p>
    <w:p>
      <w:pPr>
        <w:spacing w:after="0" w:line="170"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At April 30, 2016, $43.2 million of trading securities were invested in a defined set of mutual funds as directed by the participants in our Deferred Compensation Plan (see Note 10, “Deferred Compensation,” in the Notes to Condensed Consolidated Financial Statements for further discussion).</w:t>
      </w:r>
    </w:p>
    <w:p>
      <w:pPr>
        <w:spacing w:after="0" w:line="124" w:lineRule="exact"/>
        <w:rPr>
          <w:sz w:val="20"/>
          <w:szCs w:val="20"/>
          <w:color w:val="auto"/>
        </w:rPr>
      </w:pPr>
    </w:p>
    <w:p>
      <w:pPr>
        <w:ind w:right="72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April 30, 2016,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2016.</w:t>
      </w:r>
    </w:p>
    <w:p>
      <w:pPr>
        <w:spacing w:after="0" w:line="18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cash, cash equivalent and marketable securities balances are concentrated in a few locations around the world, with substantial amounts held outside of the U.S. As of April 30, 2016, approximately 79% of our total cash, cash equivalents and marketable securities are located offshore and will fluctuate subject to business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regularly review our capital structure and consider a variety of potential financing alternatives and planning strategies to ensure we have the proper liquidity available in the locations in which it is needed and to fund our existing stock buyback program with cash that has not been permanently reinvested outside the U.S.</w:t>
      </w:r>
    </w:p>
    <w:p>
      <w:pPr>
        <w:spacing w:after="0" w:line="19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and economic conditions, the number of employee stock option exercises and restricted stock unit issuances, the trading price of Autodesk common stock, cash on hand and available in the United States, cash requirements for acquisitions, and Company defined trading windows.</w:t>
      </w:r>
    </w:p>
    <w:p>
      <w:pPr>
        <w:spacing w:after="0" w:line="173"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During the three months ended April 30, 2016, we repurchased 1.8 million shares of our common stock. At April 30, 2016, 4.5 million shares remained available for repurchase under the repurchase program approved by the Board of Directors. This program does not have a fixed expiration date. See Note 15, “Common Stock Repurchase Program,” in the Notes to Condensed Consolidated Financial Statements for further discussion.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ind w:left="42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2016:</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w:t>
            </w:r>
          </w:p>
        </w:tc>
        <w:tc>
          <w:tcPr>
            <w:tcW w:w="12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 the Plans or</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29</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51.95</w:t>
            </w: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0.1</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56.82</w:t>
            </w:r>
          </w:p>
        </w:tc>
        <w:tc>
          <w:tcPr>
            <w:tcW w:w="100" w:type="dxa"/>
            <w:vAlign w:val="bottom"/>
          </w:tcPr>
          <w:p>
            <w:pPr>
              <w:spacing w:after="0"/>
              <w:rPr>
                <w:sz w:val="20"/>
                <w:szCs w:val="20"/>
                <w:color w:val="auto"/>
              </w:rPr>
            </w:pPr>
          </w:p>
        </w:tc>
        <w:tc>
          <w:tcPr>
            <w:tcW w:w="2260" w:type="dxa"/>
            <w:vAlign w:val="bottom"/>
          </w:tcPr>
          <w:p>
            <w:pPr>
              <w:jc w:val="right"/>
              <w:ind w:right="23"/>
              <w:spacing w:after="0"/>
              <w:rPr>
                <w:sz w:val="20"/>
                <w:szCs w:val="20"/>
                <w:color w:val="auto"/>
              </w:rPr>
            </w:pPr>
            <w:r>
              <w:rPr>
                <w:rFonts w:ascii="Arial" w:cs="Arial" w:eastAsia="Arial" w:hAnsi="Arial"/>
                <w:sz w:val="16"/>
                <w:szCs w:val="16"/>
                <w:color w:val="auto"/>
              </w:rPr>
              <w:t>1.5</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57.70</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0.2</w:t>
            </w:r>
          </w:p>
        </w:tc>
        <w:tc>
          <w:tcPr>
            <w:tcW w:w="23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4"/>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1.8</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21"/>
                <w:szCs w:val="21"/>
                <w:color w:val="auto"/>
              </w:rPr>
            </w:pPr>
          </w:p>
        </w:tc>
        <w:tc>
          <w:tcPr>
            <w:tcW w:w="2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140" w:hanging="412"/>
        <w:spacing w:after="0" w:line="257"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June 2012 that authorized the repurchase of 30.0 million shares.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2016,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i w:val="1"/>
          <w:iCs w:val="1"/>
          <w:color w:val="auto"/>
        </w:rPr>
        <w:t>Annualized Recurring Revenue (ARR)—</w:t>
      </w:r>
      <w:r>
        <w:rPr>
          <w:rFonts w:ascii="Arial" w:cs="Arial" w:eastAsia="Arial" w:hAnsi="Arial"/>
          <w:sz w:val="17"/>
          <w:szCs w:val="17"/>
          <w:color w:val="auto"/>
        </w:rPr>
        <w:t>Represents the annualized value of our average monthly recurring revenue for the preceding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ARR" captures ARR relating to traditional maintenance attached to perpetual licenses. "New Model ARR" captures ARR relating to new model subscription offerings. Recurring revenue acquired with the acquisition of a business may cause variability in the comparison of this calculation. ARR is currently our key performance metric to assess the health and trajectory of our business. ARR should be viewed independently of revenue and deferred revenue as ARR is a performance metric and is not intended to be combined with any of these items.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Annualized Revenue Per Subscription (ARPS)—</w:t>
      </w:r>
      <w:r>
        <w:rPr>
          <w:rFonts w:ascii="Arial" w:cs="Arial" w:eastAsia="Arial" w:hAnsi="Arial"/>
          <w:sz w:val="18"/>
          <w:szCs w:val="18"/>
          <w:color w:val="auto"/>
        </w:rPr>
        <w:t>Is calculated by dividing our annualized recurring revenue by total subscriptions.</w:t>
      </w:r>
    </w:p>
    <w:p>
      <w:pPr>
        <w:spacing w:after="0" w:line="221" w:lineRule="exact"/>
        <w:rPr>
          <w:sz w:val="20"/>
          <w:szCs w:val="20"/>
          <w:color w:val="auto"/>
        </w:rPr>
      </w:pPr>
    </w:p>
    <w:p>
      <w:pPr>
        <w:ind w:right="22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ind w:right="36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i w:val="1"/>
          <w:iCs w:val="1"/>
          <w:color w:val="auto"/>
        </w:rPr>
        <w:t>Constant currency (CC)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Our constant currency methodology removes all hedging gains and losses from the calculation.</w:t>
      </w:r>
    </w:p>
    <w:p>
      <w:pPr>
        <w:spacing w:after="0" w:line="176"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i w:val="1"/>
          <w:iCs w:val="1"/>
          <w:color w:val="auto"/>
        </w:rPr>
        <w:t>Flexible Enterprise Business Agreements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seats to a broad pool of Autodesk products over a defined contract term.</w:t>
      </w:r>
    </w:p>
    <w:p>
      <w:pPr>
        <w:spacing w:after="0" w:line="162" w:lineRule="exact"/>
        <w:rPr>
          <w:sz w:val="20"/>
          <w:szCs w:val="20"/>
          <w:color w:val="auto"/>
        </w:rPr>
      </w:pPr>
    </w:p>
    <w:p>
      <w:pPr>
        <w:ind w:right="20" w:firstLine="405"/>
        <w:spacing w:after="0" w:line="303" w:lineRule="auto"/>
        <w:rPr>
          <w:sz w:val="20"/>
          <w:szCs w:val="20"/>
          <w:color w:val="auto"/>
        </w:rPr>
      </w:pPr>
      <w:r>
        <w:rPr>
          <w:rFonts w:ascii="Arial" w:cs="Arial" w:eastAsia="Arial" w:hAnsi="Arial"/>
          <w:sz w:val="16"/>
          <w:szCs w:val="16"/>
          <w:i w:val="1"/>
          <w:iCs w:val="1"/>
          <w:color w:val="auto"/>
        </w:rPr>
        <w:t>License and Other revenue</w:t>
      </w:r>
      <w:r>
        <w:rPr>
          <w:rFonts w:ascii="Arial" w:cs="Arial" w:eastAsia="Arial" w:hAnsi="Arial"/>
          <w:sz w:val="16"/>
          <w:szCs w:val="16"/>
          <w:b w:val="1"/>
          <w:bCs w:val="1"/>
          <w:color w:val="auto"/>
        </w:rPr>
        <w:t>—</w:t>
      </w:r>
      <w:r>
        <w:rPr>
          <w:rFonts w:ascii="Arial" w:cs="Arial" w:eastAsia="Arial" w:hAnsi="Arial"/>
          <w:sz w:val="16"/>
          <w:szCs w:val="16"/>
          <w:color w:val="auto"/>
        </w:rPr>
        <w:t>License and other revenue consists of two components: (1) all forms of product license revenue and (2)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license revenue includes software license revenue from the sale of perpetual licenses, term-based licenses from our product subscriptions and flexible enterprise business agreements, and product revenue for Creative Finishing. Other revenue includes revenue from consulting, training, Autodesk Developers Network and Creative Finishing customer support, and is recognized over time, as the services are performed.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4" w:right="259" w:bottom="1440" w:gutter="0" w:footer="0" w:header="0"/>
        </w:sectPr>
      </w:pPr>
    </w:p>
    <w:bookmarkStart w:id="41" w:name="page42"/>
    <w:bookmarkEnd w:id="41"/>
    <w:p>
      <w:pPr>
        <w:ind w:right="100"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i w:val="1"/>
          <w:iCs w:val="1"/>
          <w:color w:val="auto"/>
        </w:rPr>
        <w:t>New Model Subscription Offerings (New Model)</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(formerly titled Desktop subscription), cloud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 and flexible enterprise business agreements.</w:t>
      </w:r>
    </w:p>
    <w:p>
      <w:pPr>
        <w:spacing w:after="0" w:line="162" w:lineRule="exact"/>
        <w:rPr>
          <w:sz w:val="20"/>
          <w:szCs w:val="20"/>
          <w:color w:val="auto"/>
        </w:rPr>
      </w:pPr>
    </w:p>
    <w:p>
      <w:pPr>
        <w:ind w:right="320" w:firstLine="405"/>
        <w:spacing w:after="0" w:line="303" w:lineRule="auto"/>
        <w:rPr>
          <w:sz w:val="20"/>
          <w:szCs w:val="20"/>
          <w:color w:val="auto"/>
        </w:rPr>
      </w:pPr>
      <w:r>
        <w:rPr>
          <w:rFonts w:ascii="Arial" w:cs="Arial" w:eastAsia="Arial" w:hAnsi="Arial"/>
          <w:sz w:val="16"/>
          <w:szCs w:val="16"/>
          <w:i w:val="1"/>
          <w:iCs w:val="1"/>
          <w:color w:val="auto"/>
        </w:rPr>
        <w:t>Recurring Revenue</w:t>
      </w:r>
      <w:r>
        <w:rPr>
          <w:rFonts w:ascii="Arial" w:cs="Arial" w:eastAsia="Arial" w:hAnsi="Arial"/>
          <w:sz w:val="16"/>
          <w:szCs w:val="16"/>
          <w:b w:val="1"/>
          <w:bCs w:val="1"/>
          <w:color w:val="auto"/>
        </w:rPr>
        <w:t>—</w:t>
      </w:r>
      <w:r>
        <w:rPr>
          <w:rFonts w:ascii="Arial" w:cs="Arial" w:eastAsia="Arial" w:hAnsi="Arial"/>
          <w:sz w:val="16"/>
          <w:szCs w:val="16"/>
          <w:color w:val="auto"/>
        </w:rPr>
        <w:t>Represents the revenue for the period from our traditional maintenance plans and revenue from our new model subscription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offerings, including portions of revenue allocated to license &amp; other revenue for those offerings. It excludes subscription revenue related to education offerings, consumer product offerings, select Creative Finishing product offerings, Autodesk Buzzsaw, Autodesk Constructware, and third party products. Recurring revenue acquired with the acquisition of a business is captured and may cause variability in the comparison of this calculation.</w:t>
      </w:r>
    </w:p>
    <w:p>
      <w:pPr>
        <w:spacing w:after="0" w:line="151" w:lineRule="exact"/>
        <w:rPr>
          <w:sz w:val="20"/>
          <w:szCs w:val="20"/>
          <w:color w:val="auto"/>
        </w:rPr>
      </w:pPr>
    </w:p>
    <w:p>
      <w:pPr>
        <w:ind w:right="60" w:firstLine="405"/>
        <w:spacing w:after="0" w:line="289" w:lineRule="auto"/>
        <w:rPr>
          <w:sz w:val="20"/>
          <w:szCs w:val="20"/>
          <w:color w:val="auto"/>
        </w:rPr>
      </w:pPr>
      <w:r>
        <w:rPr>
          <w:rFonts w:ascii="Arial" w:cs="Arial" w:eastAsia="Arial" w:hAnsi="Arial"/>
          <w:sz w:val="17"/>
          <w:szCs w:val="17"/>
          <w:i w:val="1"/>
          <w:iCs w:val="1"/>
          <w:color w:val="auto"/>
        </w:rPr>
        <w:t>Suites</w:t>
      </w:r>
      <w:r>
        <w:rPr>
          <w:rFonts w:ascii="Arial" w:cs="Arial" w:eastAsia="Arial" w:hAnsi="Arial"/>
          <w:sz w:val="17"/>
          <w:szCs w:val="17"/>
          <w:b w:val="1"/>
          <w:bCs w:val="1"/>
          <w:color w:val="auto"/>
        </w:rPr>
        <w:t>—</w:t>
      </w:r>
      <w:r>
        <w:rPr>
          <w:rFonts w:ascii="Arial" w:cs="Arial" w:eastAsia="Arial" w:hAnsi="Arial"/>
          <w:sz w:val="17"/>
          <w:szCs w:val="17"/>
          <w:color w:val="auto"/>
        </w:rPr>
        <w:t>Autodesk suites are a combination of products that target a specific user objective (product design, building design, etc.) and support a set of</w:t>
      </w:r>
      <w:r>
        <w:rPr>
          <w:rFonts w:ascii="Arial" w:cs="Arial" w:eastAsia="Arial" w:hAnsi="Arial"/>
          <w:sz w:val="17"/>
          <w:szCs w:val="17"/>
          <w:i w:val="1"/>
          <w:iCs w:val="1"/>
          <w:color w:val="auto"/>
        </w:rPr>
        <w:t xml:space="preserve"> </w:t>
      </w:r>
      <w:r>
        <w:rPr>
          <w:rFonts w:ascii="Arial" w:cs="Arial" w:eastAsia="Arial" w:hAnsi="Arial"/>
          <w:sz w:val="17"/>
          <w:szCs w:val="17"/>
          <w:color w:val="auto"/>
        </w:rPr>
        <w:t>workflows for that objective. Our primary suites include: Autodesk Building Design Suite, Autodesk Entertainment Creation Suite, Autodesk Factory Design Suite, Autodesk Infrastructure Design Suite, Autodesk Plant Design Suite, and Autodesk Product Design Suite.</w:t>
      </w:r>
    </w:p>
    <w:p>
      <w:pPr>
        <w:spacing w:after="0" w:line="158"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Subscription revenue</w:t>
      </w:r>
      <w:r>
        <w:rPr>
          <w:rFonts w:ascii="Arial" w:cs="Arial" w:eastAsia="Arial" w:hAnsi="Arial"/>
          <w:sz w:val="18"/>
          <w:szCs w:val="18"/>
          <w:b w:val="1"/>
          <w:bCs w:val="1"/>
          <w:color w:val="auto"/>
        </w:rPr>
        <w:t>—</w:t>
      </w:r>
      <w:r>
        <w:rPr>
          <w:rFonts w:ascii="Arial" w:cs="Arial" w:eastAsia="Arial" w:hAnsi="Arial"/>
          <w:sz w:val="18"/>
          <w:szCs w:val="18"/>
          <w:color w:val="auto"/>
        </w:rPr>
        <w:t>Autodesk subscription revenue consists of three components: (1) maintenance revenue from our perpetual software products; (2)</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revenue from our term-based product subscriptions and flexible enterprise business agreements; and (3) revenue from our cloud service offerings.</w:t>
      </w:r>
    </w:p>
    <w:p>
      <w:pPr>
        <w:spacing w:after="0" w:line="18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color w:val="auto"/>
        </w:rPr>
        <w:t>—Consists of subscriptions from our maintenance plans and new model subscription offerings that are active and paid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end date. For certain cloud service offerings and flexible enterprise business agreements,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2016 and January 31, 2016,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$354.0 million and $374.0 million at April 30, 2016 and January 31, 2016, respectively.</w:t>
      </w:r>
    </w:p>
    <w:p>
      <w:pPr>
        <w:spacing w:after="0" w:line="17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April 30, 2016 indicated that a hypothetical 10% appreciation of the U.S. dollar from its value at April 30, 2016 and January 31, 2016 would increase the fair value of our foreign currency contracts by $17.6 million and $33.3 million, respectively. A hypothetical 10% depreciation of the dollar from its value at April 30, 2016 and January 31, 2016 would decrease the fair value of our foreign currency contracts by $27.4 million and $25.6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 term investments and the market value of certain longer term securities. At April 30, 2016, we had $2.3 billion of cash equivalents and marketable securities, including $1,043.9 million classified as short-term marketable securities and $538.9 million classified as long-term marketable securities. If interest rates were to move up or down by 50 or 100 basis points over a twelve month period, the market value change of our marketable securities would have an unrealized gain or loss of $6.0 million and $10.6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4, "Financial Instruments," for further discussion regarding our privately held investments.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right="340" w:firstLine="8"/>
        <w:spacing w:after="0" w:line="270" w:lineRule="auto"/>
        <w:tabs>
          <w:tab w:leader="none" w:pos="2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the rules of the Securities and Exchange Commission,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Quarterly Report on Form 10-Q. Based upon this evaluation, our Chief Executive Officer and Chief Financial Officer have concluded that our disclosure controls and procedures were not effective as of April 30, 2016 for the reasons described below.</w:t>
      </w:r>
    </w:p>
    <w:p>
      <w:pPr>
        <w:spacing w:after="0" w:line="17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We have performed additional analyses and other procedures to enable management to conclude that, notwithstanding the existence of the material weakness described above, the consolidated financial statements included in this Form 10-Q present fairly, in all material respects, our financial position, results of operations and cash flows for the periods presented in conformity with GAAP.</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80"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Remediation Efforts with Respect to Material Weakness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initiated remediation plans including the following:</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assessed </w:t>
      </w:r>
      <w:r>
        <w:rPr>
          <w:rFonts w:ascii="Arial" w:cs="Arial" w:eastAsia="Arial" w:hAnsi="Arial"/>
          <w:sz w:val="19"/>
          <w:szCs w:val="19"/>
          <w:color w:val="auto"/>
        </w:rPr>
        <w:t>an</w:t>
      </w:r>
      <w:r>
        <w:rPr>
          <w:rFonts w:ascii="Arial" w:cs="Arial" w:eastAsia="Arial" w:hAnsi="Arial"/>
          <w:sz w:val="18"/>
          <w:szCs w:val="18"/>
          <w:color w:val="auto"/>
        </w:rPr>
        <w:t>d reorganized the structure of our tax function to enhance the level of documentation, technical oversight and review</w:t>
      </w:r>
    </w:p>
    <w:p>
      <w:pPr>
        <w:spacing w:after="0" w:line="230" w:lineRule="exact"/>
        <w:rPr>
          <w:sz w:val="20"/>
          <w:szCs w:val="20"/>
          <w:color w:val="auto"/>
        </w:rPr>
      </w:pPr>
    </w:p>
    <w:p>
      <w:pPr>
        <w:jc w:val="both"/>
        <w:ind w:right="120" w:firstLine="392"/>
        <w:spacing w:after="0" w:line="286" w:lineRule="auto"/>
        <w:rPr>
          <w:sz w:val="20"/>
          <w:szCs w:val="20"/>
          <w:color w:val="auto"/>
        </w:rPr>
      </w:pPr>
      <w:r>
        <w:rPr>
          <w:rFonts w:ascii="Arial" w:cs="Arial" w:eastAsia="Arial" w:hAnsi="Arial"/>
          <w:sz w:val="17"/>
          <w:szCs w:val="17"/>
          <w:color w:val="auto"/>
        </w:rPr>
        <w:t>Management will continue to enhance its controls to include refinements and improvements to certain controls over the accounting for income taxes. The Company’s enhanced controls will continue to evolve and have not had a sufficient period of time to operate for management to conclude that they are operating effectively. Management believes the foregoing efforts will effectively remediate the material weakness.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than with respect to the remediation efforts described above, there were no changes in our internal control over financial reporting (as such term is defined in Rules 13a-15(f) and 15d-15(f) under the Exchange Act) during the quarter ended April 30, 2016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580"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business, financial results and financial condition.</w:t>
      </w:r>
    </w:p>
    <w:p>
      <w:pPr>
        <w:spacing w:after="0" w:line="225"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global economic and political conditions. The past several years were characterized by mixed global economic conditions, volatile credit markets, volatile exchange rates, relatively high unemployment, increased government deficit spending and debt levels, uncertainty about certain governments' abilities to repay such debt or to address certain fiscal issues, and volatility in many financial instrument markets. If economic growth in countries where we do business slows, such as in Japan or in emerging economies, or if such countries experience further economic recessions, customers may delay or reduce technology purchases. This could result in reductions in sales of our products and services, longer sales cycles and slower adoption of our technologies.</w:t>
      </w:r>
    </w:p>
    <w:p>
      <w:pPr>
        <w:spacing w:after="0" w:line="165" w:lineRule="exact"/>
        <w:rPr>
          <w:sz w:val="20"/>
          <w:szCs w:val="20"/>
          <w:color w:val="auto"/>
        </w:rPr>
      </w:pPr>
    </w:p>
    <w:p>
      <w:pPr>
        <w:ind w:right="220" w:firstLine="392"/>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have caused many countries to reduce spending and in some cases have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Moreover, our financial performance may be negatively impacted by:</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which may impair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decreased borrowing and spending by our end users on small and large projects in the industries we serve, thereby reducing demand for our products.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ind w:right="140" w:firstLine="392"/>
        <w:spacing w:after="0" w:line="277" w:lineRule="auto"/>
        <w:rPr>
          <w:sz w:val="20"/>
          <w:szCs w:val="20"/>
          <w:color w:val="auto"/>
        </w:rPr>
      </w:pPr>
      <w:r>
        <w:rPr>
          <w:rFonts w:ascii="Arial" w:cs="Arial" w:eastAsia="Arial" w:hAnsi="Arial"/>
          <w:sz w:val="18"/>
          <w:szCs w:val="18"/>
          <w:color w:val="auto"/>
        </w:rPr>
        <w:t>Uncertainty about current and future economic and political conditions on us, our customers and partners, makes it difficult for us to forecast operating results and to make decisions about future investments.</w:t>
      </w:r>
    </w:p>
    <w:p>
      <w:pPr>
        <w:spacing w:after="0" w:line="170" w:lineRule="exact"/>
        <w:rPr>
          <w:sz w:val="20"/>
          <w:szCs w:val="20"/>
          <w:color w:val="auto"/>
        </w:rPr>
      </w:pPr>
    </w:p>
    <w:p>
      <w:pPr>
        <w:ind w:right="320" w:firstLine="392"/>
        <w:spacing w:after="0" w:line="277" w:lineRule="auto"/>
        <w:rPr>
          <w:sz w:val="20"/>
          <w:szCs w:val="20"/>
          <w:color w:val="auto"/>
        </w:rPr>
      </w:pPr>
      <w:r>
        <w:rPr>
          <w:rFonts w:ascii="Arial" w:cs="Arial" w:eastAsia="Arial" w:hAnsi="Arial"/>
          <w:sz w:val="18"/>
          <w:szCs w:val="18"/>
          <w:color w:val="auto"/>
        </w:rPr>
        <w:t>Further macro-economic degradation, a slower economic recovery in industries important to our business or adverse exchange rate movements, may adversely affect our business, financial results and financial condition.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right="140" w:firstLine="378"/>
        <w:spacing w:after="0" w:line="290" w:lineRule="auto"/>
        <w:rPr>
          <w:sz w:val="20"/>
          <w:szCs w:val="20"/>
          <w:color w:val="auto"/>
        </w:rPr>
      </w:pPr>
      <w:r>
        <w:rPr>
          <w:rFonts w:ascii="Arial" w:cs="Arial" w:eastAsia="Arial" w:hAnsi="Arial"/>
          <w:sz w:val="16"/>
          <w:szCs w:val="16"/>
          <w:color w:val="auto"/>
        </w:rPr>
        <w:t>To address the industry transition from personal computer to cloud, mobile, and social computing, we have accelerated our move to the cloud and are offering more flexible product licenses. To support our transition, we discontinued selling new perpetual licenses of most individual software products effective February 1, 2016, and plan to discontinue selling new perpetual licenses of suites effective August 1, 2016. As a result, we expect to derive an increasing portion of our revenues in the future from subscriptions. This subscription model prices and delivers our products in a way that differs from the historical perpetual pricing and delivery methods. These changes reflect a significant shift from perpetual license sales and distribution of our software in favor of providing our customers the right to access certain of our software in a hosted environment or use downloaded software for a specified subscription period. During our transition, revenue, billings, gross margin, operating margin, net income (loss), earnings (loss) per share, deferred revenue, and cash flow from operations will be impacted as more revenue is recognized ratably rather than up front and as new offerings bring a wider variety of price points.</w:t>
      </w:r>
    </w:p>
    <w:p>
      <w:pPr>
        <w:spacing w:after="0" w:line="16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our business model transition will prove successful and will accomplish our business and financial objectives is subject to numerous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may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are also developing consumer products for digital art, personal design and creativity, and home design.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8"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services. We want customers using individual Autodesk products to expand their portfolio with our other offerings and cloud-based services, and we are taking steps to accelerate this migration. At times, sales of licenses of our AutoCAD and AutoCAD LT or individual Autodesk flagship products have decreased without a corresponding increase in suites product or cloud-based services revenue or without purchases of customer seats to our suites. Should this continue, our results of operations will be adversely affected. Also,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ind w:right="20"/>
        <w:spacing w:after="0" w:line="257" w:lineRule="auto"/>
        <w:rPr>
          <w:sz w:val="20"/>
          <w:szCs w:val="20"/>
          <w:color w:val="auto"/>
        </w:rPr>
      </w:pPr>
      <w:r>
        <w:rPr>
          <w:rFonts w:ascii="Arial" w:cs="Arial" w:eastAsia="Arial" w:hAnsi="Arial"/>
          <w:sz w:val="18"/>
          <w:szCs w:val="18"/>
          <w:color w:val="auto"/>
        </w:rPr>
        <w:t>adoption of our cloud and mobile computing offerings and changes in the delivery of our software and services to our customers, such as desktop subscription (formally referred to as rental)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entry into 3D printing presents many of the risks described above concerning developing and introducing new products as well as new risks for us. The manufacturing and 3D printing markets are highly competitive and some of our competitors have experience and resources superior to ours. We have limited experience designing, developing, and selling hardware products and no experience developing and selling printers. The market for 3D printing is nascent and may not develop as rapidly as we expect. Our sale of 3D printers could subject us to product and other liability that we do not currently face. If any of these risks materialize, it could adversely affect our business and financial performance as well as our reputation and brand.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our offerings may be difficult to predict during our business model transition.</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The discontinuance of our perpetual licenses for most individual software products on February 1, 2016 and for perpetual suites on August 1, 2016 will result in the loss of future up-front licensing revenue. This also will freeze the growth of our maintenance subscription revenue because there will be no further opportunities to attach maintenance licensing once we cease the sale of suites licenses. We expect our maintenance subscription revenue to decline over time, but it may decline more quickly than anticipated due to low maintenance renewals. At the same time, our new model subscription revenue may not grow as rapidly as anticipated. Our new model subscription pricing allows customers to use our offerings at a lower initial cost when compared to the sale of a perpetual license. Although our new model subscriptions are designed to increase the number of customers who purchase offerings and create a recurring revenue stream that is more predictable over time, it creates risks related to the timing of revenue recognition and expected reductions in cash flows in the near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Actions that we are taking to restructure our business in alignment with our business model transition strategy may be costly and may not be as effective as anticipated.</w:t>
      </w:r>
    </w:p>
    <w:p>
      <w:pPr>
        <w:spacing w:after="0" w:line="170"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During the first quarter of fiscal 2017, we commenced a company-wide restructuring plan to accelerate the Company’s move to the cloud and its transition to a subscription-based business model. Through the restructuring, we seek to reduce expenses, streamline the organization, and reallocate resources to align more closely with the Company’s needs going forward. As a result of these actions, we have incurred and will incur additional costs in the short term that have the effect of reducing our operating margins. If we are unable to realize the expected outcomes from the restructuring efforts, our business and operating results may be harmed.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7" w:name="page48"/>
    <w:bookmarkEnd w:id="47"/>
    <w:p>
      <w:pPr>
        <w:ind w:right="82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6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64% and 69% of our net revenue for the three months ended April 30, 2016 and 2015,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a significant portion of our earnings from our international operations may not be freely transferable to the U.S. due to remittance restrictions, adverse tax consequences or other factors. Our intent is that amounts related to foreign earnings permanently reinvested outside the U.S. will remain outside the U.S., and we will meet our U.S. liquidity needs through ongoing cash flows, external borrowings (such as our 2012 and 2015 Notes), or both. However, if, in the future, amounts held by foreign subsidiaries are needed to fund our operations in the U.S., or to service our external borrowings, the repatriation of such amounts to the U.S. could result in a significant incremental tax liability in the period in which the decision to repatriate occurs and payment of any such tax liability would reduce the cash available to fund our operations.</w:t>
      </w:r>
    </w:p>
    <w:p>
      <w:pPr>
        <w:spacing w:after="0" w:line="18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w:t>
      </w:r>
    </w:p>
    <w:p>
      <w:pPr>
        <w:spacing w:after="0" w:line="18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fluctuating currency exchange rates, including risks related to any hedging activities we undertake;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changes in tax laws, including possible U.S. and foreign tax law changes that, if enacted, could significantly impact how multinational companies are taxed;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800" w:right="279" w:bottom="1440" w:gutter="0" w:footer="0" w:header="0"/>
        </w:sectPr>
      </w:pPr>
    </w:p>
    <w:bookmarkStart w:id="49" w:name="page50"/>
    <w:bookmarkEnd w:id="49"/>
    <w:p>
      <w:pPr>
        <w:ind w:right="360"/>
        <w:spacing w:after="0" w:line="277" w:lineRule="auto"/>
        <w:rPr>
          <w:sz w:val="20"/>
          <w:szCs w:val="20"/>
          <w:color w:val="auto"/>
        </w:rPr>
      </w:pPr>
      <w:r>
        <w:rPr>
          <w:rFonts w:ascii="Arial" w:cs="Arial" w:eastAsia="Arial" w:hAnsi="Arial"/>
          <w:sz w:val="18"/>
          <w:szCs w:val="18"/>
          <w:i w:val="1"/>
          <w:iCs w:val="1"/>
          <w:color w:val="auto"/>
        </w:rPr>
        <w:t>A breach of security in our products, services or computer systems may compromise the integrity of our products or services, harm our reputation, create additional liability and adversely impact our financial results.</w:t>
      </w:r>
    </w:p>
    <w:p>
      <w:pPr>
        <w:spacing w:after="0" w:line="17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make significant efforts to maintain the security and integrity of our source code and computer systems. The risk of a security breach or disruption,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backdoor trojans and distributed denial of service (DDoS) attacks. Any of the foregoing could attack our products, services or computer systems. Despite significant efforts to create security barriers to such programs, it is virtually impossible for us to entirely eliminate this risk. Like all software, our software is vulnerable to cyber attacks. In the past, hackers have targeted our software, and they may do so in the future. The impact of cyber attacks could disrupt the proper functioning of our software products or services, cause errors in the output of our customers' work, allow unauthorized access to sensitive, proprietary or confidential information of ours or our customers, and other destructive outcomes. Moreover, as we continue to invest in new lines of consumer products and services we are exposed to increased security risks and the potential for unauthorized access to, or improper use of, the information of our consumer users. If any of the foregoing were to occur, our reputation may suffer, customers may stop buying our products or services, we could face lawsuits and potential liability, and our financial performance could be negatively impacted.</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Changes in laws or regulations related to the Internet, local data storage or related to privacy and data security concerns may impact our business or expose us to increased liability.</w:t>
      </w:r>
    </w:p>
    <w:p>
      <w:pPr>
        <w:spacing w:after="0" w:line="17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data privacy and the transmission of certain types of content using the Internet. For example, the State of California has adopted legislation requiring operators of commercial websites and mobile applications that collect personal information from California residents to conspicuously post and comply with privacy policies that satisfy certain requirements. Several other U.S. states have adopted legislation requiring companies to protect the security of personal information that they collect from consumers over the Internet, and more states may adopt similar legislation in the future. Additionally, the Federal Trade Commission has used its authority under Section 5 of the Federal Trade Commission Act to bring actions against companies for failing to maintain adequate security for personal information collected from consumers over the Internet and for failing to comply with privacy- related representations made to Internet users. The U.S. Congress has at various times proposed federal legislation intended to protect the privacy of Internet users and the security of personal information collected from Internet users that would impose additional compliance burdens upon companies collecting personal information from Internet users, and the U.S. Congress may adopt such legislation in the future. The European Union also has adopted various directives regulating data privacy and security and the transmission of content using the Internet involving residents of the European Union, including those directives known as the Data Protection Directive, the E-Privacy Directive, and the Privacy and Electronic Communications Directive, and may adopt similar directives in the future. Other countries, including Canada and several Latin American and Asian countries, have constitutional protections for, or have adopted legislation protecting, individuals' personal information. Additionally, some federal, state, or foreign governmental bodies have established laws that seek to censor the transmission of certain types of content over the Internet or require that individuals be provided with the ability to permanently delete all electronic personal information, such as the German Multimedia Law of 1997 and the California “Eraser law” for minors. Additionally, some foreign governmental bodies (such as Russia and China) have established laws or have proposed laws that seek to require local data storage.</w:t>
      </w:r>
    </w:p>
    <w:p>
      <w:pPr>
        <w:spacing w:after="0" w:line="173"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In addition, new laws and industry self-regulatory codes have been enacted and more are being considered that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w:t>
      </w:r>
    </w:p>
    <w:p>
      <w:pPr>
        <w:spacing w:after="0" w:line="147"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Given the variety of global privacy and data protection regimes, it is possible we may find ourselves subject to inconsistent obligations. For instance, the USA Patriot Act is considered by some to be in conflict with certain directives of the European Union. Situations such as these require that we make prospective determinations regarding compliance with conflicting regulations. Increased enforcement of existing laws and regulations, as well as any laws, regulations or changes that may be adopted or implemented in the future, could limit the growth of the use of public cloud applications or communications generally, result in a decline in the use of the Internet and the viability of Internet-based applications, and require us to implement additional technological safeguards.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0" w:name="page51"/>
    <w:bookmarkEnd w:id="50"/>
    <w:p>
      <w:pPr>
        <w:ind w:right="120" w:firstLine="392"/>
        <w:spacing w:after="0" w:line="257" w:lineRule="auto"/>
        <w:rPr>
          <w:sz w:val="20"/>
          <w:szCs w:val="20"/>
          <w:color w:val="auto"/>
        </w:rPr>
      </w:pPr>
      <w:r>
        <w:rPr>
          <w:rFonts w:ascii="Arial" w:cs="Arial" w:eastAsia="Arial" w:hAnsi="Arial"/>
          <w:sz w:val="18"/>
          <w:szCs w:val="18"/>
          <w:color w:val="auto"/>
        </w:rPr>
        <w:t>In addition, in October 2015 the European Court of Justice issued a ruling immediately invalidating the U.S.-EU Safe Harbor Framework, which facilitated personal data transfers to the U.S. in compliance with applicable EU data protection laws. In February of 2016, the European Commission and the United States agreed on a new framework for transatlantic data flows: the EU-US Privacy Shield. Autodesk is currently awaiting additional guidance from European regulators on how the EU-US Privacy Shield will be implemented. We continue to comply with the previous Safe Harbor principles and rely on other legal mechanisms for data transfers.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could impact our new business models and expose us to increased liability.</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Governments, privacy advocates and class action attorneys are increasingly scrutinizing how companies collect, process, use, store, share or transmit personal data. Any perception of our practices or products as an invasion of privacy, whether or not consistent with current regulations and industry practices, may subject us to public criticism, class action lawsuits, reputational harm or claims by regulators, industry groups or other third parties, all of which could disrupt our business and expose us to increased liability.</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and certain of our customer services and other operations and processing of data; any interruption or delay in service from these third parties, breaches of security or privacy could expose us to liability, harm our reputation and adversely impact our financial performance.</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or result in the theft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Unauthorized access to this data may be obtained through break-ins, breaches of our secure networks by unauthorized parties, employee theft or misuse, or other misconduct. We rely on a number of third party suppliers in the operation of our business for the provision of various services and materials that we use in the operation of our business and production of our products.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2016 and 2015, approximately 75% and 81%, respectively,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 Tech Data Corporation and its global affiliates (“Tech Data”). Tech Data accounted for 29% of our total net revenue for the three months ended April 30, 2016, as compared to 26% of our total net revenue for the three months ended April 30, 2015.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1" w:name="page52"/>
    <w:bookmarkEnd w:id="51"/>
    <w:p>
      <w:pPr>
        <w:ind w:firstLine="39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renewal rates would negatively impact our future revenue and financial results.</w:t>
      </w:r>
    </w:p>
    <w:p>
      <w:pPr>
        <w:spacing w:after="0" w:line="170"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7"/>
          <w:szCs w:val="17"/>
          <w:color w:val="auto"/>
        </w:rPr>
        <w:t>Our maintenance customers have no obligation to attach maintenance to their initial license or renew their maintenance contract after the expiration of their initial maintenance period, which is typically one year. The discontinuance of our perpetual licenses for most individual software products on February 1, 2016 and for perpetual suites on August 1, 2016 will result in the loss of future maintenance attach opportunities and freeze maintenance growth. Once we discontinue new perpetual suites we expect customers' renewal rates will decline or fluctuate over time as a result of a number of factors, including the overall global economy, the health of their businesses, and the perceived value of the maintenance program. If our customers do not renew their maintenance contract for our products, our maintenance revenue will decline and our financial results will suffer.</w:t>
      </w:r>
    </w:p>
    <w:p>
      <w:pPr>
        <w:spacing w:after="0" w:line="178"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upgrades and perpetual licenses;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2" w:name="page53"/>
    <w:bookmarkEnd w:id="52"/>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growth or contraction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180"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cloud services-related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breaches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52"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8"/>
          </w:cols>
          <w:pgMar w:left="572" w:top="584" w:right="379" w:bottom="1440" w:gutter="0" w:footer="0" w:header="0"/>
        </w:sectPr>
      </w:pPr>
    </w:p>
    <w:bookmarkStart w:id="53" w:name="page54"/>
    <w:bookmarkEnd w:id="53"/>
    <w:p>
      <w:pPr>
        <w:ind w:right="28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20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For example, we face risks relating to our fiscal 2017 integration of our Delcam subsidiaries, which previously operated autonomously.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 based software products and suites, if these products are not successful, our revenue will be adversely affected.</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licenses of a limited number of our products, including AutoCAD software and products based on AutoCAD, which include our suites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2016, combined revenue from our AutoCAD and AutoCAD LT products, not including suites having AutoCAD or AutoCAD LT as a component, represented 17% of total net revenue compared to 25% during the three months ended April 30, 2015.</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800"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If we fail to remediate the material weakness identified in our internal control over financial reporting under Section 404 of the Sarbanes-Oxley Act of 2002 or are unable to implement and maintain effective internal control over financial reporting in the future, the accuracy and timeliness of our financial and operating reporting may be adversely affected and could result in a loss of investor confidence in our financial reports and have an adverse effect on our stock price.</w:t>
      </w:r>
    </w:p>
    <w:p>
      <w:pPr>
        <w:spacing w:after="0" w:line="187"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In connection with the preparation of our Condensed Consolidated Financial Statements for the fiscal quarter ended October 31, 2015, our management identified a material weakness in our internal control over financial reporting related to our controls over the technical review of our reconciliation of our deferred tax accounts and the effective tax rate.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left="420"/>
        <w:spacing w:after="0"/>
        <w:rPr>
          <w:sz w:val="20"/>
          <w:szCs w:val="20"/>
          <w:color w:val="auto"/>
        </w:rPr>
      </w:pPr>
      <w:r>
        <w:rPr>
          <w:rFonts w:ascii="Arial" w:cs="Arial" w:eastAsia="Arial" w:hAnsi="Arial"/>
          <w:sz w:val="18"/>
          <w:szCs w:val="18"/>
          <w:color w:val="auto"/>
        </w:rPr>
        <w:t>Management initiated remediation plans including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our technical accounting review for complex income tax considerations;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our income tax controls to include specific activities to ensure proper classification of deferred taxes;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supplementing our accounting and tax professionals with the engagement of an internationally recognized accounting firm to assist us in the technical review regarding the application of tax rules around deferred tax assets and liabilities; and</w:t>
      </w:r>
    </w:p>
    <w:p>
      <w:pPr>
        <w:spacing w:after="0" w:line="16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assessed </w:t>
      </w:r>
      <w:r>
        <w:rPr>
          <w:rFonts w:ascii="Arial" w:cs="Arial" w:eastAsia="Arial" w:hAnsi="Arial"/>
          <w:sz w:val="19"/>
          <w:szCs w:val="19"/>
          <w:color w:val="auto"/>
        </w:rPr>
        <w:t>an</w:t>
      </w:r>
      <w:r>
        <w:rPr>
          <w:rFonts w:ascii="Arial" w:cs="Arial" w:eastAsia="Arial" w:hAnsi="Arial"/>
          <w:sz w:val="18"/>
          <w:szCs w:val="18"/>
          <w:color w:val="auto"/>
        </w:rPr>
        <w:t>d reorganized the structure of our tax function to enhance the level of documentation, technical oversight and review.</w:t>
      </w:r>
    </w:p>
    <w:p>
      <w:pPr>
        <w:spacing w:after="0" w:line="230"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There can be no assurance that our remedial measures will be sufficient to address the material weakness or that our internal control over financial reporting will not be subject to additional material weaknesses in the future. If the remedial measures that we take are insufficient to address our material weakness or if additional material weaknesses or significant deficiencies in our internal control are discovered or occur in the future, our Condensed Consolidated Financial Statements may contain material misstatements, and we could be required to restate our financial results. Additionally, we may encounter problems or delays in implementing any changes necessary for management to make a favorable assessment of our internal control over financial reporting. If we cannot favorably assess the effectiveness of our internal control over financial reporting, investors could lose confidence in our financial reports and the price of our common stock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billings, earnings, subscriptions, or other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results and future projections related to our business model transition, including the impact of the end of upgrades and perpetual licenses;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800" w:right="279" w:bottom="1440" w:gutter="0" w:footer="0" w:header="0"/>
        </w:sectPr>
      </w:pPr>
    </w:p>
    <w:bookmarkStart w:id="56" w:name="page57"/>
    <w:bookmarkEnd w:id="56"/>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investment income, or result in material charges, which in turn could impact our overall net income (loss) and earnings (loss) per share.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International Financial Reporting Standards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9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investing in resources to update and improve our information technology systems. Should our investments not succeed, or if delays or other issues with new or existing internal technology systems disrupt our operations, our business model transition could be compromised and our business could be harmed.</w:t>
      </w:r>
    </w:p>
    <w:p>
      <w:pPr>
        <w:spacing w:after="0" w:line="124"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and environments in order to meet the growing and evolving requirements of our business and customers. In particular, our transition to cloud-based products and a subscription only business model requires considerable investment in the development of technologies, and back office systems for technical, financial, compliance and sales resources to enable a scalable organization.</w:t>
      </w:r>
    </w:p>
    <w:p>
      <w:pPr>
        <w:spacing w:after="0" w:line="188"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 and could compromise our business model transition.</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overturned by tax authorities.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and tax credit carryforwards that can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59" w:name="page60"/>
    <w:bookmarkEnd w:id="59"/>
    <w:p>
      <w:pPr>
        <w:ind w:right="200"/>
        <w:spacing w:after="0" w:line="255" w:lineRule="auto"/>
        <w:rPr>
          <w:sz w:val="20"/>
          <w:szCs w:val="20"/>
          <w:color w:val="auto"/>
        </w:rPr>
      </w:pPr>
      <w:r>
        <w:rPr>
          <w:rFonts w:ascii="Arial" w:cs="Arial" w:eastAsia="Arial" w:hAnsi="Arial"/>
          <w:sz w:val="18"/>
          <w:szCs w:val="18"/>
          <w:color w:val="auto"/>
        </w:rPr>
        <w:t>be used to offset taxable income and reduce income taxes payable in future periods. Each quarter, we assess the need for a valuation allowance, considering both positive and negative evidence to determine whether all or a portion of the deferred tax assets are not more-likely-than-not to be realized and we determined during our second quarter of fiscal 2016 that our U.S. deferred tax assets were no longer more likely than not to be realized.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We issued $1.5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right="260" w:firstLine="392"/>
        <w:spacing w:after="0" w:line="276" w:lineRule="auto"/>
        <w:rPr>
          <w:sz w:val="20"/>
          <w:szCs w:val="20"/>
          <w:color w:val="auto"/>
        </w:rPr>
      </w:pPr>
      <w:r>
        <w:rPr>
          <w:rFonts w:ascii="Arial" w:cs="Arial" w:eastAsia="Arial" w:hAnsi="Arial"/>
          <w:sz w:val="17"/>
          <w:szCs w:val="17"/>
          <w:color w:val="auto"/>
        </w:rPr>
        <w:t>In December 2012, we issued 1.95% notes due December 15, 2017 in an aggregate principal amount of $400.0 million and 3.6% notes due December 15, 2022 in an aggregate principal amount of $350.0 million. In June 2015, we issued 3.125% notes due June 15, 2020 in an aggregate principal amount of $450.0 million and 4.375% notes due June 15, 2025 in an aggregate principal amount of $300.0 million. As the debt matures, we will have to expend significant resources to either repay or refinance these notes. If we decide to refinance the notes, we may be required to do so on different or less favorable terms or we may be unable to refinance the notes at all, both of which may adversely affect our financial condition.</w:t>
      </w:r>
    </w:p>
    <w:p>
      <w:pPr>
        <w:spacing w:after="0" w:line="173"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April 30, 2016,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2016.</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320" w:type="dxa"/>
            <w:vAlign w:val="bottom"/>
          </w:tcPr>
          <w:p>
            <w:pPr>
              <w:ind w:left="4900"/>
              <w:spacing w:after="0"/>
              <w:rPr>
                <w:sz w:val="20"/>
                <w:szCs w:val="20"/>
                <w:color w:val="auto"/>
              </w:rPr>
            </w:pPr>
            <w:r>
              <w:rPr>
                <w:rFonts w:ascii="Arial" w:cs="Arial" w:eastAsia="Arial" w:hAnsi="Arial"/>
                <w:sz w:val="16"/>
                <w:szCs w:val="16"/>
                <w:color w:val="auto"/>
              </w:rPr>
              <w:t>Description</w:t>
            </w:r>
          </w:p>
        </w:tc>
      </w:tr>
      <w:tr>
        <w:trPr>
          <w:trHeight w:val="501"/>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w w:val="93"/>
              </w:rPr>
              <w:t>Amended and Restated Bylaws (</w:t>
            </w:r>
            <w:r>
              <w:rPr>
                <w:rFonts w:ascii="Arial" w:cs="Arial" w:eastAsia="Arial" w:hAnsi="Arial"/>
                <w:sz w:val="16"/>
                <w:szCs w:val="16"/>
                <w:i w:val="1"/>
                <w:iCs w:val="1"/>
                <w:color w:val="auto"/>
                <w:w w:val="93"/>
              </w:rPr>
              <w:t>incorporated by reference to Exhibit 3.1 filed with the Registrant’s Current Report on Form 8-K filed on March 11, 2016</w:t>
            </w:r>
            <w:r>
              <w:rPr>
                <w:rFonts w:ascii="Arial" w:cs="Arial" w:eastAsia="Arial" w:hAnsi="Arial"/>
                <w:sz w:val="16"/>
                <w:szCs w:val="16"/>
                <w:color w:val="auto"/>
                <w:w w:val="93"/>
              </w:rPr>
              <w:t>)</w:t>
            </w:r>
          </w:p>
        </w:tc>
      </w:tr>
      <w:tr>
        <w:trPr>
          <w:trHeight w:val="577"/>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w w:val="91"/>
              </w:rPr>
              <w:t>Participants, target awards and payout formulas for fiscal year 2017 under the Registrant's Executive Incentive Plan (</w:t>
            </w:r>
            <w:r>
              <w:rPr>
                <w:rFonts w:ascii="Arial" w:cs="Arial" w:eastAsia="Arial" w:hAnsi="Arial"/>
                <w:sz w:val="16"/>
                <w:szCs w:val="16"/>
                <w:i w:val="1"/>
                <w:iCs w:val="1"/>
                <w:color w:val="auto"/>
                <w:w w:val="91"/>
              </w:rPr>
              <w:t>incorporated by reference to Item 5.02</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tcPr>
          <w:p>
            <w:pPr>
              <w:ind w:left="240"/>
              <w:spacing w:after="0"/>
              <w:rPr>
                <w:sz w:val="20"/>
                <w:szCs w:val="20"/>
                <w:color w:val="auto"/>
              </w:rPr>
            </w:pPr>
            <w:r>
              <w:rPr>
                <w:rFonts w:ascii="Arial" w:cs="Arial" w:eastAsia="Arial" w:hAnsi="Arial"/>
                <w:sz w:val="16"/>
                <w:szCs w:val="16"/>
                <w:i w:val="1"/>
                <w:iCs w:val="1"/>
                <w:color w:val="auto"/>
              </w:rPr>
              <w:t>of the Registrant's Current Report on Form 8-K filed on March 15, 2016</w:t>
            </w:r>
            <w:r>
              <w:rPr>
                <w:rFonts w:ascii="Arial" w:cs="Arial" w:eastAsia="Arial" w:hAnsi="Arial"/>
                <w:sz w:val="16"/>
                <w:szCs w:val="16"/>
                <w:color w:val="auto"/>
              </w:rPr>
              <w:t>)</w:t>
            </w:r>
          </w:p>
        </w:tc>
      </w:tr>
      <w:tr>
        <w:trPr>
          <w:trHeight w:val="617"/>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w w:val="94"/>
              </w:rPr>
              <w:t>Description of Performance Stock Unit Program (</w:t>
            </w:r>
            <w:r>
              <w:rPr>
                <w:rFonts w:ascii="Arial" w:cs="Arial" w:eastAsia="Arial" w:hAnsi="Arial"/>
                <w:sz w:val="16"/>
                <w:szCs w:val="16"/>
                <w:i w:val="1"/>
                <w:iCs w:val="1"/>
                <w:color w:val="auto"/>
                <w:w w:val="94"/>
              </w:rPr>
              <w:t>incorporated by reference to Item 5.02 of the Registrant's Current Report on Form 8-K filed on March</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tcPr>
          <w:p>
            <w:pPr>
              <w:ind w:left="240"/>
              <w:spacing w:after="0"/>
              <w:rPr>
                <w:sz w:val="20"/>
                <w:szCs w:val="20"/>
                <w:color w:val="auto"/>
              </w:rPr>
            </w:pPr>
            <w:r>
              <w:rPr>
                <w:rFonts w:ascii="Arial" w:cs="Arial" w:eastAsia="Arial" w:hAnsi="Arial"/>
                <w:sz w:val="16"/>
                <w:szCs w:val="16"/>
                <w:i w:val="1"/>
                <w:iCs w:val="1"/>
                <w:color w:val="auto"/>
              </w:rPr>
              <w:t>15, 2016</w:t>
            </w:r>
            <w:r>
              <w:rPr>
                <w:rFonts w:ascii="Arial" w:cs="Arial" w:eastAsia="Arial" w:hAnsi="Arial"/>
                <w:sz w:val="16"/>
                <w:szCs w:val="16"/>
                <w:color w:val="auto"/>
              </w:rPr>
              <w:t>)</w:t>
            </w:r>
          </w:p>
        </w:tc>
      </w:tr>
      <w:tr>
        <w:trPr>
          <w:trHeight w:val="617"/>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w w:val="94"/>
              </w:rPr>
              <w:t>Agreement, dated March 10, 2016, by and among the Company, Sachem Head Capital Management LP, Uncas GP LLC, and Sachem Head GP LLC.</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incorporated by reference to Exhibit 99.1 filed with the Registrant’s Current Report on Form 8-K filed on March 11, 2016</w:t>
            </w:r>
            <w:r>
              <w:rPr>
                <w:rFonts w:ascii="Arial" w:cs="Arial" w:eastAsia="Arial" w:hAnsi="Arial"/>
                <w:sz w:val="16"/>
                <w:szCs w:val="16"/>
                <w:color w:val="auto"/>
              </w:rPr>
              <w:t>)</w:t>
            </w:r>
          </w:p>
        </w:tc>
      </w:tr>
      <w:tr>
        <w:trPr>
          <w:trHeight w:val="415"/>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w w:val="91"/>
              </w:rPr>
              <w:t>Agreement, dated March 10, 2016, by and among the Company, Eminence Capital, LP, and Eminence GP, LLC. (</w:t>
            </w:r>
            <w:r>
              <w:rPr>
                <w:rFonts w:ascii="Arial" w:cs="Arial" w:eastAsia="Arial" w:hAnsi="Arial"/>
                <w:sz w:val="16"/>
                <w:szCs w:val="16"/>
                <w:i w:val="1"/>
                <w:iCs w:val="1"/>
                <w:color w:val="auto"/>
                <w:w w:val="91"/>
              </w:rPr>
              <w:t>incorporated by reference to Exhibit 99.2</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tcPr>
          <w:p>
            <w:pPr>
              <w:ind w:left="240"/>
              <w:spacing w:after="0"/>
              <w:rPr>
                <w:sz w:val="20"/>
                <w:szCs w:val="20"/>
                <w:color w:val="auto"/>
              </w:rPr>
            </w:pPr>
            <w:r>
              <w:rPr>
                <w:rFonts w:ascii="Arial" w:cs="Arial" w:eastAsia="Arial" w:hAnsi="Arial"/>
                <w:sz w:val="16"/>
                <w:szCs w:val="16"/>
                <w:i w:val="1"/>
                <w:iCs w:val="1"/>
                <w:color w:val="auto"/>
              </w:rPr>
              <w:t>filed with the Registrant’s Current Report on Form 8-K filed on March 11, 2016</w:t>
            </w:r>
            <w:r>
              <w:rPr>
                <w:rFonts w:ascii="Arial" w:cs="Arial" w:eastAsia="Arial" w:hAnsi="Arial"/>
                <w:sz w:val="16"/>
                <w:szCs w:val="16"/>
                <w:color w:val="auto"/>
              </w:rPr>
              <w:t>)</w:t>
            </w:r>
          </w:p>
        </w:tc>
      </w:tr>
      <w:tr>
        <w:trPr>
          <w:trHeight w:val="621"/>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92"/>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88"/>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320" w:type="dxa"/>
            <w:vAlign w:val="bottom"/>
          </w:tcPr>
          <w:p>
            <w:pPr>
              <w:ind w:left="240"/>
              <w:spacing w:after="0"/>
              <w:rPr>
                <w:sz w:val="20"/>
                <w:szCs w:val="20"/>
                <w:color w:val="auto"/>
              </w:rPr>
            </w:pPr>
            <w:r>
              <w:rPr>
                <w:rFonts w:ascii="Arial" w:cs="Arial" w:eastAsia="Arial" w:hAnsi="Arial"/>
                <w:sz w:val="16"/>
                <w:szCs w:val="16"/>
                <w:color w:val="auto"/>
                <w:w w:val="98"/>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320" w:type="dxa"/>
            <w:vAlign w:val="bottom"/>
          </w:tcPr>
          <w:p>
            <w:pPr>
              <w:ind w:left="240"/>
              <w:spacing w:after="0"/>
              <w:rPr>
                <w:sz w:val="20"/>
                <w:szCs w:val="20"/>
                <w:color w:val="auto"/>
              </w:rPr>
            </w:pPr>
            <w:r>
              <w:rPr>
                <w:rFonts w:ascii="Arial" w:cs="Arial" w:eastAsia="Arial" w:hAnsi="Arial"/>
                <w:sz w:val="16"/>
                <w:szCs w:val="16"/>
                <w:color w:val="auto"/>
              </w:rPr>
              <w:t>XBRL Instance Document</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320" w:type="dxa"/>
            <w:vAlign w:val="bottom"/>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320" w:type="dxa"/>
            <w:vAlign w:val="bottom"/>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320" w:type="dxa"/>
            <w:vAlign w:val="bottom"/>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320" w:type="dxa"/>
            <w:vAlign w:val="bottom"/>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32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jc w:val="both"/>
        <w:ind w:left="720" w:right="100" w:hanging="685"/>
        <w:spacing w:after="0" w:line="335" w:lineRule="auto"/>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61</w:t>
      </w:r>
    </w:p>
    <w:p>
      <w:pPr>
        <w:sectPr>
          <w:pgSz w:w="11900" w:h="16838" w:orient="portrait"/>
          <w:cols w:equalWidth="0" w:num="1">
            <w:col w:w="11380"/>
          </w:cols>
          <w:pgMar w:left="240" w:top="580" w:right="279" w:bottom="1440" w:gutter="0" w:footer="0" w:header="0"/>
        </w:sectPr>
      </w:pPr>
    </w:p>
    <w:bookmarkStart w:id="61" w:name="page62"/>
    <w:bookmarkEnd w:id="61"/>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60"/>
        <w:spacing w:after="0"/>
        <w:tabs>
          <w:tab w:leader="none" w:pos="78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PAUL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Paul Underwood</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720"/>
          </w:cols>
          <w:pgMar w:left="240" w:top="580" w:right="9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2016</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2016</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2016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2016</w:t>
      </w:r>
    </w:p>
    <w:p>
      <w:pPr>
        <w:spacing w:after="0" w:line="25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pacing w:after="0" w:line="3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April 30, 2016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6, 2016</w:t>
      </w:r>
    </w:p>
    <w:p>
      <w:pPr>
        <w:spacing w:after="0" w:line="252"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31750</wp:posOffset>
            </wp:positionV>
            <wp:extent cx="32416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32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7"/>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2019-12-29T12:00:25Z</dcterms:created>
  <dcterms:modified xsi:type="dcterms:W3CDTF">2019-12-29T12:00:25Z</dcterms:modified>
</cp:coreProperties>
</file>