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671830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638175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13" w:lineRule="exact"/>
        <w:rPr>
          <w:sz w:val="24"/>
          <w:szCs w:val="24"/>
          <w:color w:val="auto"/>
        </w:rPr>
      </w:pPr>
    </w:p>
    <w:p>
      <w:pPr>
        <w:ind w:left="660" w:hanging="428"/>
        <w:spacing w:after="0"/>
        <w:tabs>
          <w:tab w:leader="none" w:pos="6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0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6" w:lineRule="exact"/>
        <w:rPr>
          <w:sz w:val="24"/>
          <w:szCs w:val="24"/>
          <w:color w:val="auto"/>
        </w:rPr>
      </w:pPr>
    </w:p>
    <w:p>
      <w:pPr>
        <w:ind w:left="640" w:right="240" w:hanging="415"/>
        <w:spacing w:after="0" w:line="250" w:lineRule="auto"/>
        <w:tabs>
          <w:tab w:leader="none" w:pos="6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65"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7" w:lineRule="exact"/>
        <w:rPr>
          <w:sz w:val="24"/>
          <w:szCs w:val="24"/>
          <w:color w:val="auto"/>
        </w:rPr>
      </w:pPr>
    </w:p>
    <w:p>
      <w:pPr>
        <w:sectPr>
          <w:pgSz w:w="11900" w:h="16838" w:orient="portrait"/>
          <w:cols w:equalWidth="0" w:num="2">
            <w:col w:w="2840" w:space="620"/>
            <w:col w:w="7780"/>
          </w:cols>
          <w:pgMar w:left="320" w:top="22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0-14338</w:t>
      </w:r>
    </w:p>
    <w:p>
      <w:pPr>
        <w:spacing w:after="0" w:line="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AUTODESK, INC.</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227" w:right="339" w:bottom="1440" w:gutter="0" w:footer="0" w:header="0"/>
          <w:type w:val="continuous"/>
        </w:sectPr>
      </w:pPr>
    </w:p>
    <w:p>
      <w:pPr>
        <w:spacing w:after="0" w:line="3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94-2819853</w:t>
      </w:r>
    </w:p>
    <w:p>
      <w:pPr>
        <w:spacing w:after="0" w:line="15" w:lineRule="exact"/>
        <w:rPr>
          <w:sz w:val="24"/>
          <w:szCs w:val="24"/>
          <w:color w:val="auto"/>
        </w:rPr>
      </w:pPr>
    </w:p>
    <w:p>
      <w:pPr>
        <w:sectPr>
          <w:pgSz w:w="11900" w:h="16838" w:orient="portrait"/>
          <w:cols w:equalWidth="0" w:num="2">
            <w:col w:w="7340" w:space="720"/>
            <w:col w:w="3180"/>
          </w:cols>
          <w:pgMar w:left="320" w:top="227" w:right="339" w:bottom="1440" w:gutter="0" w:footer="0" w:header="0"/>
          <w:type w:val="continuous"/>
        </w:sectPr>
      </w:pPr>
    </w:p>
    <w:p>
      <w:pPr>
        <w:jc w:val="center"/>
        <w:ind w:right="29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9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7" w:lineRule="exact"/>
        <w:rPr>
          <w:sz w:val="24"/>
          <w:szCs w:val="24"/>
          <w:color w:val="auto"/>
        </w:rPr>
      </w:pPr>
    </w:p>
    <w:p>
      <w:pPr>
        <w:sectPr>
          <w:pgSz w:w="11900" w:h="16838" w:orient="portrait"/>
          <w:cols w:equalWidth="0" w:num="2">
            <w:col w:w="7220" w:space="720"/>
            <w:col w:w="3300"/>
          </w:cols>
          <w:pgMar w:left="320" w:top="227"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b w:val="1"/>
          <w:bCs w:val="1"/>
          <w:color w:val="auto"/>
        </w:rPr>
        <w:t>One Market Street, Ste. 400</w:t>
      </w:r>
    </w:p>
    <w:p>
      <w:pPr>
        <w:sectPr>
          <w:pgSz w:w="11900" w:h="16838" w:orient="portrait"/>
          <w:cols w:equalWidth="0" w:num="1">
            <w:col w:w="11240"/>
          </w:cols>
          <w:pgMar w:left="320" w:top="227" w:right="339" w:bottom="1440" w:gutter="0" w:footer="0" w:header="0"/>
          <w:type w:val="continuous"/>
        </w:sectPr>
      </w:pPr>
    </w:p>
    <w:p>
      <w:pPr>
        <w:spacing w:after="0" w:line="3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San Francisco,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94105</w:t>
      </w:r>
    </w:p>
    <w:p>
      <w:pPr>
        <w:spacing w:after="0" w:line="19" w:lineRule="exact"/>
        <w:rPr>
          <w:sz w:val="24"/>
          <w:szCs w:val="24"/>
          <w:color w:val="auto"/>
        </w:rPr>
      </w:pPr>
    </w:p>
    <w:p>
      <w:pPr>
        <w:sectPr>
          <w:pgSz w:w="11900" w:h="16838" w:orient="portrait"/>
          <w:cols w:equalWidth="0" w:num="3">
            <w:col w:w="3800" w:space="720"/>
            <w:col w:w="3020" w:space="720"/>
            <w:col w:w="2980"/>
          </w:cols>
          <w:pgMar w:left="320" w:top="227"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96" w:lineRule="exact"/>
        <w:rPr>
          <w:sz w:val="24"/>
          <w:szCs w:val="24"/>
          <w:color w:val="auto"/>
        </w:rPr>
      </w:pPr>
    </w:p>
    <w:p>
      <w:pPr>
        <w:sectPr>
          <w:pgSz w:w="11900" w:h="16838" w:orient="portrait"/>
          <w:cols w:equalWidth="0" w:num="2">
            <w:col w:w="7440" w:space="720"/>
            <w:col w:w="308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507-5000</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0"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9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040" w:type="dxa"/>
            <w:vAlign w:val="bottom"/>
            <w:gridSpan w:val="3"/>
            <w:vMerge w:val="restart"/>
          </w:tcPr>
          <w:p>
            <w:pPr>
              <w:jc w:val="center"/>
              <w:ind w:left="149"/>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80" w:type="dxa"/>
            <w:vAlign w:val="bottom"/>
          </w:tcPr>
          <w:p>
            <w:pPr>
              <w:spacing w:after="0"/>
              <w:rPr>
                <w:sz w:val="18"/>
                <w:szCs w:val="18"/>
                <w:color w:val="auto"/>
              </w:rPr>
            </w:pPr>
          </w:p>
        </w:tc>
        <w:tc>
          <w:tcPr>
            <w:tcW w:w="21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166"/>
        </w:trPr>
        <w:tc>
          <w:tcPr>
            <w:tcW w:w="17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Borders>
              <w:top w:val="single" w:sz="8" w:color="auto"/>
            </w:tcBorders>
            <w:gridSpan w:val="3"/>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6"/>
              </w:rPr>
              <w:t>on which registered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660" w:type="dxa"/>
            <w:vAlign w:val="bottom"/>
            <w:gridSpan w:val="3"/>
          </w:tcPr>
          <w:p>
            <w:pPr>
              <w:jc w:val="center"/>
              <w:ind w:left="1100"/>
              <w:spacing w:after="0"/>
              <w:rPr>
                <w:sz w:val="20"/>
                <w:szCs w:val="20"/>
                <w:color w:val="auto"/>
              </w:rPr>
            </w:pPr>
            <w:r>
              <w:rPr>
                <w:rFonts w:ascii="Times New Roman" w:cs="Times New Roman" w:eastAsia="Times New Roman" w:hAnsi="Times New Roman"/>
                <w:sz w:val="18"/>
                <w:szCs w:val="18"/>
                <w:b w:val="1"/>
                <w:bCs w:val="1"/>
                <w:color w:val="auto"/>
                <w:w w:val="97"/>
              </w:rPr>
              <w:t>Common Stock, $0.01 Par Value</w:t>
            </w:r>
          </w:p>
        </w:tc>
        <w:tc>
          <w:tcPr>
            <w:tcW w:w="920" w:type="dxa"/>
            <w:vAlign w:val="bottom"/>
          </w:tcPr>
          <w:p>
            <w:pPr>
              <w:spacing w:after="0"/>
              <w:rPr>
                <w:sz w:val="21"/>
                <w:szCs w:val="21"/>
                <w:color w:val="auto"/>
              </w:rPr>
            </w:pP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ADSK</w:t>
            </w:r>
          </w:p>
        </w:tc>
        <w:tc>
          <w:tcPr>
            <w:tcW w:w="2760" w:type="dxa"/>
            <w:vAlign w:val="bottom"/>
            <w:gridSpan w:val="5"/>
          </w:tcPr>
          <w:p>
            <w:pPr>
              <w:jc w:val="center"/>
              <w:ind w:left="100"/>
              <w:spacing w:after="0"/>
              <w:rPr>
                <w:sz w:val="20"/>
                <w:szCs w:val="20"/>
                <w:color w:val="auto"/>
              </w:rPr>
            </w:pPr>
            <w:r>
              <w:rPr>
                <w:rFonts w:ascii="Times New Roman" w:cs="Times New Roman" w:eastAsia="Times New Roman" w:hAnsi="Times New Roman"/>
                <w:sz w:val="18"/>
                <w:szCs w:val="18"/>
                <w:b w:val="1"/>
                <w:bCs w:val="1"/>
                <w:color w:val="auto"/>
                <w:w w:val="98"/>
              </w:rPr>
              <w:t>The Nasdaq Global Select Market</w:t>
            </w:r>
          </w:p>
        </w:tc>
        <w:tc>
          <w:tcPr>
            <w:tcW w:w="0" w:type="dxa"/>
            <w:vAlign w:val="bottom"/>
          </w:tcPr>
          <w:p>
            <w:pPr>
              <w:spacing w:after="0"/>
              <w:rPr>
                <w:sz w:val="1"/>
                <w:szCs w:val="1"/>
                <w:color w:val="auto"/>
              </w:rPr>
            </w:pPr>
          </w:p>
        </w:tc>
      </w:tr>
      <w:tr>
        <w:trPr>
          <w:trHeight w:val="328"/>
        </w:trPr>
        <w:tc>
          <w:tcPr>
            <w:tcW w:w="1760" w:type="dxa"/>
            <w:vAlign w:val="bottom"/>
          </w:tcPr>
          <w:p>
            <w:pPr>
              <w:spacing w:after="0"/>
              <w:rPr>
                <w:sz w:val="24"/>
                <w:szCs w:val="24"/>
                <w:color w:val="auto"/>
              </w:rPr>
            </w:pPr>
          </w:p>
        </w:tc>
        <w:tc>
          <w:tcPr>
            <w:tcW w:w="7700" w:type="dxa"/>
            <w:vAlign w:val="bottom"/>
            <w:gridSpan w:val="10"/>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12(g) of the Act: None</w:t>
            </w:r>
          </w:p>
        </w:tc>
        <w:tc>
          <w:tcPr>
            <w:tcW w:w="0" w:type="dxa"/>
            <w:vAlign w:val="bottom"/>
          </w:tcPr>
          <w:p>
            <w:pPr>
              <w:spacing w:after="0"/>
              <w:rPr>
                <w:sz w:val="1"/>
                <w:szCs w:val="1"/>
                <w:color w:val="auto"/>
              </w:rPr>
            </w:pPr>
          </w:p>
        </w:tc>
      </w:tr>
      <w:tr>
        <w:trPr>
          <w:trHeight w:val="109"/>
        </w:trPr>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20" w:type="dxa"/>
            <w:vAlign w:val="bottom"/>
            <w:gridSpan w:val="4"/>
          </w:tcPr>
          <w:p>
            <w:pPr>
              <w:jc w:val="center"/>
              <w:ind w:right="280"/>
              <w:spacing w:after="0" w:line="109" w:lineRule="exact"/>
              <w:rPr>
                <w:sz w:val="20"/>
                <w:szCs w:val="20"/>
                <w:color w:val="auto"/>
              </w:rPr>
            </w:pPr>
            <w:r>
              <w:rPr>
                <w:rFonts w:ascii="Times New Roman" w:cs="Times New Roman" w:eastAsia="Times New Roman" w:hAnsi="Times New Roman"/>
                <w:sz w:val="11"/>
                <w:szCs w:val="11"/>
                <w:b w:val="1"/>
                <w:bCs w:val="1"/>
                <w:color w:val="auto"/>
                <w:w w:val="95"/>
              </w:rPr>
              <w:t>_____________________________________________________________</w:t>
            </w: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7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760" w:type="dxa"/>
            <w:vAlign w:val="bottom"/>
            <w:gridSpan w:val="5"/>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320" w:right="4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whether the registrant (1) has filed all reports required to be filed by Section 13 or 15(d) of the Exchange Act during the preceding 12 months (or for such shorter period</w:t>
      </w:r>
    </w:p>
    <w:p>
      <w:pPr>
        <w:spacing w:after="0" w:line="1" w:lineRule="exact"/>
        <w:rPr>
          <w:sz w:val="24"/>
          <w:szCs w:val="24"/>
          <w:color w:val="auto"/>
        </w:rPr>
      </w:pPr>
    </w:p>
    <w:p>
      <w:pPr>
        <w:spacing w:after="0" w:line="161" w:lineRule="exact"/>
        <w:tabs>
          <w:tab w:leader="none" w:pos="7180" w:val="left"/>
          <w:tab w:leader="none" w:pos="7740" w:val="left"/>
          <w:tab w:leader="none" w:pos="8040" w:val="left"/>
        </w:tabs>
        <w:rPr>
          <w:sz w:val="20"/>
          <w:szCs w:val="20"/>
          <w:color w:val="auto"/>
        </w:rPr>
      </w:pPr>
      <w:r>
        <w:rPr>
          <w:rFonts w:ascii="Times New Roman" w:cs="Times New Roman" w:eastAsia="Times New Roman" w:hAnsi="Times New Roman"/>
          <w:sz w:val="14"/>
          <w:szCs w:val="14"/>
          <w:color w:val="auto"/>
        </w:rPr>
        <w:t>that the registrant was required to file such reports), and (2) has been subject to such filing 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7" w:lineRule="exact"/>
        <w:rPr>
          <w:sz w:val="24"/>
          <w:szCs w:val="24"/>
          <w:color w:val="auto"/>
        </w:rPr>
      </w:pPr>
    </w:p>
    <w:p>
      <w:pPr>
        <w:spacing w:after="0" w:line="161" w:lineRule="exact"/>
        <w:tabs>
          <w:tab w:leader="none" w:pos="7460" w:val="left"/>
          <w:tab w:leader="none" w:pos="824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and post such 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4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ectPr>
          <w:pgSz w:w="11900" w:h="16838" w:orient="portrait"/>
          <w:cols w:equalWidth="0" w:num="10">
            <w:col w:w="1880" w:space="140"/>
            <w:col w:w="160" w:space="540"/>
            <w:col w:w="940" w:space="100"/>
            <w:col w:w="140" w:space="520"/>
            <w:col w:w="1200" w:space="340"/>
            <w:col w:w="140" w:space="480"/>
            <w:col w:w="1540" w:space="320"/>
            <w:col w:w="140" w:space="480"/>
            <w:col w:w="1540" w:space="400"/>
            <w:col w:w="240"/>
          </w:cols>
          <w:pgMar w:left="320" w:top="227" w:right="339" w:bottom="1440" w:gutter="0" w:footer="0" w:header="0"/>
          <w:type w:val="continuous"/>
        </w:sectPr>
      </w:pPr>
    </w:p>
    <w:p>
      <w:pPr>
        <w:ind w:right="440" w:firstLine="318"/>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0" w:firstLine="318"/>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firstLine="318"/>
        <w:spacing w:after="0" w:line="17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160" w:firstLine="318"/>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320"/>
        <w:spacing w:after="0" w:line="161" w:lineRule="exact"/>
        <w:tabs>
          <w:tab w:leader="none" w:pos="6900" w:val="left"/>
          <w:tab w:leader="none" w:pos="7240" w:val="left"/>
          <w:tab w:leader="none" w:pos="75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by Rule 12b-2 of the Exchange Act).</w:t>
        <w:tab/>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3" w:lineRule="exact"/>
        <w:rPr>
          <w:sz w:val="24"/>
          <w:szCs w:val="24"/>
          <w:color w:val="auto"/>
        </w:rPr>
      </w:pPr>
    </w:p>
    <w:p>
      <w:pPr>
        <w:ind w:right="440" w:firstLine="318"/>
        <w:spacing w:after="0" w:line="267" w:lineRule="auto"/>
        <w:rPr>
          <w:sz w:val="20"/>
          <w:szCs w:val="20"/>
          <w:color w:val="auto"/>
        </w:rPr>
      </w:pPr>
      <w:r>
        <w:rPr>
          <w:rFonts w:ascii="Times New Roman" w:cs="Times New Roman" w:eastAsia="Times New Roman" w:hAnsi="Times New Roman"/>
          <w:sz w:val="14"/>
          <w:szCs w:val="14"/>
          <w:color w:val="auto"/>
        </w:rPr>
        <w:t>As of July 31, 2025, the last business day of the registrant’s most recently completed second fiscal quarter, there were approximately 213 million shares of the registrant’s common stock outstanding that were held by non-affiliates, and the aggregate market value of such shares held by non-affiliates of the registrant</w:t>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color w:val="auto"/>
        </w:rPr>
        <w:t>(based on the closing sale price of such shares on the Nasdaq Global Select Market on July 31, 2025) was approximately $64.5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23, 2026, the registrant had outstanding 211 million shares of common stock.</w:t>
      </w:r>
    </w:p>
    <w:p>
      <w:pPr>
        <w:spacing w:after="0" w:line="2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Portions of the Proxy Statement for registrant’s Annual Meeting of Stockholders (the “Proxy Statement”), are incorporated by reference in Part III of this Form 10-K to the extent stated herein. The Proxy Statement will be filed within 120 days of the registrant’s fiscal year ended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0"/>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7"/>
              </w:rPr>
              <w:t>AUTODESK, INC. FORM 10-K</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40" w:type="dxa"/>
            <w:vAlign w:val="bottom"/>
            <w:gridSpan w:val="4"/>
            <w:vMerge w:val="restart"/>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0000FF"/>
            </w:tcBorders>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700" w:type="dxa"/>
            <w:vAlign w:val="bottom"/>
            <w:gridSpan w:val="21"/>
          </w:tcPr>
          <w:p>
            <w:pPr>
              <w:spacing w:after="0"/>
              <w:rPr>
                <w:sz w:val="22"/>
                <w:szCs w:val="22"/>
                <w:color w:val="auto"/>
              </w:rPr>
            </w:pPr>
          </w:p>
        </w:tc>
        <w:tc>
          <w:tcPr>
            <w:tcW w:w="132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40" w:type="dxa"/>
            <w:vAlign w:val="bottom"/>
            <w:gridSpan w:val="18"/>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320" w:type="dxa"/>
            <w:vAlign w:val="bottom"/>
            <w:gridSpan w:val="11"/>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7340" w:type="dxa"/>
            <w:vAlign w:val="bottom"/>
            <w:gridSpan w:val="17"/>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7600" w:type="dxa"/>
            <w:vAlign w:val="bottom"/>
            <w:gridSpan w:val="20"/>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020" w:type="dxa"/>
            <w:vAlign w:val="bottom"/>
            <w:gridSpan w:val="15"/>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0" w:type="dxa"/>
            <w:vAlign w:val="bottom"/>
            <w:gridSpan w:val="3"/>
          </w:tcPr>
          <w:p>
            <w:pPr>
              <w:spacing w:after="0"/>
              <w:rPr>
                <w:sz w:val="22"/>
                <w:szCs w:val="22"/>
                <w:color w:val="auto"/>
              </w:rPr>
            </w:pPr>
          </w:p>
        </w:tc>
        <w:tc>
          <w:tcPr>
            <w:tcW w:w="7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560" w:type="dxa"/>
            <w:vAlign w:val="bottom"/>
            <w:gridSpan w:val="19"/>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3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80" w:type="dxa"/>
            <w:vAlign w:val="bottom"/>
            <w:gridSpan w:val="3"/>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tcBorders>
              <w:top w:val="single" w:sz="8" w:color="0000FF"/>
            </w:tcBorders>
            <w:gridSpan w:val="2"/>
          </w:tcPr>
          <w:p>
            <w:pPr>
              <w:spacing w:after="0"/>
              <w:rPr>
                <w:sz w:val="22"/>
                <w:szCs w:val="22"/>
                <w:color w:val="auto"/>
              </w:rPr>
            </w:pPr>
          </w:p>
        </w:tc>
        <w:tc>
          <w:tcPr>
            <w:tcW w:w="4060" w:type="dxa"/>
            <w:vAlign w:val="bottom"/>
            <w:gridSpan w:val="6"/>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6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gridSpan w:val="3"/>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2"/>
                <w:szCs w:val="22"/>
                <w:color w:val="auto"/>
              </w:rPr>
            </w:pPr>
          </w:p>
        </w:tc>
        <w:tc>
          <w:tcPr>
            <w:tcW w:w="6600" w:type="dxa"/>
            <w:vAlign w:val="bottom"/>
            <w:gridSpan w:val="13"/>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59"/>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70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2240" w:type="dxa"/>
            <w:vAlign w:val="bottom"/>
            <w:gridSpan w:val="5"/>
          </w:tcPr>
          <w:p>
            <w:pPr>
              <w:spacing w:after="0"/>
              <w:rPr>
                <w:sz w:val="22"/>
                <w:szCs w:val="22"/>
                <w:color w:val="auto"/>
              </w:rPr>
            </w:pPr>
          </w:p>
        </w:tc>
        <w:tc>
          <w:tcPr>
            <w:tcW w:w="4320" w:type="dxa"/>
            <w:vAlign w:val="bottom"/>
            <w:gridSpan w:val="7"/>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5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800" w:type="dxa"/>
            <w:vAlign w:val="bottom"/>
            <w:gridSpan w:val="2"/>
          </w:tcPr>
          <w:p>
            <w:pPr>
              <w:spacing w:after="0"/>
              <w:rPr>
                <w:sz w:val="22"/>
                <w:szCs w:val="22"/>
                <w:color w:val="auto"/>
              </w:rPr>
            </w:pPr>
          </w:p>
        </w:tc>
        <w:tc>
          <w:tcPr>
            <w:tcW w:w="1180" w:type="dxa"/>
            <w:vAlign w:val="bottom"/>
            <w:gridSpan w:val="2"/>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980" w:type="dxa"/>
            <w:vAlign w:val="bottom"/>
            <w:gridSpan w:val="4"/>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720" w:type="dxa"/>
            <w:vAlign w:val="bottom"/>
            <w:gridSpan w:val="2"/>
          </w:tcPr>
          <w:p>
            <w:pPr>
              <w:spacing w:after="0"/>
              <w:rPr>
                <w:sz w:val="22"/>
                <w:szCs w:val="22"/>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40" w:type="dxa"/>
            <w:vAlign w:val="bottom"/>
            <w:gridSpan w:val="9"/>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20" w:type="dxa"/>
            <w:vAlign w:val="bottom"/>
            <w:gridSpan w:val="14"/>
          </w:tcPr>
          <w:p>
            <w:pPr>
              <w:spacing w:after="0"/>
              <w:rPr>
                <w:sz w:val="22"/>
                <w:szCs w:val="22"/>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7"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8"/>
          <w:szCs w:val="18"/>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may appear throughout this Annual Report on Form 10-K, including the following sections: “Business” (Part I, Item 1), “Risk Factors” (Part I, Item 1A), and “Management’s Discussion and Analysis of Financial Condition and Results of Operations” (Part II, Item 7). Forward-looking statements are any statements that look to future events and consist of, among other things, our business strategies including our utilization of and strategy regarding artificial intelligence; the implementation of new transaction models and sales and marketing optimization; future financial results (by product type and geography), operational and key metrics and subscriptions; the effects of global economic and political conditions, including the impact of economic volatility and geopolitical activities in certain countries such as the Russian invasion of Ukraine and conflicts in the Middle East; the impact of past and planned acquisitions and investment activities; expected market trends and market opportunities; our ability to successfully expand adoption of our products; our ability to gain market acceptance of new businesses and sales initiatives; the impact of restructuring activities; cybersecurity and privacy issues or incidents; the effect of competition; the availability of credit; the effects of revenue recognition; the effects of newly recently issued accounting standards; expected trends in certain financial metrics, including expenses; expectations regarding our cash needs and expenditures;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Form 10-K appears at the end of this Item 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33" w:lineRule="exact"/>
        <w:rPr>
          <w:sz w:val="20"/>
          <w:szCs w:val="20"/>
          <w:color w:val="auto"/>
        </w:rPr>
      </w:pPr>
    </w:p>
    <w:p>
      <w:pPr>
        <w:ind w:right="40" w:firstLine="438"/>
        <w:spacing w:after="0" w:line="238" w:lineRule="auto"/>
        <w:rPr>
          <w:sz w:val="20"/>
          <w:szCs w:val="20"/>
          <w:color w:val="auto"/>
        </w:rPr>
      </w:pPr>
      <w:r>
        <w:rPr>
          <w:rFonts w:ascii="Times New Roman" w:cs="Times New Roman" w:eastAsia="Times New Roman" w:hAnsi="Times New Roman"/>
          <w:sz w:val="18"/>
          <w:szCs w:val="18"/>
          <w:color w:val="auto"/>
        </w:rPr>
        <w:t>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Information</w:t>
      </w:r>
    </w:p>
    <w:p>
      <w:pPr>
        <w:spacing w:after="0" w:line="246" w:lineRule="exact"/>
        <w:rPr>
          <w:sz w:val="20"/>
          <w:szCs w:val="20"/>
          <w:color w:val="auto"/>
        </w:rPr>
      </w:pPr>
    </w:p>
    <w:p>
      <w:pPr>
        <w:ind w:right="80" w:firstLine="438"/>
        <w:spacing w:after="0" w:line="255" w:lineRule="auto"/>
        <w:rPr>
          <w:sz w:val="20"/>
          <w:szCs w:val="20"/>
          <w:color w:val="auto"/>
        </w:rPr>
      </w:pPr>
      <w:r>
        <w:rPr>
          <w:rFonts w:ascii="Times New Roman" w:cs="Times New Roman" w:eastAsia="Times New Roman" w:hAnsi="Times New Roman"/>
          <w:sz w:val="18"/>
          <w:szCs w:val="18"/>
          <w:color w:val="auto"/>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46" w:lineRule="exact"/>
        <w:rPr>
          <w:sz w:val="20"/>
          <w:szCs w:val="20"/>
          <w:color w:val="auto"/>
        </w:rPr>
      </w:pPr>
    </w:p>
    <w:p>
      <w:pPr>
        <w:ind w:right="40" w:firstLine="398"/>
        <w:spacing w:after="0" w:line="266" w:lineRule="auto"/>
        <w:rPr>
          <w:sz w:val="20"/>
          <w:szCs w:val="20"/>
          <w:color w:val="auto"/>
        </w:rPr>
      </w:pPr>
      <w:r>
        <w:rPr>
          <w:rFonts w:ascii="Times New Roman" w:cs="Times New Roman" w:eastAsia="Times New Roman" w:hAnsi="Times New Roman"/>
          <w:sz w:val="17"/>
          <w:szCs w:val="17"/>
          <w:color w:val="auto"/>
        </w:rPr>
        <w:t>Our architecture, engineering, construction and operations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3D animation, games production, and enable connection of workflows and data from pre-production to post-production.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Part II, Item 8, Note 2, “Revenue Recognition,” in the Notes to Consolidated Financial Statements.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Autodesk’s product offerings include: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Architecture, Engineering, Construction and Operations (“AECO”)</w:t>
      </w:r>
    </w:p>
    <w:p>
      <w:pPr>
        <w:spacing w:after="0" w:line="244"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Architecture, Engineering, and Construction Collection</w:t>
      </w:r>
    </w:p>
    <w:p>
      <w:pPr>
        <w:spacing w:after="0" w:line="246" w:lineRule="exact"/>
        <w:rPr>
          <w:sz w:val="20"/>
          <w:szCs w:val="20"/>
          <w:color w:val="auto"/>
        </w:rPr>
      </w:pPr>
    </w:p>
    <w:p>
      <w:pPr>
        <w:ind w:right="260" w:firstLine="398"/>
        <w:spacing w:after="0" w:line="274" w:lineRule="auto"/>
        <w:rPr>
          <w:sz w:val="20"/>
          <w:szCs w:val="20"/>
          <w:color w:val="auto"/>
        </w:rPr>
      </w:pPr>
      <w:r>
        <w:rPr>
          <w:rFonts w:ascii="Times New Roman" w:cs="Times New Roman" w:eastAsia="Times New Roman" w:hAnsi="Times New Roman"/>
          <w:sz w:val="18"/>
          <w:szCs w:val="18"/>
          <w:color w:val="auto"/>
        </w:rPr>
        <w:t>The AEC Collection, including AutoCAD, AutoCAD Civil 3D, and Revit, aims to help our customers design, engineer, and construct higher quality, more predictable building and civil infrastructure projects, commonly used by AECO industry experts.</w:t>
      </w:r>
    </w:p>
    <w:p>
      <w:pPr>
        <w:spacing w:after="0" w:line="189"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AutoCAD Civil 3D</w:t>
      </w:r>
    </w:p>
    <w:p>
      <w:pPr>
        <w:spacing w:after="0" w:line="246"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Autodesk Build</w:t>
      </w:r>
    </w:p>
    <w:p>
      <w:pPr>
        <w:spacing w:after="0" w:line="233" w:lineRule="exact"/>
        <w:rPr>
          <w:sz w:val="20"/>
          <w:szCs w:val="20"/>
          <w:color w:val="auto"/>
        </w:rPr>
      </w:pPr>
    </w:p>
    <w:p>
      <w:pPr>
        <w:ind w:right="60" w:firstLine="398"/>
        <w:spacing w:after="0" w:line="236" w:lineRule="auto"/>
        <w:rPr>
          <w:sz w:val="20"/>
          <w:szCs w:val="20"/>
          <w:color w:val="auto"/>
        </w:rPr>
      </w:pPr>
      <w:r>
        <w:rPr>
          <w:rFonts w:ascii="Times New Roman" w:cs="Times New Roman" w:eastAsia="Times New Roman" w:hAnsi="Times New Roman"/>
          <w:sz w:val="18"/>
          <w:szCs w:val="18"/>
          <w:color w:val="auto"/>
        </w:rPr>
        <w:t>Autodesk Build delivers a connected set of project management and collaboration tools for the construction industry. Autodesk Build provides a toolset for managing, sharing, and accessing project documents that results in streamlined workflows between the office, trailer, and jobsite. In addition, Autodesk Build can be used to track the quality and safety of the project with issues and forms. Team members can use Autodesk Build for requests for information (RFIs), submittals, and meetings to manage the flow of information and track project progress across the construction timeline. Autodesk Build delivers field critical project information and collaboration from Autodesk Build to the jobsite. As part of Autodesk Construction Cloud (now known as Forma for Construction), Build connects data originating in design and preconstruction to the construction and operations phase, allowing users to identify, manage and de-risk project decisions.</w:t>
      </w:r>
    </w:p>
    <w:p>
      <w:pPr>
        <w:spacing w:after="0" w:line="205"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BIM Collaborate Pro</w:t>
      </w:r>
    </w:p>
    <w:p>
      <w:pPr>
        <w:spacing w:after="0" w:line="233" w:lineRule="exact"/>
        <w:rPr>
          <w:sz w:val="20"/>
          <w:szCs w:val="20"/>
          <w:color w:val="auto"/>
        </w:rPr>
      </w:pPr>
    </w:p>
    <w:p>
      <w:pPr>
        <w:ind w:right="480" w:firstLine="398"/>
        <w:spacing w:after="0" w:line="259" w:lineRule="auto"/>
        <w:rPr>
          <w:sz w:val="20"/>
          <w:szCs w:val="20"/>
          <w:color w:val="auto"/>
        </w:rPr>
      </w:pPr>
      <w:r>
        <w:rPr>
          <w:rFonts w:ascii="Times New Roman" w:cs="Times New Roman" w:eastAsia="Times New Roman" w:hAnsi="Times New Roman"/>
          <w:sz w:val="18"/>
          <w:szCs w:val="18"/>
          <w:color w:val="auto"/>
        </w:rPr>
        <w:t>Autodesk BIM Collaborate Pro is cloud-based design collaboration and design management software that enables teams to: organize project data, democratize access, and connect; improve project visibility to deliver on time; and work together on increasingly complex projects.</w:t>
      </w:r>
    </w:p>
    <w:p>
      <w:pPr>
        <w:spacing w:after="0" w:line="201"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Building Connected</w:t>
      </w:r>
    </w:p>
    <w:p>
      <w:pPr>
        <w:spacing w:after="0" w:line="233" w:lineRule="exact"/>
        <w:rPr>
          <w:sz w:val="20"/>
          <w:szCs w:val="20"/>
          <w:color w:val="auto"/>
        </w:rPr>
      </w:pPr>
    </w:p>
    <w:p>
      <w:pPr>
        <w:ind w:right="120" w:firstLine="398"/>
        <w:spacing w:after="0" w:line="259" w:lineRule="auto"/>
        <w:rPr>
          <w:sz w:val="20"/>
          <w:szCs w:val="20"/>
          <w:color w:val="auto"/>
        </w:rPr>
      </w:pPr>
      <w:r>
        <w:rPr>
          <w:rFonts w:ascii="Times New Roman" w:cs="Times New Roman" w:eastAsia="Times New Roman" w:hAnsi="Times New Roman"/>
          <w:sz w:val="18"/>
          <w:szCs w:val="18"/>
          <w:color w:val="auto"/>
        </w:rPr>
        <w:t>BuildingConnected is a SaaS preconstruction solution that combines a large real-time, construction network with an easy-to-use tool that helps general contractors and owners streamline subcontractor qualification, and the bid and risk management process.</w:t>
      </w:r>
    </w:p>
    <w:p>
      <w:pPr>
        <w:spacing w:after="0" w:line="20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Revit</w:t>
      </w:r>
    </w:p>
    <w:p>
      <w:pPr>
        <w:spacing w:after="0" w:line="24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206"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Tandem</w:t>
      </w:r>
    </w:p>
    <w:p>
      <w:pPr>
        <w:spacing w:after="0" w:line="246"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Tandem is a cloud-based platform that transforms the built asset lifecycle. Tandem helps AECO firms harness BIM data throughout the project lifecycle to create and hand over a digital twin. Tandem helps owners connect operational systems to the digital twin, turning fragmented data into business intelligence.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AutoCAD and AutoCAD LT</w:t>
      </w:r>
    </w:p>
    <w:p>
      <w:pPr>
        <w:spacing w:after="0" w:line="24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AutoCAD</w:t>
      </w:r>
    </w:p>
    <w:p>
      <w:pPr>
        <w:spacing w:after="0" w:line="246"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201"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AutoCAD LT</w:t>
      </w:r>
    </w:p>
    <w:p>
      <w:pPr>
        <w:spacing w:after="0" w:line="246" w:lineRule="exact"/>
        <w:rPr>
          <w:sz w:val="20"/>
          <w:szCs w:val="20"/>
          <w:color w:val="auto"/>
        </w:rPr>
      </w:pPr>
    </w:p>
    <w:p>
      <w:pPr>
        <w:jc w:val="both"/>
        <w:ind w:right="40" w:firstLine="398"/>
        <w:spacing w:after="0" w:line="260" w:lineRule="auto"/>
        <w:rPr>
          <w:sz w:val="20"/>
          <w:szCs w:val="20"/>
          <w:color w:val="auto"/>
        </w:rPr>
      </w:pPr>
      <w:r>
        <w:rPr>
          <w:rFonts w:ascii="Times New Roman" w:cs="Times New Roman" w:eastAsia="Times New Roman" w:hAnsi="Times New Roman"/>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(“MFG”)</w:t>
      </w:r>
    </w:p>
    <w:p>
      <w:pPr>
        <w:spacing w:after="0" w:line="24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Fusion</w:t>
      </w:r>
    </w:p>
    <w:p>
      <w:pPr>
        <w:spacing w:after="0" w:line="246" w:lineRule="exact"/>
        <w:rPr>
          <w:sz w:val="20"/>
          <w:szCs w:val="20"/>
          <w:color w:val="auto"/>
        </w:rPr>
      </w:pPr>
    </w:p>
    <w:p>
      <w:pPr>
        <w:ind w:right="220" w:firstLine="398"/>
        <w:spacing w:after="0" w:line="274" w:lineRule="auto"/>
        <w:rPr>
          <w:sz w:val="20"/>
          <w:szCs w:val="20"/>
          <w:color w:val="auto"/>
        </w:rPr>
      </w:pPr>
      <w:r>
        <w:rPr>
          <w:rFonts w:ascii="Times New Roman" w:cs="Times New Roman" w:eastAsia="Times New Roman" w:hAnsi="Times New Roman"/>
          <w:sz w:val="18"/>
          <w:szCs w:val="18"/>
          <w:color w:val="auto"/>
        </w:rPr>
        <w:t>Fusion is the first 3D CAD, CAM, and computer-aided engineering (“CAE”) tool of its kind. It connects the entire product development process on a single cloud-based platform.</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w:t>
      </w:r>
    </w:p>
    <w:p>
      <w:pPr>
        <w:spacing w:after="0" w:line="246"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206"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Design &amp; Manufacturing Collection</w:t>
      </w:r>
    </w:p>
    <w:p>
      <w:pPr>
        <w:spacing w:after="0" w:line="246" w:lineRule="exact"/>
        <w:rPr>
          <w:sz w:val="20"/>
          <w:szCs w:val="20"/>
          <w:color w:val="auto"/>
        </w:rPr>
      </w:pPr>
    </w:p>
    <w:p>
      <w:pPr>
        <w:ind w:right="320" w:firstLine="398"/>
        <w:spacing w:after="0" w:line="260" w:lineRule="auto"/>
        <w:rPr>
          <w:sz w:val="20"/>
          <w:szCs w:val="20"/>
          <w:color w:val="auto"/>
        </w:rPr>
      </w:pPr>
      <w:r>
        <w:rPr>
          <w:rFonts w:ascii="Times New Roman" w:cs="Times New Roman" w:eastAsia="Times New Roman" w:hAnsi="Times New Roman"/>
          <w:sz w:val="18"/>
          <w:szCs w:val="18"/>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Vault, and Inventor.</w:t>
      </w:r>
    </w:p>
    <w:p>
      <w:pPr>
        <w:spacing w:after="0" w:line="201"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Vault</w:t>
      </w:r>
    </w:p>
    <w:p>
      <w:pPr>
        <w:spacing w:after="0" w:line="246" w:lineRule="exact"/>
        <w:rPr>
          <w:sz w:val="20"/>
          <w:szCs w:val="20"/>
          <w:color w:val="auto"/>
        </w:rPr>
      </w:pPr>
    </w:p>
    <w:p>
      <w:pPr>
        <w:jc w:val="both"/>
        <w:ind w:right="320" w:firstLine="398"/>
        <w:spacing w:after="0" w:line="260" w:lineRule="auto"/>
        <w:rPr>
          <w:sz w:val="20"/>
          <w:szCs w:val="20"/>
          <w:color w:val="auto"/>
        </w:rPr>
      </w:pPr>
      <w:r>
        <w:rPr>
          <w:rFonts w:ascii="Times New Roman" w:cs="Times New Roman" w:eastAsia="Times New Roman" w:hAnsi="Times New Roman"/>
          <w:sz w:val="18"/>
          <w:szCs w:val="18"/>
          <w:color w:val="auto"/>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Media and Entertainment (“M&amp;E”)</w:t>
      </w:r>
    </w:p>
    <w:p>
      <w:pPr>
        <w:spacing w:after="0" w:line="244"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Flow Production Tracking</w:t>
      </w:r>
    </w:p>
    <w:p>
      <w:pPr>
        <w:spacing w:after="0" w:line="246"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Flow Production Tracking is cloud-based production management software for the M&amp;E industry. Creative companies use the Flow Production Tracking platform to provide essential tool collaboration, review, scheduling and tracking to producers, production managers, artists and supervisors, who often work globally with distributed teams.</w:t>
      </w:r>
    </w:p>
    <w:p>
      <w:pPr>
        <w:spacing w:after="0" w:line="201"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Maya</w:t>
      </w:r>
    </w:p>
    <w:p>
      <w:pPr>
        <w:spacing w:after="0" w:line="246" w:lineRule="exact"/>
        <w:rPr>
          <w:sz w:val="20"/>
          <w:szCs w:val="20"/>
          <w:color w:val="auto"/>
        </w:rPr>
      </w:pPr>
    </w:p>
    <w:p>
      <w:pPr>
        <w:ind w:right="120" w:firstLine="398"/>
        <w:spacing w:after="0" w:line="260" w:lineRule="auto"/>
        <w:rPr>
          <w:sz w:val="20"/>
          <w:szCs w:val="20"/>
          <w:color w:val="auto"/>
        </w:rPr>
      </w:pPr>
      <w:r>
        <w:rPr>
          <w:rFonts w:ascii="Times New Roman" w:cs="Times New Roman" w:eastAsia="Times New Roman" w:hAnsi="Times New Roman"/>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full-length animated feature films.</w:t>
      </w:r>
    </w:p>
    <w:p>
      <w:pPr>
        <w:spacing w:after="0" w:line="201"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Media &amp; Entertainment Collection</w:t>
      </w:r>
    </w:p>
    <w:p>
      <w:pPr>
        <w:spacing w:after="0" w:line="246" w:lineRule="exact"/>
        <w:rPr>
          <w:sz w:val="20"/>
          <w:szCs w:val="20"/>
          <w:color w:val="auto"/>
        </w:rPr>
      </w:pPr>
    </w:p>
    <w:p>
      <w:pPr>
        <w:ind w:right="20" w:firstLine="398"/>
        <w:spacing w:after="0" w:line="274" w:lineRule="auto"/>
        <w:rPr>
          <w:sz w:val="20"/>
          <w:szCs w:val="20"/>
          <w:color w:val="auto"/>
        </w:rPr>
      </w:pPr>
      <w:r>
        <w:rPr>
          <w:rFonts w:ascii="Times New Roman" w:cs="Times New Roman" w:eastAsia="Times New Roman" w:hAnsi="Times New Roman"/>
          <w:sz w:val="18"/>
          <w:szCs w:val="18"/>
          <w:color w:val="auto"/>
        </w:rPr>
        <w:t>The M&amp;E Collection provides end-to-end creative tools for entertainment creation. This collection enables animators, modelers, and visual effects artists to access the tools they need, including Maya and 3ds Max, to create compelling effects, 3D characters, and digital worlds.</w:t>
      </w:r>
    </w:p>
    <w:p>
      <w:pPr>
        <w:spacing w:after="0" w:line="189"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3ds Max</w:t>
      </w:r>
    </w:p>
    <w:p>
      <w:pPr>
        <w:spacing w:after="0" w:line="246" w:lineRule="exact"/>
        <w:rPr>
          <w:sz w:val="20"/>
          <w:szCs w:val="20"/>
          <w:color w:val="auto"/>
        </w:rPr>
      </w:pPr>
    </w:p>
    <w:p>
      <w:pPr>
        <w:jc w:val="both"/>
        <w:ind w:right="60" w:firstLine="398"/>
        <w:spacing w:after="0" w:line="260" w:lineRule="auto"/>
        <w:rPr>
          <w:sz w:val="20"/>
          <w:szCs w:val="20"/>
          <w:color w:val="auto"/>
        </w:rPr>
      </w:pPr>
      <w:r>
        <w:rPr>
          <w:rFonts w:ascii="Times New Roman" w:cs="Times New Roman" w:eastAsia="Times New Roman" w:hAnsi="Times New Roman"/>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AND INTRODUCTION</w:t>
      </w:r>
    </w:p>
    <w:p>
      <w:pPr>
        <w:spacing w:after="0" w:line="24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convergence, more flexibility and sustainable outcomes.</w:t>
      </w:r>
    </w:p>
    <w:p>
      <w:pPr>
        <w:spacing w:after="0" w:line="208"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We are undertaking a multi-year process to develop lifecycle solutions within and between our industry clouds, powered by shared platform services, and with our data model at its core. Together, these will help enable Autodesk, its customers, and partners, to create more valuable, data-driven, and connected products and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398"/>
        <w:spacing w:after="0" w:line="244" w:lineRule="auto"/>
        <w:rPr>
          <w:sz w:val="20"/>
          <w:szCs w:val="20"/>
          <w:color w:val="auto"/>
        </w:rPr>
      </w:pPr>
      <w:r>
        <w:rPr>
          <w:rFonts w:ascii="Times New Roman" w:cs="Times New Roman" w:eastAsia="Times New Roman" w:hAnsi="Times New Roman"/>
          <w:sz w:val="18"/>
          <w:szCs w:val="18"/>
          <w:color w:val="auto"/>
        </w:rPr>
        <w:t>Subscription plan offerings are designed to give our customers increased flexibility with how they use our products and service offerings and to attract a broader range of customers such as project-based users and small businesses. Subscription plans represent a combined hybrid offering of desktop software and cloud functionality which provides a device-independent, collaborative design workflow for designers and their stakeholders.</w:t>
      </w:r>
    </w:p>
    <w:p>
      <w:pPr>
        <w:spacing w:after="0" w:line="218" w:lineRule="exact"/>
        <w:rPr>
          <w:sz w:val="20"/>
          <w:szCs w:val="20"/>
          <w:color w:val="auto"/>
        </w:rPr>
      </w:pPr>
    </w:p>
    <w:p>
      <w:pPr>
        <w:ind w:right="180" w:firstLine="398"/>
        <w:spacing w:after="0" w:line="241" w:lineRule="auto"/>
        <w:rPr>
          <w:sz w:val="20"/>
          <w:szCs w:val="20"/>
          <w:color w:val="auto"/>
        </w:rPr>
      </w:pPr>
      <w:r>
        <w:rPr>
          <w:rFonts w:ascii="Times New Roman" w:cs="Times New Roman" w:eastAsia="Times New Roman" w:hAnsi="Times New Roman"/>
          <w:sz w:val="18"/>
          <w:szCs w:val="18"/>
          <w:color w:val="auto"/>
        </w:rPr>
        <w:t>We dedicate considerable technical and financial resources to research and development to deliver additional automation and insights to our customers through artificial intelligence (“AI”), machine learning, and generative design, which increase efficiency and sustainability and reduce waste. These investments further enhance our existing products and create new solutions and technologies which connect the workflows and data of our customers across the ecosystem of their projects and expand our market opportunity. Our tools connect and automate the phases of design and creation, enabling greater collaboration and the seamless flow of data for individuals and teams across all phases.</w:t>
      </w:r>
    </w:p>
    <w:p>
      <w:pPr>
        <w:spacing w:after="0" w:line="208" w:lineRule="exact"/>
        <w:rPr>
          <w:sz w:val="20"/>
          <w:szCs w:val="20"/>
          <w:color w:val="auto"/>
        </w:rPr>
      </w:pPr>
    </w:p>
    <w:p>
      <w:pPr>
        <w:ind w:right="40" w:firstLine="398"/>
        <w:spacing w:after="0" w:line="243" w:lineRule="auto"/>
        <w:rPr>
          <w:sz w:val="20"/>
          <w:szCs w:val="20"/>
          <w:color w:val="auto"/>
        </w:rPr>
      </w:pPr>
      <w:r>
        <w:rPr>
          <w:rFonts w:ascii="Times New Roman" w:cs="Times New Roman" w:eastAsia="Times New Roman" w:hAnsi="Times New Roman"/>
          <w:sz w:val="18"/>
          <w:szCs w:val="18"/>
          <w:color w:val="auto"/>
        </w:rPr>
        <w:t>Our software is primarily developed internally; however, we also use independent firms and contractors to perform some of our product development activities. Additionally, we acquire or license products and technologies developed by third parties. We continually review these investments to ensure that we are generating sufficient revenue or gaining a competitive advantage to justify their costs.</w:t>
      </w:r>
    </w:p>
    <w:p>
      <w:pPr>
        <w:spacing w:after="0" w:line="1" w:lineRule="exact"/>
        <w:rPr>
          <w:sz w:val="20"/>
          <w:szCs w:val="20"/>
          <w:color w:val="auto"/>
        </w:rPr>
      </w:pPr>
    </w:p>
    <w:p>
      <w:pPr>
        <w:ind w:right="80" w:firstLine="398"/>
        <w:spacing w:after="0" w:line="270" w:lineRule="auto"/>
        <w:rPr>
          <w:sz w:val="20"/>
          <w:szCs w:val="20"/>
          <w:color w:val="auto"/>
        </w:rPr>
      </w:pPr>
      <w:r>
        <w:rPr>
          <w:rFonts w:ascii="Times New Roman" w:cs="Times New Roman" w:eastAsia="Times New Roman" w:hAnsi="Times New Roman"/>
          <w:sz w:val="17"/>
          <w:szCs w:val="17"/>
          <w:color w:val="auto"/>
        </w:rPr>
        <w:t>The majority of our research and product development is performed in the United States, Canada, and India.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Japanese, Korean, and simplified and traditional Chinese.</w:t>
      </w:r>
    </w:p>
    <w:p>
      <w:pPr>
        <w:spacing w:after="0" w:line="196" w:lineRule="exact"/>
        <w:rPr>
          <w:sz w:val="20"/>
          <w:szCs w:val="20"/>
          <w:color w:val="auto"/>
        </w:rPr>
      </w:pPr>
    </w:p>
    <w:p>
      <w:pPr>
        <w:ind w:right="280" w:firstLine="398"/>
        <w:spacing w:after="0" w:line="255" w:lineRule="auto"/>
        <w:rPr>
          <w:sz w:val="20"/>
          <w:szCs w:val="20"/>
          <w:color w:val="auto"/>
        </w:rPr>
      </w:pPr>
      <w:r>
        <w:rPr>
          <w:rFonts w:ascii="Times New Roman" w:cs="Times New Roman" w:eastAsia="Times New Roman" w:hAnsi="Times New Roman"/>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tap into a diverse global talent pool, optimize costs, and integrate local market knowledge into our development activities. We continually assess costs, hiring challenges, and intellectual property protection, against the benefits of our international development activities.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regarding risks from our product development and introduction efforts, see Item 1A, “Risk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46" w:lineRule="exact"/>
        <w:rPr>
          <w:sz w:val="20"/>
          <w:szCs w:val="20"/>
          <w:color w:val="auto"/>
        </w:rPr>
      </w:pPr>
    </w:p>
    <w:p>
      <w:pPr>
        <w:ind w:right="280" w:firstLine="398"/>
        <w:spacing w:after="0" w:line="253"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direct and indirect channels. We transact directly with our enterprise and named account customers, with customers through our online Autodesk branded store, and with certain customers through our new transaction model whereby Solution Providers provide a quote to customers but the actual transaction occurs directly between Autodesk and the customer. The new transaction model helps customers with enhanced control and time savings through self-service, consistent pricing, and a more personalized buying experience. Also, it gives Solution Providers and Autodesk access to essential data to improve our offerings and the customers’ buying experience.</w:t>
      </w:r>
    </w:p>
    <w:p>
      <w:pPr>
        <w:spacing w:after="0" w:line="209"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expect our indirect channel will continue to transact and support a considerable portion of our customers, particularly in emerging regions and with governments. Our indirect channel model includes both a two-tiered distribution structure, where distributors sell to resellers, and a one-tiered structure, where Autodesk sells directly to resellers. We have a network of approximately 1,170 resellers and distributors worldwide. For fiscal 2026, approximately 37% of our revenue was derived from indirect channel sales through distributors and resellers. We employ a variety of incentive programs and promotions to align our direct and indirect channels with our business strategies.</w:t>
      </w:r>
    </w:p>
    <w:p>
      <w:pPr>
        <w:spacing w:after="0" w:line="209"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and our new transaction model, we are transacting directly with more end customers, rather than through distributors and resellers, without substantial disruption to our revenue. Our ability to effectively distribute our products depends in part upon the financial and business condition of our distributor, reseller and Solution Provider networks. The loss of, or a significant reduction in, business with any one of our major distributors, large resellers or Solution Providers could harm our business. See Item 1A, “Risk Factors,” for further discussion. The transition to annual billings for multi-year contracts impacted the timing of our billings and cash collections in fiscal 2026 and we expect this impact to continue into fiscal year 2027. See Part II, Item 7, “Management's Discussion and Analysis of Financial Condition and Results of Operations,”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398"/>
        <w:spacing w:after="0" w:line="271" w:lineRule="auto"/>
        <w:rPr>
          <w:sz w:val="20"/>
          <w:szCs w:val="20"/>
          <w:color w:val="auto"/>
        </w:rPr>
      </w:pPr>
      <w:r>
        <w:rPr>
          <w:rFonts w:ascii="Times New Roman" w:cs="Times New Roman" w:eastAsia="Times New Roman" w:hAnsi="Times New Roman"/>
          <w:sz w:val="17"/>
          <w:szCs w:val="17"/>
          <w:color w:val="auto"/>
        </w:rPr>
        <w:t>Revenue through our largest distributor, TD Synnex Corporation and its global affiliates (collectively, “TD Synnex”), accounted for 14%, 33%, and 39% of our net revenue for the fiscal years ended January 31, 2026, 2025 and 2024, respectively. In connection with our new transaction model, we entered into a new distribution agreement with TD Synnex for government business in certain jurisdictions. We maintained distribution relationships in emerging markets. We have increased our selling efforts with Solution Providers in connection with our new transaction model. Consequently, we believe our business is not substantially dependent on TD Synnex. No other distributor, reseller, or direct customer accounted for 10% or more of our revenue in fiscal 2026.</w:t>
      </w:r>
    </w:p>
    <w:p>
      <w:pPr>
        <w:spacing w:after="0" w:line="196" w:lineRule="exact"/>
        <w:rPr>
          <w:sz w:val="20"/>
          <w:szCs w:val="20"/>
          <w:color w:val="auto"/>
        </w:rPr>
      </w:pPr>
    </w:p>
    <w:p>
      <w:pPr>
        <w:ind w:right="60" w:firstLine="398"/>
        <w:spacing w:after="0" w:line="251" w:lineRule="auto"/>
        <w:rPr>
          <w:sz w:val="20"/>
          <w:szCs w:val="20"/>
          <w:color w:val="auto"/>
        </w:rPr>
      </w:pPr>
      <w:r>
        <w:rPr>
          <w:rFonts w:ascii="Times New Roman" w:cs="Times New Roman" w:eastAsia="Times New Roman" w:hAnsi="Times New Roman"/>
          <w:sz w:val="18"/>
          <w:szCs w:val="18"/>
          <w:color w:val="auto"/>
        </w:rPr>
        <w:t>Our customer-related operations are divided into three geographic regions: the Americas; EMEA; and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spacing w:after="0" w:line="213" w:lineRule="exact"/>
        <w:rPr>
          <w:sz w:val="20"/>
          <w:szCs w:val="20"/>
          <w:color w:val="auto"/>
        </w:rPr>
      </w:pPr>
    </w:p>
    <w:p>
      <w:pPr>
        <w:ind w:right="180" w:firstLine="398"/>
        <w:spacing w:after="0" w:line="253" w:lineRule="auto"/>
        <w:rPr>
          <w:sz w:val="20"/>
          <w:szCs w:val="20"/>
          <w:color w:val="auto"/>
        </w:rPr>
      </w:pPr>
      <w:r>
        <w:rPr>
          <w:rFonts w:ascii="Times New Roman" w:cs="Times New Roman" w:eastAsia="Times New Roman" w:hAnsi="Times New Roman"/>
          <w:sz w:val="18"/>
          <w:szCs w:val="18"/>
          <w:color w:val="auto"/>
        </w:rPr>
        <w:t>We also work directly with distributors, Solution Providers and other partner organizations, computer manufacturers, other software developers, and peripherals manufacturers in cooperative advertising, promotions, and trade-show presentations. We connect with our audiences through scalable marketing strategies such as webinars, live and virtual events, personalized outreach, digital campaigns, sponsorships, and targeted advertising across industry publications, technology platforms, media outlets, and social networks. We also foster global user networks and online communities, enabling customers to connect, collaborate, and share insights about our products, services, and solutions.</w:t>
      </w:r>
    </w:p>
    <w:p>
      <w:pPr>
        <w:spacing w:after="0" w:line="209"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generate revenue primarily through various offerings that provide recurring revenue. Under our subscription plan, customers can use our software anytime, anywhere, get access to the latest updates, and previous versions through term-based product subscriptions, cloud service offerings, and enterprise business agreements (“EBA”). Historically, we have had increased EBA sales activity in our fourth fiscal quarter. This seasonality may not have an immediate impact on our revenue as we recognize subscription revenue over the term of the contract. This seasonality may also affect the relative value of our billings, Remaining Performance Obligations (“RPO”), and collections in the fourth and first fiscal quarters.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PARTNER SUPPORT</w:t>
      </w:r>
    </w:p>
    <w:p>
      <w:pPr>
        <w:spacing w:after="0" w:line="246" w:lineRule="exact"/>
        <w:rPr>
          <w:sz w:val="20"/>
          <w:szCs w:val="20"/>
          <w:color w:val="auto"/>
        </w:rPr>
      </w:pPr>
    </w:p>
    <w:p>
      <w:pPr>
        <w:ind w:right="20" w:firstLine="398"/>
        <w:spacing w:after="0" w:line="249" w:lineRule="auto"/>
        <w:rPr>
          <w:sz w:val="20"/>
          <w:szCs w:val="20"/>
          <w:color w:val="auto"/>
        </w:rPr>
      </w:pPr>
      <w:r>
        <w:rPr>
          <w:rFonts w:ascii="Times New Roman" w:cs="Times New Roman" w:eastAsia="Times New Roman" w:hAnsi="Times New Roman"/>
          <w:sz w:val="18"/>
          <w:szCs w:val="18"/>
          <w:color w:val="auto"/>
        </w:rPr>
        <w:t>With the new transaction model, we are approaching the final phase of modernizing our go-to-market motion, which includes building more durable and direct relationships with our customers, updating our data infrastructure, and retiring old information systems and business models. We provide technical support and training to customers through a multi-tiered support model, augmented by direct programs designed to address certain specific customer needs. Some of our customers receive support and training from resellers and distributors from which they purchased subscriptions or licenses for our products or services, with Autodesk in turn providing second-tier support to the resellers and distributors. Some of our customers may also purchase support and training from Solution Providers. Other customers are supported directly via self-service using the Autodesk Knowledge Network, which guides customers to answers in our online support assets, support forums, or webinars, or to support representatives using different modalities such as social media, phone, email, and webchat. We also support our resellers and distributors through technical product training, sales training classes, webinars, and other knowledge-sharing programs.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IMPACT PROGRAMS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at Autodesk</w:t>
      </w:r>
    </w:p>
    <w:p>
      <w:pPr>
        <w:spacing w:after="0" w:line="246" w:lineRule="exact"/>
        <w:rPr>
          <w:sz w:val="20"/>
          <w:szCs w:val="20"/>
          <w:color w:val="auto"/>
        </w:rPr>
      </w:pPr>
    </w:p>
    <w:p>
      <w:pPr>
        <w:ind w:right="740" w:firstLine="398"/>
        <w:spacing w:after="0" w:line="274" w:lineRule="auto"/>
        <w:rPr>
          <w:sz w:val="20"/>
          <w:szCs w:val="20"/>
          <w:color w:val="auto"/>
        </w:rPr>
      </w:pPr>
      <w:r>
        <w:rPr>
          <w:rFonts w:ascii="Times New Roman" w:cs="Times New Roman" w:eastAsia="Times New Roman" w:hAnsi="Times New Roman"/>
          <w:sz w:val="18"/>
          <w:szCs w:val="18"/>
          <w:color w:val="auto"/>
        </w:rPr>
        <w:t>Autodesk is committed to advancing a more sustainable, resilient, and inclusive world. We take action as a business to support our employees, customers, and communities in our collective opportunity to design and make a better world for all.</w:t>
      </w:r>
    </w:p>
    <w:p>
      <w:pPr>
        <w:spacing w:after="0" w:line="191"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w:t>
      </w:r>
    </w:p>
    <w:p>
      <w:pPr>
        <w:spacing w:after="0" w:line="215" w:lineRule="exact"/>
        <w:rPr>
          <w:sz w:val="20"/>
          <w:szCs w:val="20"/>
          <w:color w:val="auto"/>
        </w:rPr>
      </w:pPr>
    </w:p>
    <w:p>
      <w:pPr>
        <w:ind w:right="760" w:firstLine="398"/>
        <w:spacing w:after="0" w:line="274" w:lineRule="auto"/>
        <w:rPr>
          <w:sz w:val="20"/>
          <w:szCs w:val="20"/>
          <w:color w:val="auto"/>
        </w:rPr>
      </w:pPr>
      <w:r>
        <w:rPr>
          <w:rFonts w:ascii="Times New Roman" w:cs="Times New Roman" w:eastAsia="Times New Roman" w:hAnsi="Times New Roman"/>
          <w:sz w:val="18"/>
          <w:szCs w:val="18"/>
          <w:color w:val="auto"/>
        </w:rPr>
        <w:t>These programs align with our operational priorities and long-term growth strategy. We aim to maintain our commitments, fostering trust with stakeholders and enabling compliance with global regulations.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Education</w:t>
      </w:r>
    </w:p>
    <w:p>
      <w:pPr>
        <w:spacing w:after="0" w:line="246"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Autodesk is committed to helping students gain the in-demand skills and certifications needed to demonstrate they are prepared for current and emerging roles in the industries we serve. We offer free educational licenses of Autodesk’s complete portfolio of professional software to verified students, educators, and accredited educational institutions worldwide. Additionally, we offer self-paced, modular learning and curriculum for K-12, post-secondary students, and educators. Our intention is to make Autodesk software the preferred choice for those poised to become the next generation of design, engineering, and construction professionals.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Sustainability</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46" w:lineRule="exact"/>
        <w:rPr>
          <w:sz w:val="20"/>
          <w:szCs w:val="20"/>
          <w:color w:val="auto"/>
        </w:rPr>
      </w:pPr>
    </w:p>
    <w:p>
      <w:pPr>
        <w:ind w:right="40" w:firstLine="398"/>
        <w:spacing w:after="0" w:line="245" w:lineRule="auto"/>
        <w:rPr>
          <w:sz w:val="20"/>
          <w:szCs w:val="20"/>
          <w:color w:val="auto"/>
        </w:rPr>
      </w:pPr>
      <w:r>
        <w:rPr>
          <w:rFonts w:ascii="Times New Roman" w:cs="Times New Roman" w:eastAsia="Times New Roman" w:hAnsi="Times New Roman"/>
          <w:sz w:val="18"/>
          <w:szCs w:val="18"/>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Climate Change Management Actions</w:t>
      </w:r>
    </w:p>
    <w:p>
      <w:pPr>
        <w:spacing w:after="0" w:line="246"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invest in our tools to meet customer’s demand as well as provide software and support to early-stage entrepreneurs, nonprofit organizations, and start-up companies who are designing clean technologies. We are expanding these offerings based upon demand and opportunity in response to challenges posed by climate change.</w:t>
      </w:r>
    </w:p>
    <w:p>
      <w:pPr>
        <w:spacing w:after="0" w:line="196" w:lineRule="exact"/>
        <w:rPr>
          <w:sz w:val="20"/>
          <w:szCs w:val="20"/>
          <w:color w:val="auto"/>
        </w:rPr>
      </w:pPr>
    </w:p>
    <w:p>
      <w:pPr>
        <w:ind w:right="40" w:firstLine="398"/>
        <w:spacing w:after="0"/>
        <w:rPr>
          <w:sz w:val="20"/>
          <w:szCs w:val="20"/>
          <w:color w:val="auto"/>
        </w:rPr>
      </w:pPr>
      <w:r>
        <w:rPr>
          <w:rFonts w:ascii="Times New Roman" w:cs="Times New Roman" w:eastAsia="Times New Roman" w:hAnsi="Times New Roman"/>
          <w:sz w:val="18"/>
          <w:szCs w:val="18"/>
          <w:color w:val="auto"/>
        </w:rPr>
        <w:t>Internally, we are investing in best practices to mitigate our greenhouse gas emissions (“GHGs”) and climate change risk through investments in renewable energy, energy efficiency, and disaster management and recovery strategies. Our Enterprise Risk Management process considered how climate impacts could affect and potentially amplify the overall significance of each identified risk and opportunity. We regularly assess risks and opportunities in this area and respond accordingly.</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Emissions Performance &amp; Other Key Performance Indicators</w:t>
      </w:r>
    </w:p>
    <w:p>
      <w:pPr>
        <w:spacing w:after="0" w:line="233" w:lineRule="exact"/>
        <w:rPr>
          <w:sz w:val="20"/>
          <w:szCs w:val="20"/>
          <w:color w:val="auto"/>
        </w:rPr>
      </w:pPr>
    </w:p>
    <w:p>
      <w:pPr>
        <w:ind w:right="60" w:firstLine="398"/>
        <w:spacing w:after="0" w:line="259" w:lineRule="auto"/>
        <w:rPr>
          <w:sz w:val="20"/>
          <w:szCs w:val="20"/>
          <w:color w:val="auto"/>
        </w:rPr>
      </w:pPr>
      <w:r>
        <w:rPr>
          <w:rFonts w:ascii="Times New Roman" w:cs="Times New Roman" w:eastAsia="Times New Roman" w:hAnsi="Times New Roman"/>
          <w:sz w:val="17"/>
          <w:szCs w:val="17"/>
          <w:color w:val="auto"/>
        </w:rPr>
        <w:t>In fiscal year 2025, we made progress on our science-based GHG reduction target, to reduce Scope 1 and Scope 2 GHGs 50%, and reduce Scope 3 GHGs per dollar of gross profit 55%, by fiscal year 2031, compared to fiscal year 2020. Additionally, in fiscal 2025, we were responsible for 155,000 metric tons of carbon dioxide equivalent emissions across our market-based operational boundary. This represents a 32% reduction compared to our fiscal year 2020 base line. In addition, our residual 155,000 metric tons of CO2e emissions were neutralized through the procurement of high quality carbon offsets credits.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Impact Reports</w:t>
      </w:r>
    </w:p>
    <w:p>
      <w:pPr>
        <w:spacing w:after="0" w:line="233" w:lineRule="exact"/>
        <w:rPr>
          <w:sz w:val="20"/>
          <w:szCs w:val="20"/>
          <w:color w:val="auto"/>
        </w:rPr>
      </w:pPr>
    </w:p>
    <w:p>
      <w:pPr>
        <w:ind w:right="120" w:firstLine="398"/>
        <w:spacing w:after="0" w:line="238" w:lineRule="auto"/>
        <w:rPr>
          <w:sz w:val="20"/>
          <w:szCs w:val="20"/>
          <w:color w:val="auto"/>
        </w:rPr>
      </w:pPr>
      <w:r>
        <w:rPr>
          <w:rFonts w:ascii="Times New Roman" w:cs="Times New Roman" w:eastAsia="Times New Roman" w:hAnsi="Times New Roman"/>
          <w:sz w:val="18"/>
          <w:szCs w:val="18"/>
          <w:color w:val="auto"/>
        </w:rPr>
        <w:t>More information about our sustainability financing and commitment can be found in our annual Impact Reports, which we have published on our website since 2008. Our fiscal 2026 Impact Report will be published in fiscal 2027. Information contained on or accessible through our website is not part of or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Philanthropy</w:t>
      </w:r>
    </w:p>
    <w:p>
      <w:pPr>
        <w:spacing w:after="0" w:line="246" w:lineRule="exact"/>
        <w:rPr>
          <w:sz w:val="20"/>
          <w:szCs w:val="20"/>
          <w:color w:val="auto"/>
        </w:rPr>
      </w:pPr>
    </w:p>
    <w:p>
      <w:pPr>
        <w:ind w:firstLine="398"/>
        <w:spacing w:after="0" w:line="269" w:lineRule="auto"/>
        <w:rPr>
          <w:sz w:val="20"/>
          <w:szCs w:val="20"/>
          <w:color w:val="auto"/>
        </w:rPr>
      </w:pPr>
      <w:r>
        <w:rPr>
          <w:rFonts w:ascii="Times New Roman" w:cs="Times New Roman" w:eastAsia="Times New Roman" w:hAnsi="Times New Roman"/>
          <w:sz w:val="17"/>
          <w:szCs w:val="17"/>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impact. In the latter case, we use philanthropic capital, software donations, and training to accomplish this goal, selecting the most impactful and innovative organizations around the world who are innovating to create a better future for our planet. On our behalf, the Foundation also administers a discounted software donation program to nonprofit organizations, entrepreneurs, and others who are developing design solutions that will shape a more sustainable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DEVELOPER PROGRAMS</w:t>
      </w:r>
    </w:p>
    <w:p>
      <w:pPr>
        <w:spacing w:after="0" w:line="246" w:lineRule="exact"/>
        <w:rPr>
          <w:sz w:val="20"/>
          <w:szCs w:val="20"/>
          <w:color w:val="auto"/>
        </w:rPr>
      </w:pPr>
    </w:p>
    <w:p>
      <w:pPr>
        <w:ind w:right="60" w:firstLine="398"/>
        <w:spacing w:after="0" w:line="250" w:lineRule="auto"/>
        <w:rPr>
          <w:sz w:val="20"/>
          <w:szCs w:val="20"/>
          <w:color w:val="auto"/>
        </w:rPr>
      </w:pPr>
      <w:r>
        <w:rPr>
          <w:rFonts w:ascii="Times New Roman" w:cs="Times New Roman" w:eastAsia="Times New Roman" w:hAnsi="Times New Roman"/>
          <w:sz w:val="18"/>
          <w:szCs w:val="18"/>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 Autodesk Platform Services facilitates the development of a single connected ecosystem for integrating Autodesk applications with other enterprise, web, and mobile solutions.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208"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Our competitors include large, global, publicly traded companies; small, geographically focused firms; startup firms; and solutions produced in-house by their users. Our primary global competitors include Adobe Systems Incorporated,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spacing w:after="0" w:line="195" w:lineRule="exact"/>
        <w:rPr>
          <w:sz w:val="20"/>
          <w:szCs w:val="20"/>
          <w:color w:val="auto"/>
        </w:rPr>
      </w:pPr>
    </w:p>
    <w:p>
      <w:pPr>
        <w:ind w:right="180" w:firstLine="398"/>
        <w:spacing w:after="0" w:line="232" w:lineRule="auto"/>
        <w:rPr>
          <w:sz w:val="20"/>
          <w:szCs w:val="20"/>
          <w:color w:val="auto"/>
        </w:rPr>
      </w:pPr>
      <w:r>
        <w:rPr>
          <w:rFonts w:ascii="Times New Roman" w:cs="Times New Roman" w:eastAsia="Times New Roman" w:hAnsi="Times New Roman"/>
          <w:sz w:val="18"/>
          <w:szCs w:val="18"/>
          <w:color w:val="auto"/>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Our competitors and new entrants may also be able to develop and market new technologies that render our existing or future products less competitive. Disruptive technologies such as machine learning and other AI technologies may significantly alter the market for our products in unpredictable ways and reduce customer demand.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226"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LICENSES</w:t>
      </w:r>
    </w:p>
    <w:p>
      <w:pPr>
        <w:spacing w:after="0" w:line="246"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208"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208" w:lineRule="exact"/>
        <w:rPr>
          <w:sz w:val="20"/>
          <w:szCs w:val="20"/>
          <w:color w:val="auto"/>
        </w:rPr>
      </w:pPr>
    </w:p>
    <w:p>
      <w:pPr>
        <w:ind w:right="220" w:firstLine="398"/>
        <w:spacing w:after="0" w:line="260" w:lineRule="auto"/>
        <w:rPr>
          <w:sz w:val="20"/>
          <w:szCs w:val="20"/>
          <w:color w:val="auto"/>
        </w:rPr>
      </w:pPr>
      <w:r>
        <w:rPr>
          <w:rFonts w:ascii="Times New Roman" w:cs="Times New Roman" w:eastAsia="Times New Roman" w:hAnsi="Times New Roman"/>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203"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203"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203"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7"/>
          <w:szCs w:val="17"/>
          <w:color w:val="auto"/>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spacing w:after="0" w:line="192"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1A, “Risk Factors,” for further discussion of risks related to protecting our intellectual property.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SUPPLIERS</w:t>
      </w:r>
    </w:p>
    <w:p>
      <w:pPr>
        <w:spacing w:after="0" w:line="246" w:lineRule="exact"/>
        <w:rPr>
          <w:sz w:val="20"/>
          <w:szCs w:val="20"/>
          <w:color w:val="auto"/>
        </w:rPr>
      </w:pPr>
    </w:p>
    <w:p>
      <w:pPr>
        <w:ind w:right="80" w:firstLine="398"/>
        <w:spacing w:after="0" w:line="271" w:lineRule="auto"/>
        <w:rPr>
          <w:sz w:val="20"/>
          <w:szCs w:val="20"/>
          <w:color w:val="auto"/>
        </w:rPr>
      </w:pPr>
      <w:r>
        <w:rPr>
          <w:rFonts w:ascii="Times New Roman" w:cs="Times New Roman" w:eastAsia="Times New Roman" w:hAnsi="Times New Roman"/>
          <w:sz w:val="17"/>
          <w:szCs w:val="17"/>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AND HUMAN CAPITAL MANAGEMENT</w:t>
      </w:r>
    </w:p>
    <w:p>
      <w:pPr>
        <w:spacing w:after="0" w:line="246" w:lineRule="exact"/>
        <w:rPr>
          <w:sz w:val="20"/>
          <w:szCs w:val="20"/>
          <w:color w:val="auto"/>
        </w:rPr>
      </w:pPr>
    </w:p>
    <w:p>
      <w:pPr>
        <w:ind w:right="480" w:firstLine="398"/>
        <w:spacing w:after="0" w:line="274" w:lineRule="auto"/>
        <w:rPr>
          <w:sz w:val="20"/>
          <w:szCs w:val="20"/>
          <w:color w:val="auto"/>
        </w:rPr>
      </w:pPr>
      <w:r>
        <w:rPr>
          <w:rFonts w:ascii="Times New Roman" w:cs="Times New Roman" w:eastAsia="Times New Roman" w:hAnsi="Times New Roman"/>
          <w:sz w:val="18"/>
          <w:szCs w:val="18"/>
          <w:color w:val="auto"/>
        </w:rPr>
        <w:t>Our employees play a central role in the success of our long-term strategy. Autodesk’s Culture Code defines values and behaviors that support our commitment to being a customer company, where each employee takes responsibility for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understanding our customers’ needs, expectations, and experiences. As of January 31, 2026, we employed approximately 14,300 people, a decrease from approximately 15,300 employees as of the end of fiscal year 2025. None of our employees in the United States are represented by a labor union. In certain foreign countries, our employees are represented by trade unions or works councils. We have never experienced any work stoppages and believe our employee relations are strong.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Diversity and Belonging</w:t>
      </w:r>
    </w:p>
    <w:p>
      <w:pPr>
        <w:spacing w:after="0" w:line="246" w:lineRule="exact"/>
        <w:rPr>
          <w:sz w:val="20"/>
          <w:szCs w:val="20"/>
          <w:color w:val="auto"/>
        </w:rPr>
      </w:pPr>
    </w:p>
    <w:p>
      <w:pPr>
        <w:ind w:right="100" w:firstLine="398"/>
        <w:spacing w:after="0" w:line="260" w:lineRule="auto"/>
        <w:rPr>
          <w:sz w:val="20"/>
          <w:szCs w:val="20"/>
          <w:color w:val="auto"/>
        </w:rPr>
      </w:pPr>
      <w:r>
        <w:rPr>
          <w:rFonts w:ascii="Times New Roman" w:cs="Times New Roman" w:eastAsia="Times New Roman" w:hAnsi="Times New Roman"/>
          <w:sz w:val="18"/>
          <w:szCs w:val="18"/>
          <w:color w:val="auto"/>
        </w:rPr>
        <w:t>Autodesk views our culture, diversity, and belonging efforts as directly linked to high performance and unlocking human ingenuity. Our commitment to maintaining a global workforce is grounded in our values and how we work, being inclusive, respectful, and collaborative. Our culture seeks to enable Autodesk employees to do their best work, innovate, contribute to the success of our company, and prosper.</w:t>
      </w:r>
    </w:p>
    <w:p>
      <w:pPr>
        <w:spacing w:after="0" w:line="203"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We believe there are markets for talent that remain untapped or underutilized, which drives our sourcing and networking efforts. We do this by widening our talent pipelines to attract and retain the most capable, skilled, and top-tier professionals from all backgrounds. This strategy strengthens our ability to meet and speak to an ever-expanding and diverse customer base, fueling our competitive edge, increasing customer trust, and driving sustainable growth and success in a dynamic global marketplace.</w:t>
      </w:r>
    </w:p>
    <w:p>
      <w:pPr>
        <w:spacing w:after="0" w:line="208"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We consistently expand our networks and investments in targeted partnerships-both professional and academic- including: Hispanic-serving educational institutions, Historically Black Colleges and Universities and professional organizations around the globe that provide greater access to pools of under recognized talent in key sectors like technology. By leveraging our extensive portfolio of programs—scholarships, internships, sponsorship agreements, mentorship, and development—we demonstrate our capability to nurture and retain top-tier talent.</w:t>
      </w:r>
    </w:p>
    <w:p>
      <w:pPr>
        <w:spacing w:after="0" w:line="208" w:lineRule="exact"/>
        <w:rPr>
          <w:sz w:val="20"/>
          <w:szCs w:val="20"/>
          <w:color w:val="auto"/>
        </w:rPr>
      </w:pPr>
    </w:p>
    <w:p>
      <w:pPr>
        <w:ind w:right="180" w:firstLine="398"/>
        <w:spacing w:after="0" w:line="274" w:lineRule="auto"/>
        <w:rPr>
          <w:sz w:val="20"/>
          <w:szCs w:val="20"/>
          <w:color w:val="auto"/>
        </w:rPr>
      </w:pPr>
      <w:r>
        <w:rPr>
          <w:rFonts w:ascii="Times New Roman" w:cs="Times New Roman" w:eastAsia="Times New Roman" w:hAnsi="Times New Roman"/>
          <w:sz w:val="18"/>
          <w:szCs w:val="18"/>
          <w:color w:val="auto"/>
        </w:rPr>
        <w:t>We offer continuous development opportunities to all employees that facilitate mentorship relationships, as well as focused sponsorship and leadership development programs in partnership with our Employee Resource Groups (ERGs).</w:t>
      </w:r>
    </w:p>
    <w:p>
      <w:pPr>
        <w:spacing w:after="0" w:line="191"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color w:val="auto"/>
        </w:rPr>
        <w:t>We proudly support nine ERGs, which are open to all employees and play a pivotal role in scaling a sense of belonging across the Company. These groups are formed based on various factors, including shared interests, backgrounds, unique identities, and professional experiences. Our culture promotes choice, allowing employees to engage and participate in ways that resonate with them—whether as allies or direct members of one or more groups. ERGs are one of the ways we retain and engage our talent community of Autodesk employees, while also creating a work environment that learns from and leverages diverse perspectives and experiences that enrich how we all work together as one Autodesk.</w:t>
      </w:r>
    </w:p>
    <w:p>
      <w:pPr>
        <w:spacing w:after="0" w:line="209"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Finally, we are an equal opportunity employer that does not discriminate in recruiting, hiring, training, or promoting on any basis protected by law. Additional information on our Diversity and Belonging program, initiatives, and metrics can be found on our website at autodesk.com/company/diversity-and-belonging. Information contained on or accessible through our website is not part of or incorporated by reference into this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Professional Development and Employee Impact</w:t>
      </w:r>
    </w:p>
    <w:p>
      <w:pPr>
        <w:spacing w:after="0" w:line="233" w:lineRule="exact"/>
        <w:rPr>
          <w:sz w:val="20"/>
          <w:szCs w:val="20"/>
          <w:color w:val="auto"/>
        </w:rPr>
      </w:pPr>
    </w:p>
    <w:p>
      <w:pPr>
        <w:ind w:right="160" w:firstLine="398"/>
        <w:spacing w:after="0" w:line="260" w:lineRule="auto"/>
        <w:rPr>
          <w:sz w:val="20"/>
          <w:szCs w:val="20"/>
          <w:color w:val="auto"/>
        </w:rPr>
      </w:pPr>
      <w:r>
        <w:rPr>
          <w:rFonts w:ascii="Times New Roman" w:cs="Times New Roman" w:eastAsia="Times New Roman" w:hAnsi="Times New Roman"/>
          <w:sz w:val="18"/>
          <w:szCs w:val="18"/>
          <w:color w:val="auto"/>
        </w:rPr>
        <w:t>We believe career development plays an important role in keeping our employees engaged and in providing additional opportunities for them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spacing w:after="0" w:line="203" w:lineRule="exact"/>
        <w:rPr>
          <w:sz w:val="20"/>
          <w:szCs w:val="20"/>
          <w:color w:val="auto"/>
        </w:rPr>
      </w:pPr>
    </w:p>
    <w:p>
      <w:pPr>
        <w:ind w:right="100" w:firstLine="477"/>
        <w:spacing w:after="0" w:line="274" w:lineRule="auto"/>
        <w:rPr>
          <w:sz w:val="20"/>
          <w:szCs w:val="20"/>
          <w:color w:val="auto"/>
        </w:rPr>
      </w:pPr>
      <w:r>
        <w:rPr>
          <w:rFonts w:ascii="Times New Roman" w:cs="Times New Roman" w:eastAsia="Times New Roman" w:hAnsi="Times New Roman"/>
          <w:sz w:val="18"/>
          <w:szCs w:val="18"/>
          <w:color w:val="auto"/>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Total Rewards</w:t>
      </w:r>
    </w:p>
    <w:p>
      <w:pPr>
        <w:spacing w:after="0" w:line="233" w:lineRule="exact"/>
        <w:rPr>
          <w:sz w:val="20"/>
          <w:szCs w:val="20"/>
          <w:color w:val="auto"/>
        </w:rPr>
      </w:pPr>
    </w:p>
    <w:p>
      <w:pPr>
        <w:ind w:right="140" w:firstLine="398"/>
        <w:spacing w:after="0" w:line="260" w:lineRule="auto"/>
        <w:rPr>
          <w:sz w:val="20"/>
          <w:szCs w:val="20"/>
          <w:color w:val="auto"/>
        </w:rPr>
      </w:pPr>
      <w:r>
        <w:rPr>
          <w:rFonts w:ascii="Times New Roman" w:cs="Times New Roman" w:eastAsia="Times New Roman" w:hAnsi="Times New Roman"/>
          <w:sz w:val="18"/>
          <w:szCs w:val="18"/>
          <w:color w:val="auto"/>
        </w:rPr>
        <w:t>To attract, retain, and support our employees, we offer competitive compensation and benefits programs, several of which include an element of choice to meet the needs of our diverse and global population. In addition to competitive base pay and opportunities to receive short-term incentives, all our employees are eligible to participate in our long-term plans. We also have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comprehensive health and wellness benefits, a generous time off program, an employee stock purchase plan, sabbaticals, retirement plans, financial support programs, financial tools and education, and an employee assistance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33" w:lineRule="exact"/>
        <w:rPr>
          <w:sz w:val="20"/>
          <w:szCs w:val="20"/>
          <w:color w:val="auto"/>
        </w:rPr>
      </w:pPr>
    </w:p>
    <w:p>
      <w:pPr>
        <w:ind w:right="20" w:firstLine="398"/>
        <w:spacing w:after="0" w:line="274" w:lineRule="auto"/>
        <w:rPr>
          <w:sz w:val="20"/>
          <w:szCs w:val="20"/>
          <w:color w:val="auto"/>
        </w:rPr>
      </w:pPr>
      <w:r>
        <w:rPr>
          <w:rFonts w:ascii="Times New Roman" w:cs="Times New Roman" w:eastAsia="Times New Roman" w:hAnsi="Times New Roman"/>
          <w:sz w:val="18"/>
          <w:szCs w:val="18"/>
          <w:color w:val="auto"/>
        </w:rPr>
        <w:t>We acquired new technology or supplemented our existing technology by purchasing businesses or technology related assets focused in specific markets or industries. During the fiscal year ended January 31, 2026, Autodesk did not complete any business combinations.</w:t>
      </w:r>
    </w:p>
    <w:p>
      <w:pPr>
        <w:spacing w:after="0" w:line="191" w:lineRule="exact"/>
        <w:rPr>
          <w:sz w:val="20"/>
          <w:szCs w:val="20"/>
          <w:color w:val="auto"/>
        </w:rPr>
      </w:pPr>
    </w:p>
    <w:p>
      <w:pPr>
        <w:ind w:right="120" w:firstLine="398"/>
        <w:spacing w:after="0" w:line="274" w:lineRule="auto"/>
        <w:rPr>
          <w:sz w:val="20"/>
          <w:szCs w:val="20"/>
          <w:color w:val="auto"/>
        </w:rPr>
      </w:pPr>
      <w:r>
        <w:rPr>
          <w:rFonts w:ascii="Times New Roman" w:cs="Times New Roman" w:eastAsia="Times New Roman" w:hAnsi="Times New Roman"/>
          <w:sz w:val="18"/>
          <w:szCs w:val="18"/>
          <w:color w:val="auto"/>
        </w:rPr>
        <w:t>We acquire technology-related assets that are complementary to or otherwise enhance our existing technologies. We also make investments in privately held companies that develop technology that is complementary to or provide strategic value and expand opportunities for our technologies.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46" w:lineRule="exact"/>
        <w:rPr>
          <w:sz w:val="20"/>
          <w:szCs w:val="20"/>
          <w:color w:val="auto"/>
        </w:rPr>
      </w:pPr>
    </w:p>
    <w:p>
      <w:pPr>
        <w:ind w:right="240" w:firstLine="398"/>
        <w:spacing w:after="0" w:line="274" w:lineRule="auto"/>
        <w:rPr>
          <w:sz w:val="20"/>
          <w:szCs w:val="20"/>
          <w:color w:val="auto"/>
        </w:rPr>
      </w:pPr>
      <w:r>
        <w:rPr>
          <w:rFonts w:ascii="Times New Roman" w:cs="Times New Roman" w:eastAsia="Times New Roman" w:hAnsi="Times New Roman"/>
          <w:sz w:val="18"/>
          <w:szCs w:val="18"/>
          <w:color w:val="auto"/>
        </w:rPr>
        <w:t>We are subject to various regulations, particularly those involving privacy and import/export controls. See Item 1A, “Risk Factors—Risks Relating to Laws and Regulations,” for further discussion.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4"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Cloud Service Offerings: </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0"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Maintenance Plan: </w:t>
      </w:r>
      <w:r>
        <w:rPr>
          <w:rFonts w:ascii="Times New Roman" w:cs="Times New Roman" w:eastAsia="Times New Roman" w:hAnsi="Times New Roman"/>
          <w:sz w:val="17"/>
          <w:szCs w:val="17"/>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Autodesk Build, BIM Collaborate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BuildingConnected, Fusion, and Flow Production Tracking. Certain products, such as Fusion, incorporate both Design and Make functionality and are classified as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Net Revenue Retention Rate (NR3): </w:t>
      </w:r>
      <w:r>
        <w:rPr>
          <w:rFonts w:ascii="Times New Roman" w:cs="Times New Roman" w:eastAsia="Times New Roman" w:hAnsi="Times New Roman"/>
          <w:sz w:val="17"/>
          <w:szCs w:val="17"/>
          <w:color w:val="auto"/>
        </w:rPr>
        <w:t>Measures the year-over-year change in Recurring Revenue for the population of customers that existed one year ago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9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training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8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Family: </w:t>
      </w:r>
      <w:r>
        <w:rPr>
          <w:rFonts w:ascii="Times New Roman" w:cs="Times New Roman" w:eastAsia="Times New Roman" w:hAnsi="Times New Roman"/>
          <w:sz w:val="18"/>
          <w:szCs w:val="18"/>
          <w:color w:val="auto"/>
        </w:rPr>
        <w:t>A grouping of related products or solutions that address specific industry or market needs, customer types, or use cases, or share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0"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is the amount of revenue we expect to recognize in the next twelve months.</w:t>
      </w:r>
    </w:p>
    <w:p>
      <w:pPr>
        <w:spacing w:after="0" w:line="187"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8"/>
          <w:szCs w:val="18"/>
          <w:i w:val="1"/>
          <w:iCs w:val="1"/>
          <w:color w:val="auto"/>
        </w:rPr>
        <w:t>Solution Provider</w:t>
      </w:r>
      <w:r>
        <w:rPr>
          <w:rFonts w:ascii="Times New Roman" w:cs="Times New Roman" w:eastAsia="Times New Roman" w:hAnsi="Times New Roman"/>
          <w:sz w:val="18"/>
          <w:szCs w:val="18"/>
          <w:color w:val="auto"/>
        </w:rPr>
        <w:t>: Solution Provider is the name of our channel partners who primarily serve our new transaction model customers worldwide.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may also be resellers in relation to Autodesk solutions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Unbilled Deferred Revenue: </w:t>
      </w:r>
      <w:r>
        <w:rPr>
          <w:rFonts w:ascii="Times New Roman" w:cs="Times New Roman" w:eastAsia="Times New Roman" w:hAnsi="Times New Roman"/>
          <w:sz w:val="18"/>
          <w:szCs w:val="18"/>
          <w:color w:val="auto"/>
        </w:rPr>
        <w:t>Unbilled deferred revenue represents contractually stated or committed contracts under early renewal and multi-year billing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subscription, services, and 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20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7" w:lineRule="exact"/>
        <w:rPr>
          <w:sz w:val="20"/>
          <w:szCs w:val="20"/>
          <w:color w:val="auto"/>
        </w:rPr>
      </w:pPr>
    </w:p>
    <w:p>
      <w:pPr>
        <w:ind w:right="20" w:firstLine="398"/>
        <w:spacing w:after="0" w:line="247"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Annual Report on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Annual Report on Form 10-K and in the documents incorporated herein by reference. They could affect our actual results of operations, causing them to differ materially from those expressed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46" w:lineRule="exact"/>
        <w:rPr>
          <w:sz w:val="20"/>
          <w:szCs w:val="20"/>
          <w:color w:val="auto"/>
        </w:rPr>
      </w:pPr>
    </w:p>
    <w:p>
      <w:pPr>
        <w:ind w:right="240" w:firstLine="398"/>
        <w:spacing w:after="0" w:line="25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1" w:lineRule="exact"/>
        <w:rPr>
          <w:sz w:val="20"/>
          <w:szCs w:val="20"/>
          <w:color w:val="auto"/>
        </w:rPr>
      </w:pPr>
    </w:p>
    <w:p>
      <w:pPr>
        <w:ind w:left="640" w:right="500" w:hanging="316"/>
        <w:spacing w:after="0" w:line="237" w:lineRule="auto"/>
        <w:tabs>
          <w:tab w:leader="none" w:pos="63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w:t>
      </w:r>
    </w:p>
    <w:p>
      <w:pPr>
        <w:spacing w:after="0" w:line="1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33" w:lineRule="exact"/>
        <w:rPr>
          <w:rFonts w:ascii="Arial" w:cs="Arial" w:eastAsia="Arial" w:hAnsi="Arial"/>
          <w:sz w:val="21"/>
          <w:szCs w:val="21"/>
          <w:color w:val="auto"/>
        </w:rPr>
      </w:pPr>
    </w:p>
    <w:p>
      <w:pPr>
        <w:ind w:left="640" w:right="100" w:hanging="316"/>
        <w:spacing w:after="0" w:line="237" w:lineRule="auto"/>
        <w:tabs>
          <w:tab w:leader="none" w:pos="63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15" w:lineRule="exact"/>
        <w:rPr>
          <w:rFonts w:ascii="Arial" w:cs="Arial" w:eastAsia="Arial" w:hAnsi="Arial"/>
          <w:sz w:val="20"/>
          <w:szCs w:val="20"/>
          <w:color w:val="auto"/>
        </w:rPr>
      </w:pPr>
    </w:p>
    <w:p>
      <w:pPr>
        <w:ind w:left="640" w:hanging="316"/>
        <w:spacing w:after="0" w:line="236"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and expectations regarding the expected benefits, timing and costs associated with our restructuring plans.</w:t>
      </w:r>
    </w:p>
    <w:p>
      <w:pPr>
        <w:spacing w:after="0" w:line="14" w:lineRule="exact"/>
        <w:rPr>
          <w:rFonts w:ascii="Arial" w:cs="Arial" w:eastAsia="Arial" w:hAnsi="Arial"/>
          <w:sz w:val="21"/>
          <w:szCs w:val="21"/>
          <w:color w:val="auto"/>
        </w:rPr>
      </w:pPr>
    </w:p>
    <w:p>
      <w:pPr>
        <w:ind w:left="640" w:hanging="316"/>
        <w:spacing w:after="0" w:line="224"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1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1" w:lineRule="exact"/>
        <w:rPr>
          <w:rFonts w:ascii="Arial" w:cs="Arial" w:eastAsia="Arial" w:hAnsi="Arial"/>
          <w:sz w:val="21"/>
          <w:szCs w:val="21"/>
          <w:color w:val="auto"/>
        </w:rPr>
      </w:pPr>
    </w:p>
    <w:p>
      <w:pPr>
        <w:ind w:left="640" w:right="300" w:hanging="316"/>
        <w:spacing w:after="0" w:line="230" w:lineRule="auto"/>
        <w:tabs>
          <w:tab w:leader="none" w:pos="63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spacing w:after="0" w:line="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cybersecurity issues and expanding laws.</w:t>
      </w:r>
    </w:p>
    <w:p>
      <w:pPr>
        <w:spacing w:after="0" w:line="25" w:lineRule="exact"/>
        <w:rPr>
          <w:rFonts w:ascii="Times New Roman" w:cs="Times New Roman" w:eastAsia="Times New Roman" w:hAnsi="Times New Roman"/>
          <w:sz w:val="18"/>
          <w:szCs w:val="18"/>
          <w:color w:val="auto"/>
        </w:rPr>
      </w:pPr>
    </w:p>
    <w:p>
      <w:pPr>
        <w:ind w:left="640" w:right="180" w:hanging="316"/>
        <w:spacing w:after="0" w:line="237" w:lineRule="auto"/>
        <w:tabs>
          <w:tab w:leader="none" w:pos="63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4" w:lineRule="exact"/>
        <w:rPr>
          <w:rFonts w:ascii="Arial" w:cs="Arial" w:eastAsia="Arial" w:hAnsi="Arial"/>
          <w:sz w:val="21"/>
          <w:szCs w:val="21"/>
          <w:color w:val="auto"/>
        </w:rPr>
      </w:pPr>
    </w:p>
    <w:p>
      <w:pPr>
        <w:ind w:left="640" w:hanging="316"/>
        <w:spacing w:after="0" w:line="223"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4" w:lineRule="exact"/>
        <w:rPr>
          <w:rFonts w:ascii="Arial" w:cs="Arial" w:eastAsia="Arial" w:hAnsi="Arial"/>
          <w:sz w:val="21"/>
          <w:szCs w:val="21"/>
          <w:color w:val="auto"/>
        </w:rPr>
      </w:pPr>
    </w:p>
    <w:p>
      <w:pPr>
        <w:ind w:left="640" w:right="220" w:hanging="316"/>
        <w:spacing w:after="0" w:line="242" w:lineRule="auto"/>
        <w:tabs>
          <w:tab w:leader="none" w:pos="63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31" w:lineRule="exact"/>
        <w:rPr>
          <w:sz w:val="20"/>
          <w:szCs w:val="20"/>
          <w:color w:val="auto"/>
        </w:rPr>
      </w:pPr>
    </w:p>
    <w:p>
      <w:pPr>
        <w:ind w:right="640"/>
        <w:spacing w:after="0" w:line="307" w:lineRule="auto"/>
        <w:rPr>
          <w:sz w:val="20"/>
          <w:szCs w:val="20"/>
          <w:color w:val="auto"/>
        </w:rPr>
      </w:pPr>
      <w:r>
        <w:rPr>
          <w:rFonts w:ascii="Times New Roman" w:cs="Times New Roman" w:eastAsia="Times New Roman" w:hAnsi="Times New Roman"/>
          <w:sz w:val="17"/>
          <w:szCs w:val="17"/>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165"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including AI features.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7"/>
          <w:szCs w:val="17"/>
          <w:color w:val="auto"/>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15" w:lineRule="exact"/>
        <w:rPr>
          <w:sz w:val="20"/>
          <w:szCs w:val="20"/>
          <w:color w:val="auto"/>
        </w:rPr>
      </w:pPr>
    </w:p>
    <w:p>
      <w:pPr>
        <w:ind w:right="180" w:firstLine="398"/>
        <w:spacing w:after="0" w:line="253"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09" w:lineRule="exact"/>
        <w:rPr>
          <w:sz w:val="20"/>
          <w:szCs w:val="20"/>
          <w:color w:val="auto"/>
        </w:rPr>
      </w:pPr>
    </w:p>
    <w:p>
      <w:pPr>
        <w:ind w:right="60" w:firstLine="398"/>
        <w:spacing w:after="0" w:line="251"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r>
        <w:rPr>
          <w:rFonts w:ascii="Times New Roman" w:cs="Times New Roman" w:eastAsia="Times New Roman" w:hAnsi="Times New Roman"/>
          <w:sz w:val="21"/>
          <w:szCs w:val="21"/>
          <w:i w:val="1"/>
          <w:iCs w:val="1"/>
          <w:color w:val="auto"/>
        </w:rPr>
        <w:t>.</w:t>
      </w:r>
    </w:p>
    <w:p>
      <w:pPr>
        <w:spacing w:after="0" w:line="262" w:lineRule="exact"/>
        <w:rPr>
          <w:sz w:val="20"/>
          <w:szCs w:val="20"/>
          <w:color w:val="auto"/>
        </w:rPr>
      </w:pPr>
    </w:p>
    <w:p>
      <w:pPr>
        <w:ind w:right="180" w:firstLine="398"/>
        <w:spacing w:after="0" w:line="249" w:lineRule="auto"/>
        <w:rPr>
          <w:sz w:val="20"/>
          <w:szCs w:val="20"/>
          <w:color w:val="auto"/>
        </w:rPr>
      </w:pPr>
      <w:r>
        <w:rPr>
          <w:rFonts w:ascii="Times New Roman" w:cs="Times New Roman" w:eastAsia="Times New Roman" w:hAnsi="Times New Roman"/>
          <w:sz w:val="18"/>
          <w:szCs w:val="18"/>
          <w:color w:val="auto"/>
        </w:rPr>
        <w:t>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and new entrants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The market may also react to these disruptive technologies in unpredictable ways inconsistent with our financial condition and results of operation.</w:t>
      </w:r>
    </w:p>
    <w:p>
      <w:pPr>
        <w:spacing w:after="0" w:line="216" w:lineRule="exact"/>
        <w:rPr>
          <w:sz w:val="20"/>
          <w:szCs w:val="20"/>
          <w:color w:val="auto"/>
        </w:rPr>
      </w:pPr>
    </w:p>
    <w:p>
      <w:pPr>
        <w:ind w:right="100" w:firstLine="398"/>
        <w:spacing w:after="0" w:line="255" w:lineRule="auto"/>
        <w:rPr>
          <w:sz w:val="20"/>
          <w:szCs w:val="20"/>
          <w:color w:val="auto"/>
        </w:rPr>
      </w:pPr>
      <w:r>
        <w:rPr>
          <w:rFonts w:ascii="Times New Roman" w:cs="Times New Roman" w:eastAsia="Times New Roman" w:hAnsi="Times New Roman"/>
          <w:sz w:val="18"/>
          <w:szCs w:val="18"/>
          <w:color w:val="auto"/>
        </w:rPr>
        <w:t>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46"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conflicts in the Middle East;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14" w:lineRule="exact"/>
        <w:rPr>
          <w:sz w:val="20"/>
          <w:szCs w:val="20"/>
          <w:color w:val="auto"/>
        </w:rPr>
      </w:pPr>
    </w:p>
    <w:p>
      <w:pPr>
        <w:ind w:right="120" w:firstLine="398"/>
        <w:spacing w:after="0" w:line="249"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46" w:lineRule="exact"/>
        <w:rPr>
          <w:sz w:val="20"/>
          <w:szCs w:val="20"/>
          <w:color w:val="auto"/>
        </w:rPr>
      </w:pPr>
    </w:p>
    <w:p>
      <w:pPr>
        <w:ind w:right="60" w:firstLine="398"/>
        <w:spacing w:after="0" w:line="251"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2025 and fiscal 2026.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43"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1" w:lineRule="exact"/>
        <w:rPr>
          <w:rFonts w:ascii="Arial" w:cs="Arial" w:eastAsia="Arial" w:hAnsi="Arial"/>
          <w:sz w:val="21"/>
          <w:szCs w:val="21"/>
          <w:color w:val="auto"/>
        </w:rPr>
      </w:pPr>
    </w:p>
    <w:p>
      <w:pPr>
        <w:ind w:left="640" w:hanging="316"/>
        <w:spacing w:after="0" w:line="244" w:lineRule="auto"/>
        <w:tabs>
          <w:tab w:leader="none" w:pos="63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1" w:lineRule="exact"/>
        <w:rPr>
          <w:rFonts w:ascii="Arial" w:cs="Arial" w:eastAsia="Arial" w:hAnsi="Arial"/>
          <w:sz w:val="21"/>
          <w:szCs w:val="21"/>
          <w:color w:val="auto"/>
        </w:rPr>
      </w:pPr>
    </w:p>
    <w:p>
      <w:pPr>
        <w:ind w:left="640" w:hanging="316"/>
        <w:spacing w:after="0" w:line="24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cybersecurity, as well as anti-bribery and anti-corruption laws, export controls, sanctions and industry-specific-regulation;</w:t>
      </w:r>
    </w:p>
    <w:p>
      <w:pPr>
        <w:spacing w:after="0" w:line="22" w:lineRule="exact"/>
        <w:rPr>
          <w:rFonts w:ascii="Times New Roman" w:cs="Times New Roman" w:eastAsia="Times New Roman" w:hAnsi="Times New Roman"/>
          <w:sz w:val="18"/>
          <w:szCs w:val="18"/>
          <w:color w:val="auto"/>
        </w:rPr>
      </w:pPr>
    </w:p>
    <w:p>
      <w:pPr>
        <w:ind w:left="640" w:right="160" w:hanging="316"/>
        <w:spacing w:after="0" w:line="237" w:lineRule="auto"/>
        <w:tabs>
          <w:tab w:leader="none" w:pos="63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21"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0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89" w:lineRule="exact"/>
        <w:rPr>
          <w:sz w:val="20"/>
          <w:szCs w:val="20"/>
          <w:color w:val="auto"/>
        </w:rPr>
      </w:pPr>
    </w:p>
    <w:p>
      <w:pPr>
        <w:ind w:right="100" w:firstLine="398"/>
        <w:spacing w:after="0" w:line="253" w:lineRule="auto"/>
        <w:rPr>
          <w:sz w:val="20"/>
          <w:szCs w:val="20"/>
          <w:color w:val="auto"/>
        </w:rPr>
      </w:pPr>
      <w:r>
        <w:rPr>
          <w:rFonts w:ascii="Times New Roman" w:cs="Times New Roman" w:eastAsia="Times New Roman" w:hAnsi="Times New Roman"/>
          <w:sz w:val="18"/>
          <w:szCs w:val="18"/>
          <w:color w:val="auto"/>
        </w:rPr>
        <w:t>International net revenue represented 64% of our net revenue for both fiscal 2026 and 2025. Our international revenue, some of which comes from emerging economies, is subject to economic and political conditions in foreign markets, including those resulting from economic and political conditions in the United States.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09" w:lineRule="exact"/>
        <w:rPr>
          <w:sz w:val="20"/>
          <w:szCs w:val="20"/>
          <w:color w:val="auto"/>
        </w:rPr>
      </w:pPr>
    </w:p>
    <w:p>
      <w:pPr>
        <w:jc w:val="both"/>
        <w:ind w:right="140" w:firstLine="398"/>
        <w:spacing w:after="0" w:line="253"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ind w:left="640" w:hanging="316"/>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ind w:left="640" w:right="120" w:hanging="316"/>
        <w:spacing w:after="0" w:line="23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 geopolitical conflicts, and any political or economic responses and counter-responses thereto by various global actors;</w:t>
      </w:r>
    </w:p>
    <w:p>
      <w:pPr>
        <w:spacing w:after="0" w:line="2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5" w:lineRule="exact"/>
        <w:rPr>
          <w:rFonts w:ascii="Arial" w:cs="Arial" w:eastAsia="Arial" w:hAnsi="Arial"/>
          <w:sz w:val="20"/>
          <w:szCs w:val="20"/>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3" w:lineRule="exact"/>
        <w:rPr>
          <w:rFonts w:ascii="Arial" w:cs="Arial" w:eastAsia="Arial" w:hAnsi="Arial"/>
          <w:sz w:val="21"/>
          <w:szCs w:val="21"/>
          <w:color w:val="auto"/>
        </w:rPr>
      </w:pPr>
    </w:p>
    <w:p>
      <w:pPr>
        <w:ind w:left="640" w:hanging="316"/>
        <w:spacing w:after="0" w:line="224"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right="400" w:hanging="316"/>
        <w:spacing w:after="0" w:line="264"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including popular uprisings, terrorism, war (including any related political or economic responses and counter-responses or otherwise by various global actors or the general effect on the global economy), natural disasters, and diseases and pandemics.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12" w:lineRule="exact"/>
        <w:rPr>
          <w:sz w:val="20"/>
          <w:szCs w:val="20"/>
          <w:color w:val="auto"/>
        </w:rPr>
      </w:pPr>
    </w:p>
    <w:p>
      <w:pPr>
        <w:ind w:firstLine="398"/>
        <w:spacing w:after="0" w:line="230"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continued to increase sanctions and export restrictions as a result of the war against Ukraine launched by Russia, the geopolitical landscape with respect to China, ongoing conflicts in the Middle East, and other risks. Additionally, recent executive actions and executive branch policies in the United States, such as those communicated in a February 2025 memorandum regarding a change in U.S. policy with respect to the negotiation and imposition of digital services taxes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regulations by other countries, suggest a broader purview for changes in U.S. trade policy as a component of U.S. foreign policy. For example, since March 2025 the United States has imposed additional Section 232 tariffs on various commodities, including steel, aluminum, passenger vehicles and trucks (and components for such vehicles), and other industry-specific targets. Between February 2025 and February 2026, the United States placed additional fentanyl-related tariffs on most goods from China, Canada and Mexico (with an exception for goods that qualify for duty-free treatment under the U.S.-Mexico-Canada Agreement); and between April 2025 and February 2026 placed additional reciprocal tariffs on most imports from U.S. trading partners other than Canada, Mexico, Russia, Belarus, Cuba, and North Korea.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Beginning February 24, 2026, the U.S. government implemented a new, global “temporary import surcharge” of 10% on many of the same products affected by the prior reciprocal tariffs, under authorities provided for in Section 122 of the Trade Act of 1974, supplementing existing non-IEEPA measures. Additional trade-related investigations by the U.S. government are in progress and could result in the imposition of additional tariffs.</w:t>
      </w:r>
    </w:p>
    <w:p>
      <w:pPr>
        <w:spacing w:after="0" w:line="226" w:lineRule="exact"/>
        <w:rPr>
          <w:sz w:val="20"/>
          <w:szCs w:val="20"/>
          <w:color w:val="auto"/>
        </w:rPr>
      </w:pPr>
    </w:p>
    <w:p>
      <w:pPr>
        <w:ind w:right="100" w:firstLine="398"/>
        <w:spacing w:after="0" w:line="266" w:lineRule="auto"/>
        <w:rPr>
          <w:sz w:val="20"/>
          <w:szCs w:val="20"/>
          <w:color w:val="auto"/>
        </w:rPr>
      </w:pPr>
      <w:r>
        <w:rPr>
          <w:rFonts w:ascii="Times New Roman" w:cs="Times New Roman" w:eastAsia="Times New Roman" w:hAnsi="Times New Roman"/>
          <w:sz w:val="17"/>
          <w:szCs w:val="17"/>
          <w:color w:val="auto"/>
        </w:rPr>
        <w:t>There is currently significant uncertainty about the future relationship between the United States and its trading partners with respect to trade policies, tariffs, taxes, and similar policies affecting cross-border operations. These new or increased tariffs and other changes in U.S. trade policy, including new sanctions and increased export restrictions,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additional sanctions, a change in tariff structures, increased export controls, or other trade policies, may increase the cost of, or otherwise interfere with, the conduct of our business, and could have a material adverse effect on our financial condition, operations, and business outlook.</w:t>
      </w:r>
    </w:p>
    <w:p>
      <w:pPr>
        <w:spacing w:after="0" w:line="203" w:lineRule="exact"/>
        <w:rPr>
          <w:sz w:val="20"/>
          <w:szCs w:val="20"/>
          <w:color w:val="auto"/>
        </w:rPr>
      </w:pPr>
    </w:p>
    <w:p>
      <w:pPr>
        <w:ind w:right="60" w:firstLine="477"/>
        <w:spacing w:after="0" w:line="274"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6"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209"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In addition, we generally recognize subscription revenue over the term of the respective contracts, which typically range from 1-year to 3-years. As a result, most of the revenue we report in each quarter is the result of subscriptions entered into during previous quarters. Consequently, a decline in new or renewed subscriptions in any one quarter may not be reflected in our revenue results for that quarter but will negatively impact our revenue in future quarters. Accordingly, the effect of significant downturns in sales and market acceptance of our services, and changes in our attrition rate, may not be fully reflected in our results of operations until future periods.</w:t>
      </w:r>
    </w:p>
    <w:p>
      <w:pPr>
        <w:spacing w:after="0" w:line="207"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89" w:lineRule="exact"/>
        <w:rPr>
          <w:sz w:val="20"/>
          <w:szCs w:val="20"/>
          <w:color w:val="auto"/>
        </w:rPr>
      </w:pPr>
    </w:p>
    <w:p>
      <w:pPr>
        <w:ind w:right="180" w:firstLine="398"/>
        <w:spacing w:after="0" w:line="247"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spacing w:after="0" w:line="3" w:lineRule="exact"/>
        <w:rPr>
          <w:sz w:val="20"/>
          <w:szCs w:val="20"/>
          <w:color w:val="auto"/>
        </w:rPr>
      </w:pPr>
    </w:p>
    <w:p>
      <w:pPr>
        <w:ind w:left="640" w:right="160" w:hanging="316"/>
        <w:spacing w:after="0" w:line="23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Europe and APAC including from an economic downturn or recession in the United States or other countries, as well as economic and regulatory uncertainty;</w:t>
      </w:r>
    </w:p>
    <w:p>
      <w:pPr>
        <w:spacing w:after="0" w:line="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right="360" w:hanging="316"/>
        <w:spacing w:after="0" w:line="230"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 w:lineRule="exact"/>
        <w:rPr>
          <w:rFonts w:ascii="Arial" w:cs="Arial" w:eastAsia="Arial" w:hAnsi="Arial"/>
          <w:sz w:val="21"/>
          <w:szCs w:val="21"/>
          <w:color w:val="auto"/>
        </w:rPr>
      </w:pPr>
    </w:p>
    <w:p>
      <w:pPr>
        <w:ind w:left="640" w:right="320" w:hanging="316"/>
        <w:spacing w:after="0" w:line="23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2025 and 2026 and which is expected to continue into fiscal year 2027;</w:t>
      </w:r>
    </w:p>
    <w:p>
      <w:pPr>
        <w:spacing w:after="0" w:line="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14" w:lineRule="exact"/>
        <w:rPr>
          <w:rFonts w:ascii="Arial" w:cs="Arial" w:eastAsia="Arial" w:hAnsi="Arial"/>
          <w:sz w:val="21"/>
          <w:szCs w:val="21"/>
          <w:color w:val="auto"/>
        </w:rPr>
      </w:pPr>
    </w:p>
    <w:p>
      <w:pPr>
        <w:ind w:left="640" w:hanging="316"/>
        <w:spacing w:after="0" w:line="223"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21"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weak or negative growth in one or more of the industries we serve, including AECO, manufacturing, and digital media and entertainment markets;</w:t>
      </w:r>
    </w:p>
    <w:p>
      <w:pPr>
        <w:spacing w:after="0" w:line="15" w:lineRule="exact"/>
        <w:rPr>
          <w:rFonts w:ascii="Arial" w:cs="Arial" w:eastAsia="Arial" w:hAnsi="Arial"/>
          <w:sz w:val="20"/>
          <w:szCs w:val="20"/>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1" w:lineRule="exact"/>
        <w:rPr>
          <w:rFonts w:ascii="Arial" w:cs="Arial" w:eastAsia="Arial" w:hAnsi="Arial"/>
          <w:sz w:val="21"/>
          <w:szCs w:val="21"/>
          <w:color w:val="auto"/>
        </w:rPr>
      </w:pPr>
    </w:p>
    <w:p>
      <w:pPr>
        <w:ind w:left="640" w:right="320" w:hanging="316"/>
        <w:spacing w:after="0" w:line="237"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1" w:lineRule="exact"/>
        <w:rPr>
          <w:rFonts w:ascii="Arial" w:cs="Arial" w:eastAsia="Arial" w:hAnsi="Arial"/>
          <w:sz w:val="21"/>
          <w:szCs w:val="21"/>
          <w:color w:val="auto"/>
        </w:rPr>
      </w:pPr>
    </w:p>
    <w:p>
      <w:pPr>
        <w:ind w:left="640" w:right="100" w:hanging="316"/>
        <w:spacing w:after="0" w:line="237"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24" w:lineRule="exact"/>
        <w:rPr>
          <w:rFonts w:ascii="Arial" w:cs="Arial" w:eastAsia="Arial" w:hAnsi="Arial"/>
          <w:sz w:val="21"/>
          <w:szCs w:val="21"/>
          <w:color w:val="auto"/>
        </w:rPr>
      </w:pPr>
    </w:p>
    <w:p>
      <w:pPr>
        <w:ind w:left="640" w:hanging="316"/>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0"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40" w:firstLine="398"/>
        <w:spacing w:after="0" w:line="260"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89" w:lineRule="exact"/>
        <w:rPr>
          <w:sz w:val="20"/>
          <w:szCs w:val="20"/>
          <w:color w:val="auto"/>
        </w:rPr>
      </w:pPr>
    </w:p>
    <w:p>
      <w:pPr>
        <w:ind w:right="20" w:firstLine="438"/>
        <w:spacing w:after="0" w:line="251"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fiscal 2026 and 2025, combined revenue from our AutoCAD and AutoCAD LT family products, not including collections having AutoCAD or AutoCAD LT as a component, represented 25% and 26% of our total net revenue, respectively.</w:t>
      </w:r>
    </w:p>
    <w:p>
      <w:pPr>
        <w:spacing w:after="0" w:line="211"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89" w:lineRule="exact"/>
        <w:rPr>
          <w:sz w:val="20"/>
          <w:szCs w:val="20"/>
          <w:color w:val="auto"/>
        </w:rPr>
      </w:pPr>
    </w:p>
    <w:p>
      <w:pPr>
        <w:ind w:right="40" w:firstLine="438"/>
        <w:spacing w:after="0" w:line="250"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We may not successfully execute or achieve the expected benefits of our restructuring plan and other measures we may take in the future, and our efforts may adversely affect our business.</w:t>
      </w:r>
    </w:p>
    <w:p>
      <w:pPr>
        <w:spacing w:after="0" w:line="1" w:lineRule="exact"/>
        <w:rPr>
          <w:sz w:val="20"/>
          <w:szCs w:val="20"/>
          <w:color w:val="auto"/>
        </w:rPr>
      </w:pPr>
    </w:p>
    <w:p>
      <w:pPr>
        <w:ind w:firstLine="398"/>
        <w:spacing w:after="0" w:line="246" w:lineRule="auto"/>
        <w:rPr>
          <w:sz w:val="20"/>
          <w:szCs w:val="20"/>
          <w:color w:val="auto"/>
        </w:rPr>
      </w:pPr>
      <w:r>
        <w:rPr>
          <w:rFonts w:ascii="Times New Roman" w:cs="Times New Roman" w:eastAsia="Times New Roman" w:hAnsi="Times New Roman"/>
          <w:sz w:val="18"/>
          <w:szCs w:val="18"/>
          <w:color w:val="auto"/>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During the fourth quarter of fiscal 2026, we initiated another restructuring plan (the "January 2026 Plan") that marks the final phase of our sales and marketing optimization program.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and January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revenue, billings, earnings, cash flow, or subscriptions shortfalls or volatility of the market generally may cause the market price of our stock to decline.</w:t>
      </w:r>
    </w:p>
    <w:p>
      <w:pPr>
        <w:spacing w:after="0" w:line="258" w:lineRule="exact"/>
        <w:rPr>
          <w:sz w:val="20"/>
          <w:szCs w:val="20"/>
          <w:color w:val="auto"/>
        </w:rPr>
      </w:pPr>
    </w:p>
    <w:p>
      <w:pPr>
        <w:ind w:right="140" w:firstLine="398"/>
        <w:spacing w:after="0" w:line="253"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spacing w:after="0" w:line="22" w:lineRule="exact"/>
        <w:rPr>
          <w:sz w:val="20"/>
          <w:szCs w:val="20"/>
          <w:color w:val="auto"/>
        </w:rPr>
      </w:pPr>
    </w:p>
    <w:p>
      <w:pPr>
        <w:ind w:left="640" w:hanging="316"/>
        <w:spacing w:after="0"/>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40" w:right="100" w:hanging="316"/>
        <w:spacing w:after="0" w:line="24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 including from an economic downturn or recession in the United States or in other countries, as well as economic and regulatory uncertainty;</w:t>
      </w:r>
    </w:p>
    <w:p>
      <w:pPr>
        <w:spacing w:after="0" w:line="21" w:lineRule="exact"/>
        <w:rPr>
          <w:rFonts w:ascii="Times New Roman" w:cs="Times New Roman" w:eastAsia="Times New Roman" w:hAnsi="Times New Roman"/>
          <w:sz w:val="18"/>
          <w:szCs w:val="18"/>
          <w:color w:val="auto"/>
        </w:rPr>
      </w:pPr>
    </w:p>
    <w:p>
      <w:pPr>
        <w:ind w:left="640" w:right="1220" w:hanging="316"/>
        <w:spacing w:after="0" w:line="237"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1" w:lineRule="exact"/>
        <w:rPr>
          <w:rFonts w:ascii="Arial" w:cs="Arial" w:eastAsia="Arial" w:hAnsi="Arial"/>
          <w:sz w:val="21"/>
          <w:szCs w:val="21"/>
          <w:color w:val="auto"/>
        </w:rPr>
      </w:pPr>
    </w:p>
    <w:p>
      <w:pPr>
        <w:ind w:left="640" w:hanging="316"/>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4" w:lineRule="exact"/>
        <w:rPr>
          <w:rFonts w:ascii="Arial" w:cs="Arial" w:eastAsia="Arial" w:hAnsi="Arial"/>
          <w:sz w:val="21"/>
          <w:szCs w:val="21"/>
          <w:color w:val="auto"/>
        </w:rPr>
      </w:pPr>
    </w:p>
    <w:p>
      <w:pPr>
        <w:ind w:left="640" w:right="140" w:hanging="316"/>
        <w:spacing w:after="0" w:line="24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or enhancements by us or our competitors as well as market perception of disruptive technologies such as machine learning and other AI technologies;</w:t>
      </w:r>
    </w:p>
    <w:p>
      <w:pPr>
        <w:spacing w:after="0" w:line="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w:t>
      </w:r>
    </w:p>
    <w:p>
      <w:pPr>
        <w:spacing w:after="0" w:line="14" w:lineRule="exact"/>
        <w:rPr>
          <w:rFonts w:ascii="Arial" w:cs="Arial" w:eastAsia="Arial" w:hAnsi="Arial"/>
          <w:sz w:val="21"/>
          <w:szCs w:val="21"/>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 or others, and our response to such actions; and</w:t>
      </w:r>
    </w:p>
    <w:p>
      <w:pPr>
        <w:spacing w:after="0" w:line="25" w:lineRule="exact"/>
        <w:rPr>
          <w:rFonts w:ascii="Times New Roman" w:cs="Times New Roman" w:eastAsia="Times New Roman" w:hAnsi="Times New Roman"/>
          <w:sz w:val="18"/>
          <w:szCs w:val="18"/>
          <w:color w:val="auto"/>
        </w:rPr>
      </w:pPr>
    </w:p>
    <w:p>
      <w:pPr>
        <w:ind w:left="640" w:right="80" w:hanging="316"/>
        <w:spacing w:after="0" w:line="237"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20" w:lineRule="exact"/>
        <w:rPr>
          <w:sz w:val="20"/>
          <w:szCs w:val="20"/>
          <w:color w:val="auto"/>
        </w:rPr>
      </w:pPr>
    </w:p>
    <w:p>
      <w:pPr>
        <w:jc w:val="both"/>
        <w:ind w:right="100" w:firstLine="398"/>
        <w:spacing w:after="0" w:line="260"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1"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89"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3"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89"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or otherwise leveraging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214" w:lineRule="exact"/>
        <w:rPr>
          <w:sz w:val="20"/>
          <w:szCs w:val="20"/>
          <w:color w:val="auto"/>
        </w:rPr>
      </w:pPr>
    </w:p>
    <w:p>
      <w:pPr>
        <w:ind w:right="80" w:firstLine="398"/>
        <w:spacing w:after="0"/>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transparency requirements, or other aspects of the development, or use, or deployment of AI may also increase the burden and cost of research, development, and other activities, which may increase our costs, limit our ability to leverage AI, and subject us to brand or reputational harm, competitive harm, or legal liability. For example, the European Union’s Artificial Intelligence Act (the “AI Act”), which achieved approval by the European Council on February 2, 2024,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European Parliament on March 13, 2024, imposes obligations on providers and users of AI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spacing w:after="0" w:line="20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The Audit Committee internal investigation has been time-consuming and expensive, has resulted in the filing of lawsuits, and may result in additional expense and/or litigation.</w:t>
      </w:r>
    </w:p>
    <w:p>
      <w:pPr>
        <w:spacing w:after="0" w:line="189" w:lineRule="exact"/>
        <w:rPr>
          <w:sz w:val="20"/>
          <w:szCs w:val="20"/>
          <w:color w:val="auto"/>
        </w:rPr>
      </w:pPr>
    </w:p>
    <w:p>
      <w:pPr>
        <w:ind w:right="20" w:firstLine="398"/>
        <w:spacing w:after="0" w:line="304" w:lineRule="auto"/>
        <w:rPr>
          <w:sz w:val="20"/>
          <w:szCs w:val="20"/>
          <w:color w:val="auto"/>
        </w:rPr>
      </w:pPr>
      <w:r>
        <w:rPr>
          <w:rFonts w:ascii="Times New Roman" w:cs="Times New Roman" w:eastAsia="Times New Roman" w:hAnsi="Times New Roman"/>
          <w:sz w:val="17"/>
          <w:szCs w:val="17"/>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168"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208"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Autodesk voluntarily contacted the Securities and Exchange Commission (“SEC”) to advise it that an internal investigation was ongoing. In addition, the United States Attorney’s Office for the Northern District of California (“USAO”) contacted us regarding the Audit Committee investigation. We cooperated with the SEC and USAO, including by providing certain documents and information. On August 19, 2025, the SEC notified us that it was closing its matter. On August 21, 2025, the USAO notified us that it was closing its matter as well.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 We can provide no assurances as to the outcome of any governmental investigation.</w:t>
      </w:r>
    </w:p>
    <w:p>
      <w:pPr>
        <w:spacing w:after="0" w:line="212" w:lineRule="exact"/>
        <w:rPr>
          <w:sz w:val="20"/>
          <w:szCs w:val="20"/>
          <w:color w:val="auto"/>
        </w:rPr>
      </w:pPr>
    </w:p>
    <w:p>
      <w:pPr>
        <w:ind w:right="200" w:firstLine="398"/>
        <w:spacing w:after="0" w:line="253" w:lineRule="auto"/>
        <w:rPr>
          <w:sz w:val="20"/>
          <w:szCs w:val="20"/>
          <w:color w:val="auto"/>
        </w:rPr>
      </w:pPr>
      <w:r>
        <w:rPr>
          <w:rFonts w:ascii="Times New Roman" w:cs="Times New Roman" w:eastAsia="Times New Roman" w:hAnsi="Times New Roman"/>
          <w:sz w:val="18"/>
          <w:szCs w:val="18"/>
          <w:color w:val="auto"/>
        </w:rPr>
        <w:t>In addition, we and certain of our officers and directors have been named in purported shareholder litigation arising out of our announcement of the investigation. For additional discussion, see Part I, Item 3. Legal Proceedings and Note 12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09" w:lineRule="exact"/>
        <w:rPr>
          <w:sz w:val="20"/>
          <w:szCs w:val="20"/>
          <w:color w:val="auto"/>
        </w:rPr>
      </w:pPr>
    </w:p>
    <w:p>
      <w:pPr>
        <w:ind w:right="80" w:firstLine="398"/>
        <w:spacing w:after="0" w:line="271" w:lineRule="auto"/>
        <w:rPr>
          <w:sz w:val="20"/>
          <w:szCs w:val="20"/>
          <w:color w:val="auto"/>
        </w:rPr>
      </w:pPr>
      <w:r>
        <w:rPr>
          <w:rFonts w:ascii="Times New Roman" w:cs="Times New Roman" w:eastAsia="Times New Roman" w:hAnsi="Times New Roman"/>
          <w:sz w:val="17"/>
          <w:szCs w:val="17"/>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89"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been subject to security breaches and incidents, and we face the risks of them occurring in the future, as well as the risks of delays and other difficulties in identifying, responding to, or remediating security breaches or incidents.</w:t>
      </w:r>
    </w:p>
    <w:p>
      <w:pPr>
        <w:spacing w:after="0" w:line="191" w:lineRule="exact"/>
        <w:rPr>
          <w:sz w:val="20"/>
          <w:szCs w:val="20"/>
          <w:color w:val="auto"/>
        </w:rPr>
      </w:pPr>
    </w:p>
    <w:p>
      <w:pPr>
        <w:ind w:firstLine="398"/>
        <w:spacing w:after="0" w:line="262" w:lineRule="auto"/>
        <w:rPr>
          <w:sz w:val="20"/>
          <w:szCs w:val="20"/>
          <w:color w:val="auto"/>
        </w:rPr>
      </w:pPr>
      <w:r>
        <w:rPr>
          <w:rFonts w:ascii="Times New Roman" w:cs="Times New Roman" w:eastAsia="Times New Roman" w:hAnsi="Times New Roman"/>
          <w:sz w:val="17"/>
          <w:szCs w:val="17"/>
          <w:color w:val="auto"/>
        </w:rPr>
        <w:t>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conflicts in the Middle East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Our use of AI may also increase our risks of being subject to a security breach or incident.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16" w:lineRule="exact"/>
        <w:rPr>
          <w:sz w:val="20"/>
          <w:szCs w:val="20"/>
          <w:color w:val="auto"/>
        </w:rPr>
      </w:pPr>
    </w:p>
    <w:p>
      <w:pPr>
        <w:ind w:right="20" w:firstLine="398"/>
        <w:spacing w:after="0" w:line="249"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14" w:lineRule="exact"/>
        <w:rPr>
          <w:sz w:val="20"/>
          <w:szCs w:val="20"/>
          <w:color w:val="auto"/>
        </w:rPr>
      </w:pPr>
    </w:p>
    <w:p>
      <w:pPr>
        <w:ind w:right="140" w:firstLine="398"/>
        <w:spacing w:after="0" w:line="269" w:lineRule="auto"/>
        <w:rPr>
          <w:sz w:val="20"/>
          <w:szCs w:val="20"/>
          <w:color w:val="auto"/>
        </w:rPr>
      </w:pPr>
      <w:r>
        <w:rPr>
          <w:rFonts w:ascii="Times New Roman" w:cs="Times New Roman" w:eastAsia="Times New Roman" w:hAnsi="Times New Roman"/>
          <w:sz w:val="17"/>
          <w:szCs w:val="17"/>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35"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89"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21"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202" w:lineRule="exact"/>
        <w:rPr>
          <w:sz w:val="20"/>
          <w:szCs w:val="20"/>
          <w:color w:val="auto"/>
        </w:rPr>
      </w:pPr>
    </w:p>
    <w:p>
      <w:pPr>
        <w:ind w:right="20" w:firstLine="398"/>
        <w:spacing w:after="0" w:line="248" w:lineRule="auto"/>
        <w:rPr>
          <w:sz w:val="20"/>
          <w:szCs w:val="20"/>
          <w:color w:val="auto"/>
        </w:rPr>
      </w:pPr>
      <w:r>
        <w:rPr>
          <w:rFonts w:ascii="Times New Roman" w:cs="Times New Roman" w:eastAsia="Times New Roman" w:hAnsi="Times New Roman"/>
          <w:sz w:val="18"/>
          <w:szCs w:val="18"/>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21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89"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cybersecurity in certain jurisdictions, and our financial results could be negatively impacted.</w:t>
      </w:r>
    </w:p>
    <w:p>
      <w:pPr>
        <w:spacing w:after="0" w:line="20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202" w:lineRule="exact"/>
        <w:rPr>
          <w:sz w:val="20"/>
          <w:szCs w:val="20"/>
          <w:color w:val="auto"/>
        </w:rPr>
      </w:pPr>
    </w:p>
    <w:p>
      <w:pPr>
        <w:ind w:right="160" w:firstLine="398"/>
        <w:spacing w:after="0" w:line="260" w:lineRule="auto"/>
        <w:rPr>
          <w:sz w:val="20"/>
          <w:szCs w:val="20"/>
          <w:color w:val="auto"/>
        </w:rPr>
      </w:pPr>
      <w:r>
        <w:rPr>
          <w:rFonts w:ascii="Times New Roman" w:cs="Times New Roman" w:eastAsia="Times New Roman" w:hAnsi="Times New Roman"/>
          <w:sz w:val="18"/>
          <w:szCs w:val="18"/>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20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89" w:lineRule="exact"/>
        <w:rPr>
          <w:sz w:val="20"/>
          <w:szCs w:val="20"/>
          <w:color w:val="auto"/>
        </w:rPr>
      </w:pPr>
    </w:p>
    <w:p>
      <w:pPr>
        <w:jc w:val="both"/>
        <w:ind w:right="20" w:firstLine="398"/>
        <w:spacing w:after="0" w:line="260"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3" w:lineRule="exact"/>
        <w:rPr>
          <w:sz w:val="20"/>
          <w:szCs w:val="20"/>
          <w:color w:val="auto"/>
        </w:rPr>
      </w:pPr>
    </w:p>
    <w:p>
      <w:pPr>
        <w:ind w:right="160" w:firstLine="398"/>
        <w:spacing w:after="0" w:line="260"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2" w:lineRule="exact"/>
        <w:rPr>
          <w:sz w:val="20"/>
          <w:szCs w:val="20"/>
          <w:color w:val="auto"/>
        </w:rPr>
      </w:pPr>
    </w:p>
    <w:p>
      <w:pPr>
        <w:ind w:right="60" w:firstLine="398"/>
        <w:spacing w:after="0" w:line="265" w:lineRule="auto"/>
        <w:rPr>
          <w:sz w:val="20"/>
          <w:szCs w:val="20"/>
          <w:color w:val="auto"/>
        </w:rPr>
      </w:pPr>
      <w:r>
        <w:rPr>
          <w:rFonts w:ascii="Times New Roman" w:cs="Times New Roman" w:eastAsia="Times New Roman" w:hAnsi="Times New Roman"/>
          <w:sz w:val="17"/>
          <w:szCs w:val="17"/>
          <w:color w:val="auto"/>
        </w:rPr>
        <w:t>We sell our software products both directly to end users and through a network of distributors and resellers. For fiscal 2026 and 2025, approximately 37% and 58%, respectively, of our revenue was derived from indirect channel sales primarily through distributors and resellers. Our distributor, TD Synnex accounted for 14% and 33% of our total net revenue for fiscal 2026 and 2025, respectively. We anticipate that our revenue by direct sales channel will continue to increase as a percentage of total net revenue. We expect our indirect channel will continue to transact and support a considerable portion of our customers, particularly in emerging regions.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03"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Over time, we have modified and continue to modify aspects of our relationship with our distributors and resellers, such as their incentive programs, pricing to them, and our distribution model to motivate and reward them for aligning their businesses with our strategy and business objectives. Further, our distributors and resellers may lose confidence in our business, move to competitive products, or not have the skills or ability to support customers.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46"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require that proprietary portions of our own software be publicly disclosed or licensed. This could result in a loss of intellectual property rights, increased costs, re-engineering of our software, damage to our reputation, or loss of revenue.</w:t>
      </w:r>
    </w:p>
    <w:p>
      <w:pPr>
        <w:spacing w:after="0" w:line="191"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6"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spacing w:after="0" w:line="2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89"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6"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3" w:lineRule="exact"/>
        <w:rPr>
          <w:sz w:val="20"/>
          <w:szCs w:val="20"/>
          <w:color w:val="auto"/>
        </w:rPr>
      </w:pPr>
    </w:p>
    <w:p>
      <w:pPr>
        <w:ind w:right="140" w:firstLine="398"/>
        <w:spacing w:after="0" w:line="260"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cybersecurity issues, as well as new and expanding laws and regulations, and customer requirements, addressing AI, data localization and sovereignty, and the collection and processing of data and information, may impact our business and expose us to increased liability.</w:t>
      </w:r>
    </w:p>
    <w:p>
      <w:pPr>
        <w:spacing w:after="0" w:line="202" w:lineRule="exact"/>
        <w:rPr>
          <w:sz w:val="20"/>
          <w:szCs w:val="20"/>
          <w:color w:val="auto"/>
        </w:rPr>
      </w:pPr>
    </w:p>
    <w:p>
      <w:pPr>
        <w:ind w:right="120" w:firstLine="398"/>
        <w:spacing w:after="0" w:line="251"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numerous federal, state, and global laws and regulations relating to privacy, data protection, cybersecurity, and the collection, use, security, and other processing of personal data, personal information, and other data and information, apply to our data and information processing activities. The scope of these laws and regulations is rapidly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evolving, subject to differing interpretations, may be inconsistent among jurisdictions, or conflict with other rules and is likely to remain uncertain for the foreseeable future. We also expect that there will continue to be new laws, regulations, and industry standards concerning these matters proposed and enacted in various jurisdictions. Globally, laws such as the General Data Protection Regulation (“EU”) 2016/679 (“GDPR”) in the European Union and the Personal Information Protection Law (“PIPL”) in China have been enacted, and numerous other countries have proposed or have enacted laws concerning these matters, and we expect new laws, regulations, and industry standards concerning these matters to be proposed and enacted in various jurisdictions. In addition, new and emerging laws and regulations in the United States governing privacy, data protection, and cybersecurity, such as the California Consumer Privacy Act (“CCPA”), the California Privacy Rights Act (“CPRA”), other laws and regulations in other states, and numerous laws and regulations at the U.S. federal level, have been enacted or otherwise promulgated.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11" w:lineRule="exact"/>
        <w:rPr>
          <w:sz w:val="20"/>
          <w:szCs w:val="20"/>
          <w:color w:val="auto"/>
        </w:rPr>
      </w:pPr>
    </w:p>
    <w:p>
      <w:pPr>
        <w:ind w:right="120" w:firstLine="398"/>
        <w:spacing w:after="0" w:line="285" w:lineRule="auto"/>
        <w:rPr>
          <w:sz w:val="20"/>
          <w:szCs w:val="20"/>
          <w:color w:val="auto"/>
        </w:rPr>
      </w:pPr>
      <w:r>
        <w:rPr>
          <w:rFonts w:ascii="Times New Roman" w:cs="Times New Roman" w:eastAsia="Times New Roman" w:hAnsi="Times New Roman"/>
          <w:sz w:val="17"/>
          <w:szCs w:val="17"/>
          <w:color w:val="auto"/>
        </w:rPr>
        <w:t>Many laws and regulations relating to privacy and data protection impose restrictions on cross-border transfers of personal data. Available data transfer mechanisms impose obligations on us and other companies that engage in cross-border personal data transfers and are complex, uncertain, and subject to</w:t>
      </w:r>
    </w:p>
    <w:p>
      <w:pPr>
        <w:spacing w:after="0" w:line="266" w:lineRule="auto"/>
        <w:rPr>
          <w:sz w:val="20"/>
          <w:szCs w:val="20"/>
          <w:color w:val="auto"/>
        </w:rPr>
      </w:pPr>
      <w:r>
        <w:rPr>
          <w:rFonts w:ascii="Times New Roman" w:cs="Times New Roman" w:eastAsia="Times New Roman" w:hAnsi="Times New Roman"/>
          <w:sz w:val="17"/>
          <w:szCs w:val="17"/>
          <w:color w:val="auto"/>
        </w:rPr>
        <w:t>active litigation and enforcement actions in a number of jurisdictions around the world. Data transfer mechanisms may be challenged, revoked, or otherwise modified. Numerous jurisdictions also have imposed data localization requirements, and we have faced, and expect to continue to face, customer requirements to maintain data in particular jurisdictions. We may, in addition to other impacts in connection with personal data transfer mechanisms or data localization requirements, be required to expend significant time and resources to update contractual arrangements and to comply with new and evolving obligations, experience additional costs associated with increased compliance burdens, and find it necessary or appropriate to stop using certain service providers, engage in new contract negotiations, localize certain personal data, or make other operational changes, all of which may impact our business, financial condition, and results of operations. Further, we face exposure to regulatory complaints, actions, and other proceedings, and the potential for substantial fines, other liabilities, and injunctions or other imposed requirements, in connection with transfers of personal data and data localization requirements.</w:t>
      </w:r>
    </w:p>
    <w:p>
      <w:pPr>
        <w:spacing w:after="0" w:line="203" w:lineRule="exact"/>
        <w:rPr>
          <w:sz w:val="20"/>
          <w:szCs w:val="20"/>
          <w:color w:val="auto"/>
        </w:rPr>
      </w:pPr>
    </w:p>
    <w:p>
      <w:pPr>
        <w:ind w:right="100" w:firstLine="398"/>
        <w:spacing w:after="0" w:line="280" w:lineRule="auto"/>
        <w:rPr>
          <w:sz w:val="20"/>
          <w:szCs w:val="20"/>
          <w:color w:val="auto"/>
        </w:rPr>
      </w:pPr>
      <w:r>
        <w:rPr>
          <w:rFonts w:ascii="Times New Roman" w:cs="Times New Roman" w:eastAsia="Times New Roman" w:hAnsi="Times New Roman"/>
          <w:sz w:val="18"/>
          <w:szCs w:val="18"/>
          <w:color w:val="auto"/>
        </w:rPr>
        <w:t>In addition, the CPRA and many other recently enacted state laws addressing privacy and cybersecurity provide for additional obligations and grant additional rights to consumers such as correction of personal information and additional opt-out rights. These laws have required us to modify our data processing practices and policies and may cause us to make additional modifications, and to incur substantial costs and expenses, in our efforts to comply. Additionally, privacy advocacy groups and technology and other industries are considering various new, additional, or different self-regulatory standards that may place, or be asserted to place, additional burdens on us.</w:t>
      </w:r>
    </w:p>
    <w:p>
      <w:pPr>
        <w:spacing w:after="0" w:line="185"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Evolving legislation and the interplay of federal and state laws may be subject to varying interpretations by courts and government agencies, creating complex compliance issues. These, as well as conflicting obligations imposed by laws and regulations in various jurisdictions around the world, have caused and may cause variation in requirements, increase restrictions and potential legal risk and impact strategies and the availability of, and our ability to process, previously useful data, potentially exposing us to additional expense, adverse publicity, and liability.</w:t>
      </w:r>
    </w:p>
    <w:p>
      <w:pPr>
        <w:spacing w:after="0" w:line="208" w:lineRule="exact"/>
        <w:rPr>
          <w:sz w:val="20"/>
          <w:szCs w:val="20"/>
          <w:color w:val="auto"/>
        </w:rPr>
      </w:pPr>
    </w:p>
    <w:p>
      <w:pPr>
        <w:ind w:right="200" w:firstLine="398"/>
        <w:spacing w:after="0" w:line="266" w:lineRule="auto"/>
        <w:rPr>
          <w:sz w:val="20"/>
          <w:szCs w:val="20"/>
          <w:color w:val="auto"/>
        </w:rPr>
      </w:pPr>
      <w:r>
        <w:rPr>
          <w:rFonts w:ascii="Times New Roman" w:cs="Times New Roman" w:eastAsia="Times New Roman" w:hAnsi="Times New Roman"/>
          <w:sz w:val="17"/>
          <w:szCs w:val="17"/>
          <w:color w:val="auto"/>
        </w:rPr>
        <w:t>Governments, regulators, plaintiffs’ attorneys, and privacy advocates have increased their focus on how companies collect, use, store, share, transmit, and otherwise process personal data, personal information, and certain other data and information. Any perception of our practices, products, offerings, or services as violating of individual privacy or data protection rights, or failing to comply with obligations under laws or regulations relating to privacy, data protection, or cybersecurity,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cybersecurity, and the collection, use, security, and other processing of data and information are uncertain, it is possible that these laws, regulations, and obligations may be interpreted and applied in a manner that is inconsistent with our practices or the features of our products, offerings,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services. We could be required to fundamentally change our business activities and practices or modify our products, offerings, and services, any of which could require significant additional expense and adversely affect our business and results of operations, including impacting our ability to innovate, delaying our development roadmap, negatively impacting our efforts to understand our customers, limiting the effectiveness of our marketing activities, adversely affecting our relationships with customers and our ability to compete, harming our margins, and subjecting us to additional liabilities.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196"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or</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export of these solutions and services to locations, governments, and persons targeted by applicable sanctions without the required export authorizations. While we have processes to prevent our offerings from being exported in violation of these laws, including obtaining authorizations as appropriate and screening against U.S. government and applicable international lists of restricted and prohibited persons, we cannot guarantee that these processes will prevent all violations of export controls and sanctions laws and regulations.</w:t>
      </w:r>
    </w:p>
    <w:p>
      <w:pPr>
        <w:spacing w:after="0" w:line="208"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or loss of sales opportunities. Violations of applicable sanctions or export control laws or regulations can result in fines or penalties.</w:t>
      </w:r>
    </w:p>
    <w:p>
      <w:pPr>
        <w:spacing w:after="0" w:line="196" w:lineRule="exact"/>
        <w:rPr>
          <w:sz w:val="20"/>
          <w:szCs w:val="20"/>
          <w:color w:val="auto"/>
        </w:rPr>
      </w:pPr>
    </w:p>
    <w:p>
      <w:pPr>
        <w:ind w:right="480" w:firstLine="398"/>
        <w:spacing w:after="0" w:line="259"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6" w:lineRule="exact"/>
        <w:rPr>
          <w:sz w:val="20"/>
          <w:szCs w:val="20"/>
          <w:color w:val="auto"/>
        </w:rPr>
      </w:pPr>
    </w:p>
    <w:p>
      <w:pPr>
        <w:ind w:right="100" w:firstLine="398"/>
        <w:spacing w:after="0" w:line="249" w:lineRule="auto"/>
        <w:rPr>
          <w:sz w:val="20"/>
          <w:szCs w:val="20"/>
          <w:color w:val="auto"/>
        </w:rPr>
      </w:pPr>
      <w:r>
        <w:rPr>
          <w:rFonts w:ascii="Times New Roman" w:cs="Times New Roman" w:eastAsia="Times New Roman" w:hAnsi="Times New Roman"/>
          <w:sz w:val="18"/>
          <w:szCs w:val="18"/>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216" w:lineRule="exact"/>
        <w:rPr>
          <w:sz w:val="20"/>
          <w:szCs w:val="20"/>
          <w:color w:val="auto"/>
        </w:rPr>
      </w:pPr>
    </w:p>
    <w:p>
      <w:pPr>
        <w:ind w:right="60" w:firstLine="398"/>
        <w:spacing w:after="0" w:line="269" w:lineRule="auto"/>
        <w:rPr>
          <w:sz w:val="20"/>
          <w:szCs w:val="20"/>
          <w:color w:val="auto"/>
        </w:rPr>
      </w:pPr>
      <w:r>
        <w:rPr>
          <w:rFonts w:ascii="Times New Roman" w:cs="Times New Roman" w:eastAsia="Times New Roman" w:hAnsi="Times New Roman"/>
          <w:sz w:val="17"/>
          <w:szCs w:val="17"/>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6" w:lineRule="exact"/>
        <w:rPr>
          <w:sz w:val="20"/>
          <w:szCs w:val="20"/>
          <w:color w:val="auto"/>
        </w:rPr>
      </w:pPr>
    </w:p>
    <w:p>
      <w:pPr>
        <w:ind w:right="260" w:firstLine="398"/>
        <w:spacing w:after="0" w:line="260"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03" w:lineRule="exact"/>
        <w:rPr>
          <w:sz w:val="20"/>
          <w:szCs w:val="20"/>
          <w:color w:val="auto"/>
        </w:rPr>
      </w:pPr>
    </w:p>
    <w:p>
      <w:pPr>
        <w:ind w:right="60" w:firstLine="398"/>
        <w:spacing w:after="0" w:line="250"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6" w:lineRule="exact"/>
        <w:rPr>
          <w:sz w:val="20"/>
          <w:szCs w:val="20"/>
          <w:color w:val="auto"/>
        </w:rPr>
      </w:pPr>
    </w:p>
    <w:p>
      <w:pPr>
        <w:ind w:right="100" w:firstLine="398"/>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spacing w:after="0" w:line="215"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color w:val="auto"/>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spacing w:after="0" w:line="209"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6" w:lineRule="exact"/>
        <w:rPr>
          <w:sz w:val="20"/>
          <w:szCs w:val="20"/>
          <w:color w:val="auto"/>
        </w:rPr>
      </w:pPr>
    </w:p>
    <w:p>
      <w:pPr>
        <w:ind w:right="100" w:firstLine="398"/>
        <w:spacing w:after="0" w:line="250"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5" w:lineRule="exact"/>
        <w:rPr>
          <w:sz w:val="20"/>
          <w:szCs w:val="20"/>
          <w:color w:val="auto"/>
        </w:rPr>
      </w:pPr>
    </w:p>
    <w:p>
      <w:pPr>
        <w:ind w:right="120" w:firstLine="398"/>
        <w:spacing w:after="0" w:line="260"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will incur transaction fees in adopting such hedging programs. Such volatility, even when it increases our revenues or decreases our expenses, impacts our ability to accurately predict our future results and earnings.</w:t>
      </w:r>
    </w:p>
    <w:p>
      <w:pPr>
        <w:spacing w:after="0" w:line="191" w:lineRule="exact"/>
        <w:rPr>
          <w:sz w:val="20"/>
          <w:szCs w:val="20"/>
          <w:color w:val="auto"/>
        </w:rPr>
      </w:pPr>
    </w:p>
    <w:p>
      <w:pPr>
        <w:ind w:right="140" w:firstLine="398"/>
        <w:spacing w:after="0" w:line="255" w:lineRule="auto"/>
        <w:rPr>
          <w:sz w:val="20"/>
          <w:szCs w:val="20"/>
          <w:color w:val="auto"/>
        </w:rPr>
      </w:pPr>
      <w:r>
        <w:rPr>
          <w:rFonts w:ascii="Times New Roman" w:cs="Times New Roman" w:eastAsia="Times New Roman" w:hAnsi="Times New Roman"/>
          <w:sz w:val="18"/>
          <w:szCs w:val="18"/>
          <w:color w:val="auto"/>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46" w:lineRule="exact"/>
        <w:rPr>
          <w:sz w:val="20"/>
          <w:szCs w:val="20"/>
          <w:color w:val="auto"/>
        </w:rPr>
      </w:pPr>
    </w:p>
    <w:p>
      <w:pPr>
        <w:ind w:right="60" w:firstLine="398"/>
        <w:spacing w:after="0" w:line="255" w:lineRule="auto"/>
        <w:rPr>
          <w:sz w:val="20"/>
          <w:szCs w:val="20"/>
          <w:color w:val="auto"/>
        </w:rPr>
      </w:pPr>
      <w:r>
        <w:rPr>
          <w:rFonts w:ascii="Times New Roman" w:cs="Times New Roman" w:eastAsia="Times New Roman" w:hAnsi="Times New Roman"/>
          <w:sz w:val="18"/>
          <w:szCs w:val="18"/>
          <w:color w:val="auto"/>
        </w:rPr>
        <w:t>We have $2.50 billion of principal debt, consisting of notes due at various times from June 2027 to June 2035, as of January 31, 2026, as described in Part II, Item 8. In May 2025, we also entered into the 2025 Credit Agreement, which provides for an unsecured revolving loan facility in the aggregate principal amount of $1.5 billion, with an option to be increased up to $2 billion, subject to receipt of additional commitments and other customary conditions, as described in Part II, Item 8. Maintenance of our indebtedness, contractual restrictions, and additional issuances of indebtedness could:</w:t>
      </w:r>
    </w:p>
    <w:p>
      <w:pPr>
        <w:spacing w:after="0" w:line="211"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4" w:lineRule="exact"/>
        <w:rPr>
          <w:rFonts w:ascii="Arial" w:cs="Arial" w:eastAsia="Arial" w:hAnsi="Arial"/>
          <w:sz w:val="21"/>
          <w:szCs w:val="21"/>
          <w:color w:val="auto"/>
        </w:rPr>
      </w:pPr>
    </w:p>
    <w:p>
      <w:pPr>
        <w:ind w:left="640" w:hanging="316"/>
        <w:spacing w:after="0" w:line="223"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4"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4" w:lineRule="exact"/>
        <w:rPr>
          <w:rFonts w:ascii="Arial" w:cs="Arial" w:eastAsia="Arial" w:hAnsi="Arial"/>
          <w:sz w:val="21"/>
          <w:szCs w:val="21"/>
          <w:color w:val="auto"/>
        </w:rPr>
      </w:pPr>
    </w:p>
    <w:p>
      <w:pPr>
        <w:ind w:left="640" w:right="140" w:hanging="316"/>
        <w:spacing w:after="0" w:line="243"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18" w:lineRule="exact"/>
        <w:rPr>
          <w:sz w:val="20"/>
          <w:szCs w:val="20"/>
          <w:color w:val="auto"/>
        </w:rPr>
      </w:pPr>
    </w:p>
    <w:p>
      <w:pPr>
        <w:ind w:firstLine="398"/>
        <w:spacing w:after="0"/>
        <w:rPr>
          <w:sz w:val="20"/>
          <w:szCs w:val="20"/>
          <w:color w:val="auto"/>
        </w:rPr>
      </w:pPr>
      <w:r>
        <w:rPr>
          <w:rFonts w:ascii="Times New Roman" w:cs="Times New Roman" w:eastAsia="Times New Roman" w:hAnsi="Times New Roman"/>
          <w:sz w:val="18"/>
          <w:szCs w:val="18"/>
          <w:color w:val="auto"/>
        </w:rPr>
        <w:t>We are required to comply with the covenants set forth in the 2025 Credit Agreement. If we breach any of the covenants and do not obtain a waiver from the lenders, then, subject to applicable cure periods, we would not be able to incur additional indebtedness under the 2025 Credit Agreement, and the lenders under the 2025 Credit Agreement could declare any outstanding indebtedness under the 2025 Credit Agreement immediately due and payable, which declaration could also lead to a default under agreements governing our outstanding senior notes and any future indebtedness.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could increase. Downgrades in our credit ratings could also restrict our ability to obtain additional financing in the future and could affect the terms of any such financing.</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202" w:lineRule="exact"/>
        <w:rPr>
          <w:sz w:val="20"/>
          <w:szCs w:val="20"/>
          <w:color w:val="auto"/>
        </w:rPr>
      </w:pPr>
    </w:p>
    <w:p>
      <w:pPr>
        <w:ind w:right="180" w:firstLine="398"/>
        <w:spacing w:after="0" w:line="271" w:lineRule="auto"/>
        <w:rPr>
          <w:sz w:val="20"/>
          <w:szCs w:val="20"/>
          <w:color w:val="auto"/>
        </w:rPr>
      </w:pPr>
      <w:r>
        <w:rPr>
          <w:rFonts w:ascii="Times New Roman" w:cs="Times New Roman" w:eastAsia="Times New Roman" w:hAnsi="Times New Roman"/>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96"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loss on any of our investments may cause us to record an other-than-temporary impairment charge. The effect of this charge could impact our overall</w:t>
      </w:r>
    </w:p>
    <w:p>
      <w:pPr>
        <w:spacing w:after="0" w:line="36"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6" w:lineRule="exact"/>
        <w:rPr>
          <w:sz w:val="20"/>
          <w:szCs w:val="20"/>
          <w:color w:val="auto"/>
        </w:rPr>
      </w:pPr>
    </w:p>
    <w:p>
      <w:pPr>
        <w:ind w:right="120" w:firstLine="398"/>
        <w:spacing w:after="0" w:line="251"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w:t>
      </w:r>
    </w:p>
    <w:p>
      <w:pPr>
        <w:spacing w:after="0" w:line="213" w:lineRule="exact"/>
        <w:rPr>
          <w:sz w:val="20"/>
          <w:szCs w:val="20"/>
          <w:color w:val="auto"/>
        </w:rPr>
      </w:pPr>
    </w:p>
    <w:p>
      <w:pPr>
        <w:ind w:right="240" w:firstLine="398"/>
        <w:spacing w:after="0" w:line="276" w:lineRule="auto"/>
        <w:rPr>
          <w:sz w:val="20"/>
          <w:szCs w:val="20"/>
          <w:color w:val="auto"/>
        </w:rPr>
      </w:pPr>
      <w:r>
        <w:rPr>
          <w:rFonts w:ascii="Times New Roman" w:cs="Times New Roman" w:eastAsia="Times New Roman" w:hAnsi="Times New Roman"/>
          <w:sz w:val="17"/>
          <w:szCs w:val="17"/>
          <w:color w:val="auto"/>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w:t>
      </w:r>
    </w:p>
    <w:p>
      <w:pPr>
        <w:spacing w:after="0" w:line="2"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law and the ultimate effect on our results of operations, including for our prior tax years. In addition, increases in corporate tax rates, could increase our effective tax rate, cash taxes and have an adverse effect on our results from operations.</w:t>
      </w:r>
    </w:p>
    <w:p>
      <w:pPr>
        <w:spacing w:after="0" w:line="191"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(the “OECD”) that seek to allocate greater taxing rights to countries where customers are located and establish a global minimum tax rate of 15% (“Pillar Two”). On January 5, 2026, the OECD announced a“side-by-side” elective safe harbor that exempts U.S.-parented multinational entities from certain provisions of Pillar Two for fiscal years beginning on or after January 1, 2026.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1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89" w:lineRule="exact"/>
        <w:rPr>
          <w:sz w:val="20"/>
          <w:szCs w:val="20"/>
          <w:color w:val="auto"/>
        </w:rPr>
      </w:pPr>
    </w:p>
    <w:p>
      <w:pPr>
        <w:ind w:right="240" w:firstLine="398"/>
        <w:spacing w:after="0" w:line="270" w:lineRule="auto"/>
        <w:rPr>
          <w:sz w:val="20"/>
          <w:szCs w:val="20"/>
          <w:color w:val="auto"/>
        </w:rPr>
      </w:pPr>
      <w:r>
        <w:rPr>
          <w:rFonts w:ascii="Times New Roman" w:cs="Times New Roman" w:eastAsia="Times New Roman" w:hAnsi="Times New Roman"/>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46" w:lineRule="exact"/>
        <w:rPr>
          <w:sz w:val="20"/>
          <w:szCs w:val="20"/>
          <w:color w:val="auto"/>
        </w:rPr>
      </w:pPr>
    </w:p>
    <w:p>
      <w:pPr>
        <w:ind w:right="640" w:firstLine="398"/>
        <w:spacing w:after="0" w:line="274"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conflicts in the Middle East,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2" w:lineRule="exact"/>
        <w:rPr>
          <w:sz w:val="20"/>
          <w:szCs w:val="20"/>
          <w:color w:val="auto"/>
        </w:rPr>
      </w:pPr>
    </w:p>
    <w:p>
      <w:pPr>
        <w:ind w:right="60" w:firstLine="398"/>
        <w:spacing w:after="0" w:line="266" w:lineRule="auto"/>
        <w:rPr>
          <w:sz w:val="20"/>
          <w:szCs w:val="20"/>
          <w:color w:val="auto"/>
        </w:rPr>
      </w:pPr>
      <w:r>
        <w:rPr>
          <w:rFonts w:ascii="Times New Roman" w:cs="Times New Roman" w:eastAsia="Times New Roman" w:hAnsi="Times New Roman"/>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6" w:lineRule="exact"/>
        <w:rPr>
          <w:sz w:val="20"/>
          <w:szCs w:val="20"/>
          <w:color w:val="auto"/>
        </w:rPr>
      </w:pPr>
    </w:p>
    <w:p>
      <w:pPr>
        <w:jc w:val="both"/>
        <w:ind w:right="320" w:firstLine="398"/>
        <w:spacing w:after="0" w:line="260"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9"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1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firstLine="398"/>
        <w:spacing w:after="0" w:line="251" w:lineRule="auto"/>
        <w:rPr>
          <w:sz w:val="20"/>
          <w:szCs w:val="20"/>
          <w:color w:val="auto"/>
        </w:rPr>
      </w:pPr>
      <w:r>
        <w:rPr>
          <w:rFonts w:ascii="Times New Roman" w:cs="Times New Roman" w:eastAsia="Times New Roman" w:hAnsi="Times New Roman"/>
          <w:sz w:val="18"/>
          <w:szCs w:val="18"/>
          <w:color w:val="auto"/>
        </w:rPr>
        <w:t>We make assumptions, judgments, and estimates for a number of items, including revenue recognition for product subscriptions and enterprise business agreements (“EBAs”), the determination of the fair value of acquired assets and liabilities, and the realizability of deferred tax assets. We also make assumptions, judgments, and estimates in determining the accruals for uncertain tax positions, variable compensation, partner incentive programs, loss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1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Management and Strategy</w:t>
      </w:r>
    </w:p>
    <w:p>
      <w:pPr>
        <w:spacing w:after="0" w:line="246"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Autodesk has established policies and processes for assessing, treating, and managing material risk from cybersecurity threats based on relevant industry standards. These policies and processes are reviewed and updated at least annually. We have integrated these processes into our overall risk management systems and processes. We routinely assess material risks from cybersecurity threats, including any potential unauthorized occurrence on or conducted through our information systems that may adversely affect the confidentiality, integrity, or availability of our information systems or any information residing therein.</w:t>
      </w:r>
    </w:p>
    <w:p>
      <w:pPr>
        <w:spacing w:after="0" w:line="209"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conduct risk assessments, penetration tests, and other security assessments to identify cybersecurity threats regularly, and in the event of a material change in our business practices that may affect information systems potentially vulnerable to such cybersecurity threats. These assessments include the identification of reasonably foreseeable internal and external risks, the likelihood and potential damage that could result from such risks, and the sufficiency of existing policies, procedures, systems, and safeguards in place to manage such risks. Risks are then assigned to the appropriate owners for tracking and mitigation.</w:t>
      </w:r>
    </w:p>
    <w:p>
      <w:pPr>
        <w:spacing w:after="0" w:line="209" w:lineRule="exact"/>
        <w:rPr>
          <w:sz w:val="20"/>
          <w:szCs w:val="20"/>
          <w:color w:val="auto"/>
        </w:rPr>
      </w:pPr>
    </w:p>
    <w:p>
      <w:pPr>
        <w:jc w:val="both"/>
        <w:ind w:right="60" w:firstLine="398"/>
        <w:spacing w:after="0" w:line="282" w:lineRule="auto"/>
        <w:rPr>
          <w:sz w:val="20"/>
          <w:szCs w:val="20"/>
          <w:color w:val="auto"/>
        </w:rPr>
      </w:pPr>
      <w:r>
        <w:rPr>
          <w:rFonts w:ascii="Times New Roman" w:cs="Times New Roman" w:eastAsia="Times New Roman" w:hAnsi="Times New Roman"/>
          <w:sz w:val="17"/>
          <w:szCs w:val="17"/>
          <w:color w:val="auto"/>
        </w:rPr>
        <w:t>Following these assessments, we re-design, implement, and maintain reasonable safeguards, when appropriate, to minimize identified risks; reasonably address any identified gaps in existing safeguards; and continually monitor the effectiveness of our safeguards. We devote significant resources and designate high-level personnel, including our Chief Trust Officer, who reports to our Chief Technology Officer, to manage the risk assessment and mitigation processes.</w:t>
      </w:r>
    </w:p>
    <w:p>
      <w:pPr>
        <w:spacing w:after="0" w:line="186" w:lineRule="exact"/>
        <w:rPr>
          <w:sz w:val="20"/>
          <w:szCs w:val="20"/>
          <w:color w:val="auto"/>
        </w:rPr>
      </w:pPr>
    </w:p>
    <w:p>
      <w:pPr>
        <w:ind w:right="160" w:firstLine="398"/>
        <w:spacing w:after="0" w:line="260"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We train our workforce on these safeguards. Personnel at all levels and departments are made aware of our cybersecurity policies through required trainings. Cybersecurity tabletop exercises are regularly conducted for our executives and for incident response professionals. Improvements identified at these tabletop exercises are implemented into our processes.</w:t>
      </w:r>
    </w:p>
    <w:p>
      <w:pPr>
        <w:spacing w:after="0" w:line="203" w:lineRule="exact"/>
        <w:rPr>
          <w:sz w:val="20"/>
          <w:szCs w:val="20"/>
          <w:color w:val="auto"/>
        </w:rPr>
      </w:pPr>
    </w:p>
    <w:p>
      <w:pPr>
        <w:ind w:right="720" w:firstLine="398"/>
        <w:spacing w:after="0" w:line="274" w:lineRule="auto"/>
        <w:rPr>
          <w:sz w:val="20"/>
          <w:szCs w:val="20"/>
          <w:color w:val="auto"/>
        </w:rPr>
      </w:pPr>
      <w:r>
        <w:rPr>
          <w:rFonts w:ascii="Times New Roman" w:cs="Times New Roman" w:eastAsia="Times New Roman" w:hAnsi="Times New Roman"/>
          <w:sz w:val="18"/>
          <w:szCs w:val="18"/>
          <w:color w:val="auto"/>
        </w:rPr>
        <w:t>We engage assessors, consultants, and auditors in connection with our risk assessment processes. These outside advisors assist us to design and implement our cybersecurity policies and procedures, as well as to monitor and test our safeguards.</w:t>
      </w:r>
    </w:p>
    <w:p>
      <w:pPr>
        <w:spacing w:after="0" w:line="191" w:lineRule="exact"/>
        <w:rPr>
          <w:sz w:val="20"/>
          <w:szCs w:val="20"/>
          <w:color w:val="auto"/>
        </w:rPr>
      </w:pPr>
    </w:p>
    <w:p>
      <w:pPr>
        <w:ind w:right="200" w:firstLine="398"/>
        <w:spacing w:after="0" w:line="304" w:lineRule="auto"/>
        <w:rPr>
          <w:sz w:val="20"/>
          <w:szCs w:val="20"/>
          <w:color w:val="auto"/>
        </w:rPr>
      </w:pPr>
      <w:r>
        <w:rPr>
          <w:rFonts w:ascii="Times New Roman" w:cs="Times New Roman" w:eastAsia="Times New Roman" w:hAnsi="Times New Roman"/>
          <w:sz w:val="17"/>
          <w:szCs w:val="17"/>
          <w:color w:val="auto"/>
        </w:rPr>
        <w:t>We require Autodesk’s third-party service providers and suppliers to implement and maintain appropriate security measures consistent with applicable laws in connection with their work with us and to promptly report any suspected breach of their security measures that may affect our Company.</w:t>
      </w:r>
    </w:p>
    <w:p>
      <w:pPr>
        <w:spacing w:after="0" w:line="168" w:lineRule="exact"/>
        <w:rPr>
          <w:sz w:val="20"/>
          <w:szCs w:val="20"/>
          <w:color w:val="auto"/>
        </w:rPr>
      </w:pPr>
    </w:p>
    <w:p>
      <w:pPr>
        <w:ind w:right="40" w:firstLine="398"/>
        <w:spacing w:after="0" w:line="282" w:lineRule="auto"/>
        <w:rPr>
          <w:sz w:val="20"/>
          <w:szCs w:val="20"/>
          <w:color w:val="auto"/>
        </w:rPr>
      </w:pPr>
      <w:r>
        <w:rPr>
          <w:rFonts w:ascii="Times New Roman" w:cs="Times New Roman" w:eastAsia="Times New Roman" w:hAnsi="Times New Roman"/>
          <w:sz w:val="17"/>
          <w:szCs w:val="17"/>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under the heading “Risks Relating to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Governance</w:t>
      </w:r>
    </w:p>
    <w:p>
      <w:pPr>
        <w:spacing w:after="0" w:line="246" w:lineRule="exact"/>
        <w:rPr>
          <w:sz w:val="20"/>
          <w:szCs w:val="20"/>
          <w:color w:val="auto"/>
        </w:rPr>
      </w:pPr>
    </w:p>
    <w:p>
      <w:pPr>
        <w:ind w:right="60" w:firstLine="398"/>
        <w:spacing w:after="0" w:line="260"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The board’s Audit Committee oversees the management of cybersecurity risks relating to financial, accounting, and internal control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matters. The full board receives regular updates from our senior management and outside advisors regarding cybersecurity risks Autodesk faces. Our Enterprise Risk Management function is responsible for identifying, prioritizing, and mitigating risks that could limit Autodesk's achievement of its strategic and operational priorities. Our executive officers are responsible for the day-to-day assessment and management of these risks.</w:t>
      </w:r>
    </w:p>
    <w:p>
      <w:pPr>
        <w:spacing w:after="0" w:line="203" w:lineRule="exact"/>
        <w:rPr>
          <w:sz w:val="20"/>
          <w:szCs w:val="20"/>
          <w:color w:val="auto"/>
        </w:rPr>
      </w:pPr>
    </w:p>
    <w:p>
      <w:pPr>
        <w:ind w:right="440" w:firstLine="398"/>
        <w:spacing w:after="0" w:line="304" w:lineRule="auto"/>
        <w:rPr>
          <w:sz w:val="20"/>
          <w:szCs w:val="20"/>
          <w:color w:val="auto"/>
        </w:rPr>
      </w:pPr>
      <w:r>
        <w:rPr>
          <w:rFonts w:ascii="Times New Roman" w:cs="Times New Roman" w:eastAsia="Times New Roman" w:hAnsi="Times New Roman"/>
          <w:sz w:val="17"/>
          <w:szCs w:val="17"/>
          <w:color w:val="auto"/>
        </w:rPr>
        <w:t>Our Chief Trust Officer is responsible for assessing and managing material risks from cybersecurity threats. Our Chief Trust Officer has more than twenty years of cybersecurity leadership experience, including serving in similar roles leading cybersecurity programs at other public companies.</w:t>
      </w:r>
    </w:p>
    <w:p>
      <w:pPr>
        <w:spacing w:after="0" w:line="168"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Our Chief Trust Officer oversees our cybersecurity policies and processes, including those described in “Risk Management and Strategy” above. The processes by which our Chief Trust Officer is informed about and monitors the prevention, detection, mitigation, and remediation of cybersecurity incidents include the following: leading Autodesk’s Trust program which implements data protection measures and processes across the organization; strategic planning of the Company’s cybersecurity initiatives and objectives; cybersecurity risk mitigation efforts; managing tools and processes that support security incident monitoring and alerting; overseeing security incident response planning; managing exercises that test management’s response plans and procedures; and managing our response to suspected or actual security incidents.</w:t>
      </w:r>
    </w:p>
    <w:p>
      <w:pPr>
        <w:spacing w:after="0" w:line="213" w:lineRule="exact"/>
        <w:rPr>
          <w:sz w:val="20"/>
          <w:szCs w:val="20"/>
          <w:color w:val="auto"/>
        </w:rPr>
      </w:pPr>
    </w:p>
    <w:p>
      <w:pPr>
        <w:ind w:right="20" w:firstLine="398"/>
        <w:spacing w:after="0" w:line="275" w:lineRule="auto"/>
        <w:rPr>
          <w:sz w:val="20"/>
          <w:szCs w:val="20"/>
          <w:color w:val="auto"/>
        </w:rPr>
      </w:pPr>
      <w:r>
        <w:rPr>
          <w:rFonts w:ascii="Times New Roman" w:cs="Times New Roman" w:eastAsia="Times New Roman" w:hAnsi="Times New Roman"/>
          <w:sz w:val="17"/>
          <w:szCs w:val="17"/>
          <w:color w:val="auto"/>
        </w:rPr>
        <w:t>Our Chief Trust Officer provides quarterly briefings to the Audit Committee regarding our cybersecurity risks and state of our Trust program, including recent cybersecurity incidents and related responses, cybersecurity systems testing, and data protection initiatives and metrics. Our Audit Committee regularly updates the board of directors on such reports. In addition, our Chief Trust Officer provides briefings on cybersecurity risks and activities to the board of directors at least annually. Our Chief Trust Officer may also brief the board of directors regarding significant cybersecurity incidents.</w:t>
      </w:r>
    </w:p>
    <w:p>
      <w:pPr>
        <w:spacing w:after="0" w:line="19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6"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We lease approximately 1,200,000 square feet of office space in 85 locations in the United States and internationally through our foreign subsidiaries. Our executive offices and corporate headquarters are in leased office space in San Francisco, California. Our San Francisco facilities consist of approximately 140,000 square feet under leases that have expiration dates ranging from June 2026 to June 2031. We and our foreign subsidiaries lease additional space in various locations throughout the world for local sales, product development, and technical support personnel.</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facilities are in good condition. We believe that our existing facilities and offices are adequate to meet our requirements for the foreseeable future.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 Item 8, Note 9, “Leases,” in the Notes to Consolidated Financial Statements for more information.</w:t>
      </w:r>
    </w:p>
    <w:p>
      <w:pPr>
        <w:spacing w:after="0" w:line="22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6"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15" w:lineRule="exact"/>
        <w:rPr>
          <w:sz w:val="20"/>
          <w:szCs w:val="20"/>
          <w:color w:val="auto"/>
        </w:rPr>
      </w:pPr>
    </w:p>
    <w:p>
      <w:pPr>
        <w:ind w:right="20" w:firstLine="398"/>
        <w:spacing w:after="0" w:line="251"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spacing w:after="0" w:line="213" w:lineRule="exact"/>
        <w:rPr>
          <w:sz w:val="20"/>
          <w:szCs w:val="20"/>
          <w:color w:val="auto"/>
        </w:rPr>
      </w:pPr>
    </w:p>
    <w:p>
      <w:pPr>
        <w:ind w:right="220" w:firstLine="398"/>
        <w:spacing w:after="0" w:line="274" w:lineRule="auto"/>
        <w:rPr>
          <w:sz w:val="20"/>
          <w:szCs w:val="20"/>
          <w:color w:val="auto"/>
        </w:rPr>
      </w:pPr>
      <w:r>
        <w:rPr>
          <w:rFonts w:ascii="Times New Roman" w:cs="Times New Roman" w:eastAsia="Times New Roman" w:hAnsi="Times New Roman"/>
          <w:sz w:val="18"/>
          <w:szCs w:val="18"/>
          <w:color w:val="auto"/>
        </w:rPr>
        <w:t>On April 24, 2024, Michael Barkasi filed a purported federal securities class action complaint in the Northern District of California against Autodesk, our Chief Executive Officer, Andrew Anagnost, and our former Chief Financial Officer, Deborah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L. Clifford. The complaint, which was filed shortly after Autodesk’s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purported to be brought on behalf of those who purchased or otherwise acquired the Company’s securities between February 23, 2023 and April 16, 2024, and sought unspecified damages and other relief. On November 25, 2024, Defendants filed a motion to dismiss the complaint. On July 18, 2025, the Court granted defendants’ motion to dismiss with leave to amend. On August 8, 2025, plaintiffs filed an amended complaint, which purported to assert claims under Sections 10(b) and 20(a) of the Exchange Act, and Rule 10b-5 promulgated thereunder. Defendants’ motion to dismiss the amended complaint was filed on August 29, 2025. On January 26, 2026, the Court granted defendants’ motion to dismiss the amended compliant with prejudice. On February 12, 2026, the Court entered judgment. Plaintiffs have thirty days from entry of judgment to file a notice of appeal. At this stage, the Company cannot reasonably estimate the amount of any possible financial loss that could result from this matter.</w:t>
      </w:r>
    </w:p>
    <w:p>
      <w:pPr>
        <w:spacing w:after="0" w:line="214" w:lineRule="exact"/>
        <w:rPr>
          <w:sz w:val="20"/>
          <w:szCs w:val="20"/>
          <w:color w:val="auto"/>
        </w:rPr>
      </w:pPr>
    </w:p>
    <w:p>
      <w:pPr>
        <w:ind w:right="20" w:firstLine="398"/>
        <w:spacing w:after="0" w:line="264" w:lineRule="auto"/>
        <w:rPr>
          <w:sz w:val="20"/>
          <w:szCs w:val="20"/>
          <w:color w:val="auto"/>
        </w:rPr>
      </w:pPr>
      <w:r>
        <w:rPr>
          <w:rFonts w:ascii="Times New Roman" w:cs="Times New Roman" w:eastAsia="Times New Roman" w:hAnsi="Times New Roman"/>
          <w:sz w:val="17"/>
          <w:szCs w:val="17"/>
          <w:color w:val="auto"/>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 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above. The plaintiff in the District of Delaware action filed a notice of voluntary dismissal of the action without prejudice on April 4, 2025, which the Court entered on April 7, 2025.</w:t>
      </w:r>
    </w:p>
    <w:p>
      <w:pPr>
        <w:spacing w:after="0" w:line="2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1" w:lineRule="exact"/>
        <w:rPr>
          <w:sz w:val="20"/>
          <w:szCs w:val="20"/>
          <w:color w:val="auto"/>
        </w:rPr>
      </w:pPr>
    </w:p>
    <w:p>
      <w:pPr>
        <w:ind w:left="1280" w:right="260" w:hanging="1272"/>
        <w:spacing w:after="0" w:line="276"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ADSK.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anticipate that, for the foreseeable future, we will not pay any cash or stock dividends.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46" w:lineRule="exact"/>
        <w:rPr>
          <w:sz w:val="20"/>
          <w:szCs w:val="20"/>
          <w:color w:val="auto"/>
        </w:rPr>
      </w:pPr>
    </w:p>
    <w:p>
      <w:pPr>
        <w:ind w:right="260" w:firstLine="398"/>
        <w:spacing w:after="0" w:line="274" w:lineRule="auto"/>
        <w:rPr>
          <w:sz w:val="20"/>
          <w:szCs w:val="20"/>
          <w:color w:val="auto"/>
        </w:rPr>
      </w:pPr>
      <w:r>
        <w:rPr>
          <w:rFonts w:ascii="Times New Roman" w:cs="Times New Roman" w:eastAsia="Times New Roman" w:hAnsi="Times New Roman"/>
          <w:sz w:val="18"/>
          <w:szCs w:val="18"/>
          <w:color w:val="auto"/>
        </w:rPr>
        <w:t>As of January 31, 2026, the number of common stockholders of record was 244. Because many of our shares of common stock are held by brokers or other institutions on behalf of stockholders, we are unable to estimate the total number of stockholders represented by the record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6"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Our stock repurchase programs provide us with the ability to offset the dilution from the issuance of stock under our employee stock plans and reduce shares outstanding over time, and have the effect of returning excess cash generated from our business to stockholders. Under the share repurchase programs, we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information about the repurchase of common stock in open-market transactions during the quarter ended January 31, 2026:</w:t>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jc w:val="center"/>
              <w:ind w:left="109"/>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3080" w:type="dxa"/>
            <w:vAlign w:val="bottom"/>
            <w:vMerge w:val="restart"/>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6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00" w:type="dxa"/>
            <w:vAlign w:val="bottom"/>
          </w:tcPr>
          <w:p>
            <w:pPr>
              <w:jc w:val="center"/>
              <w:ind w:left="109"/>
              <w:spacing w:after="0" w:line="144" w:lineRule="exact"/>
              <w:rPr>
                <w:sz w:val="20"/>
                <w:szCs w:val="20"/>
                <w:color w:val="auto"/>
              </w:rPr>
            </w:pPr>
            <w:r>
              <w:rPr>
                <w:rFonts w:ascii="Times New Roman" w:cs="Times New Roman" w:eastAsia="Times New Roman" w:hAnsi="Times New Roman"/>
                <w:sz w:val="14"/>
                <w:szCs w:val="14"/>
                <w:b w:val="1"/>
                <w:bCs w:val="1"/>
                <w:color w:val="auto"/>
                <w:w w:val="99"/>
              </w:rPr>
              <w:t>as Part of Publicly</w:t>
            </w:r>
          </w:p>
        </w:tc>
        <w:tc>
          <w:tcPr>
            <w:tcW w:w="0" w:type="dxa"/>
            <w:vAlign w:val="bottom"/>
          </w:tcPr>
          <w:p>
            <w:pPr>
              <w:spacing w:after="0"/>
              <w:rPr>
                <w:sz w:val="1"/>
                <w:szCs w:val="1"/>
                <w:color w:val="auto"/>
              </w:rPr>
            </w:pPr>
          </w:p>
        </w:tc>
      </w:tr>
      <w:tr>
        <w:trPr>
          <w:trHeight w:val="135"/>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30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400" w:type="dxa"/>
            <w:vAlign w:val="bottom"/>
          </w:tcPr>
          <w:p>
            <w:pPr>
              <w:jc w:val="center"/>
              <w:ind w:left="109"/>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6"/>
        </w:trPr>
        <w:tc>
          <w:tcPr>
            <w:tcW w:w="2760" w:type="dxa"/>
            <w:vAlign w:val="bottom"/>
            <w:vMerge w:val="continue"/>
          </w:tcPr>
          <w:p>
            <w:pPr>
              <w:spacing w:after="0"/>
              <w:rPr>
                <w:sz w:val="16"/>
                <w:szCs w:val="16"/>
                <w:color w:val="auto"/>
              </w:rPr>
            </w:pPr>
          </w:p>
        </w:tc>
        <w:tc>
          <w:tcPr>
            <w:tcW w:w="308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6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Programs(1)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200"/>
        <w:spacing w:after="0" w:line="221"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spacing w:after="0" w:line="198" w:lineRule="auto"/>
        <w:rPr>
          <w:sz w:val="20"/>
          <w:szCs w:val="20"/>
          <w:color w:val="auto"/>
        </w:rPr>
      </w:pPr>
      <w:r>
        <w:rPr>
          <w:rFonts w:ascii="Times New Roman" w:cs="Times New Roman" w:eastAsia="Times New Roman" w:hAnsi="Times New Roman"/>
          <w:sz w:val="14"/>
          <w:szCs w:val="14"/>
          <w:b w:val="1"/>
          <w:bCs w:val="1"/>
          <w:color w:val="auto"/>
        </w:rPr>
        <w:t>Purchased Under the Plans or</w:t>
      </w:r>
    </w:p>
    <w:p>
      <w:pPr>
        <w:ind w:left="140"/>
        <w:spacing w:after="0"/>
        <w:rPr>
          <w:sz w:val="20"/>
          <w:szCs w:val="20"/>
          <w:color w:val="auto"/>
        </w:rPr>
      </w:pPr>
      <w:r>
        <w:rPr>
          <w:rFonts w:ascii="Times New Roman" w:cs="Times New Roman" w:eastAsia="Times New Roman" w:hAnsi="Times New Roman"/>
          <w:sz w:val="14"/>
          <w:szCs w:val="14"/>
          <w:b w:val="1"/>
          <w:bCs w:val="1"/>
          <w:color w:val="auto"/>
        </w:rPr>
        <w:t>Programs (</w:t>
      </w:r>
      <w:r>
        <w:rPr>
          <w:rFonts w:ascii="Times New Roman" w:cs="Times New Roman" w:eastAsia="Times New Roman" w:hAnsi="Times New Roman"/>
          <w:sz w:val="14"/>
          <w:szCs w:val="14"/>
          <w:b w:val="1"/>
          <w:bCs w:val="1"/>
          <w:i w:val="1"/>
          <w:iCs w:val="1"/>
          <w:color w:val="auto"/>
        </w:rPr>
        <w:t>in millions</w:t>
      </w:r>
      <w:r>
        <w:rPr>
          <w:rFonts w:ascii="Times New Roman" w:cs="Times New Roman" w:eastAsia="Times New Roman" w:hAnsi="Times New Roman"/>
          <w:sz w:val="14"/>
          <w:szCs w:val="14"/>
          <w:b w:val="1"/>
          <w:bCs w:val="1"/>
          <w:color w:val="auto"/>
        </w:rPr>
        <w:t>) (2)</w:t>
      </w:r>
    </w:p>
    <w:p>
      <w:pPr>
        <w:spacing w:after="0" w:line="21" w:lineRule="exact"/>
        <w:rPr>
          <w:sz w:val="20"/>
          <w:szCs w:val="20"/>
          <w:color w:val="auto"/>
        </w:rPr>
      </w:pPr>
    </w:p>
    <w:p>
      <w:pPr>
        <w:sectPr>
          <w:pgSz w:w="11900" w:h="16838" w:orient="portrait"/>
          <w:cols w:equalWidth="0" w:num="2">
            <w:col w:w="8900" w:space="420"/>
            <w:col w:w="1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 November 30</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ind w:left="1460"/>
              <w:spacing w:after="0"/>
              <w:rPr>
                <w:sz w:val="20"/>
                <w:szCs w:val="20"/>
                <w:color w:val="auto"/>
              </w:rPr>
            </w:pPr>
            <w:r>
              <w:rPr>
                <w:rFonts w:ascii="Times New Roman" w:cs="Times New Roman" w:eastAsia="Times New Roman" w:hAnsi="Times New Roman"/>
                <w:sz w:val="16"/>
                <w:szCs w:val="16"/>
                <w:color w:val="auto"/>
                <w:w w:val="99"/>
              </w:rPr>
              <w:t>$7,663</w:t>
            </w: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1 - December 31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140" w:type="dxa"/>
            <w:vAlign w:val="bottom"/>
            <w:gridSpan w:val="2"/>
          </w:tcPr>
          <w:p>
            <w:pPr>
              <w:jc w:val="center"/>
              <w:ind w:left="1580"/>
              <w:spacing w:after="0"/>
              <w:rPr>
                <w:sz w:val="20"/>
                <w:szCs w:val="20"/>
                <w:color w:val="auto"/>
              </w:rPr>
            </w:pPr>
            <w:r>
              <w:rPr>
                <w:rFonts w:ascii="Times New Roman" w:cs="Times New Roman" w:eastAsia="Times New Roman" w:hAnsi="Times New Roman"/>
                <w:sz w:val="16"/>
                <w:szCs w:val="16"/>
                <w:color w:val="auto"/>
                <w:w w:val="99"/>
              </w:rPr>
              <w:t>7,557</w:t>
            </w: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January 31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267.60</w:t>
            </w:r>
          </w:p>
        </w:tc>
        <w:tc>
          <w:tcPr>
            <w:tcW w:w="1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140" w:type="dxa"/>
            <w:vAlign w:val="bottom"/>
            <w:gridSpan w:val="2"/>
            <w:shd w:val="clear" w:color="auto" w:fill="CCEEFF"/>
          </w:tcPr>
          <w:p>
            <w:pPr>
              <w:jc w:val="center"/>
              <w:ind w:left="1580"/>
              <w:spacing w:after="0"/>
              <w:rPr>
                <w:sz w:val="20"/>
                <w:szCs w:val="20"/>
                <w:color w:val="auto"/>
              </w:rPr>
            </w:pPr>
            <w:r>
              <w:rPr>
                <w:rFonts w:ascii="Times New Roman" w:cs="Times New Roman" w:eastAsia="Times New Roman" w:hAnsi="Times New Roman"/>
                <w:sz w:val="16"/>
                <w:szCs w:val="16"/>
                <w:color w:val="auto"/>
                <w:w w:val="99"/>
              </w:rPr>
              <w:t>7,484</w:t>
            </w:r>
          </w:p>
        </w:tc>
      </w:tr>
      <w:tr>
        <w:trPr>
          <w:trHeight w:val="206"/>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291.47</w:t>
            </w: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purchased in open-market transactions under the stock repurchase programs approved by the Board of Directors.</w:t>
      </w:r>
    </w:p>
    <w:p>
      <w:pPr>
        <w:spacing w:after="0" w:line="4" w:lineRule="exact"/>
        <w:rPr>
          <w:rFonts w:ascii="Times New Roman" w:cs="Times New Roman" w:eastAsia="Times New Roman" w:hAnsi="Times New Roman"/>
          <w:sz w:val="16"/>
          <w:szCs w:val="16"/>
          <w:color w:val="auto"/>
        </w:rPr>
      </w:pPr>
    </w:p>
    <w:p>
      <w:pPr>
        <w:ind w:left="400" w:right="200" w:hanging="394"/>
        <w:spacing w:after="0" w:line="254"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plans publicly announced and approved by the Board of Directors in November 2022 and November 2024 that authorized the repurchase of $5 billion and $5 billion, respectively. At January 31, 2026, $2.48 billion and $5 billion remained available for repurchase under the November 2022 and November 2024 repurchase programs, respectively. The plans do not have a fixed expiration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STOCK PERFORMANCE</w:t>
      </w:r>
    </w:p>
    <w:p>
      <w:pPr>
        <w:spacing w:after="0" w:line="246"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The following graph shows a five-year comparison of cumulative total return (equal to dividends plus stock appreciation) for our common stock, the Standard &amp; Poor’s 500 Stock Index, the Standard &amp; Poor’s North American Technology Software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22860</wp:posOffset>
            </wp:positionV>
            <wp:extent cx="4489450" cy="3369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894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5" w:lineRule="exact"/>
        <w:rPr>
          <w:sz w:val="20"/>
          <w:szCs w:val="20"/>
          <w:color w:val="auto"/>
        </w:rPr>
      </w:pPr>
    </w:p>
    <w:p>
      <w:pPr>
        <w:ind w:left="400" w:hanging="394"/>
        <w:spacing w:after="0" w:line="256"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$100 invested on January 31, 2021, in Autodesk’s stock, the Standard &amp; Poor’s 500 Stock Index, Standard &amp; Poor’s North American Technology Software Index, and the Dow Jones U.S. Software Index with reinvestment of all dividends. Total stockholder returns for prior periods are not an indication of future investment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4"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This discussion contains forward-looking statements based upon current expectations that involve risks and uncertainties. Our actual results may differ materially from those anticipated in these forward-looking statements as a result of several factors, including those set forth above in Part I, Item 1A, "Risk Factors," and elsewhere in this report. See “Forward-Looking Information” immediately preceding Part 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6"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3" w:lineRule="exact"/>
        <w:rPr>
          <w:sz w:val="20"/>
          <w:szCs w:val="20"/>
          <w:color w:val="auto"/>
        </w:rPr>
      </w:pPr>
    </w:p>
    <w:p>
      <w:pPr>
        <w:ind w:right="340" w:firstLine="398"/>
        <w:spacing w:after="0" w:line="255" w:lineRule="auto"/>
        <w:rPr>
          <w:sz w:val="20"/>
          <w:szCs w:val="20"/>
          <w:color w:val="auto"/>
        </w:rPr>
      </w:pPr>
      <w:r>
        <w:rPr>
          <w:rFonts w:ascii="Times New Roman" w:cs="Times New Roman" w:eastAsia="Times New Roman" w:hAnsi="Times New Roman"/>
          <w:sz w:val="18"/>
          <w:szCs w:val="18"/>
          <w:color w:val="auto"/>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208"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Evolution</w:t>
      </w:r>
    </w:p>
    <w:p>
      <w:pPr>
        <w:spacing w:after="0" w:line="246" w:lineRule="exact"/>
        <w:rPr>
          <w:sz w:val="20"/>
          <w:szCs w:val="20"/>
          <w:color w:val="auto"/>
        </w:rPr>
      </w:pPr>
    </w:p>
    <w:p>
      <w:pPr>
        <w:ind w:right="240" w:firstLine="398"/>
        <w:spacing w:after="0" w:line="260"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3" w:lineRule="exact"/>
        <w:rPr>
          <w:sz w:val="20"/>
          <w:szCs w:val="20"/>
          <w:color w:val="auto"/>
        </w:rPr>
      </w:pPr>
    </w:p>
    <w:p>
      <w:pPr>
        <w:ind w:right="40" w:firstLine="398"/>
        <w:spacing w:after="0" w:line="251"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Autodesk Construction Cloud (now known as Forma for Construction), Autodesk Build,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3" w:lineRule="exact"/>
        <w:rPr>
          <w:sz w:val="20"/>
          <w:szCs w:val="20"/>
          <w:color w:val="auto"/>
        </w:rPr>
      </w:pPr>
    </w:p>
    <w:p>
      <w:pPr>
        <w:ind w:right="160" w:firstLine="398"/>
        <w:spacing w:after="0" w:line="274"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1" w:lineRule="exact"/>
        <w:rPr>
          <w:sz w:val="20"/>
          <w:szCs w:val="20"/>
          <w:color w:val="auto"/>
        </w:rPr>
      </w:pPr>
    </w:p>
    <w:p>
      <w:pPr>
        <w:ind w:right="240" w:firstLine="398"/>
        <w:spacing w:after="0" w:line="253"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Construction and Operations (“AECO”), we are strengthening our AECO solutions’ foundation with both organic and inorganic investments. In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209"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w:t>
      </w:r>
    </w:p>
    <w:p>
      <w:pPr>
        <w:spacing w:after="0" w:line="208" w:lineRule="exact"/>
        <w:rPr>
          <w:sz w:val="20"/>
          <w:szCs w:val="20"/>
          <w:color w:val="auto"/>
        </w:rPr>
      </w:pPr>
    </w:p>
    <w:p>
      <w:pPr>
        <w:ind w:right="360" w:firstLine="398"/>
        <w:spacing w:after="0" w:line="274"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Global Reach</w:t>
      </w:r>
    </w:p>
    <w:p>
      <w:pPr>
        <w:spacing w:after="0" w:line="246" w:lineRule="exact"/>
        <w:rPr>
          <w:sz w:val="20"/>
          <w:szCs w:val="20"/>
          <w:color w:val="auto"/>
        </w:rPr>
      </w:pPr>
    </w:p>
    <w:p>
      <w:pPr>
        <w:ind w:right="40" w:firstLine="398"/>
        <w:spacing w:after="0" w:line="249"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distributors, resellers, direct market resellers, volume channel partners, and product-specific resellers. In this new transaction model, Solution Providers provide a quote to customers but the actual transaction occurs directly between Autodesk and the customer. During fiscal 2027, we expect the change in recognition of sales incentives to Solution Providers from contra revenue to operating costs under the new transaction model to continue to positively impact calculated revenue growth, while being broadly neutral to calculated operating profit and free cash flow dollars, and to result in a calculated negative impact to operating margin. See Part II, Item 8, Note 2, "Revenue Recognition" in the Notes to the Consolidated Financial Statements for further detail on the results of our indirect and direct channel sales for the fiscal years ended January 31, 2026, 2025, and 2024.</w:t>
      </w:r>
    </w:p>
    <w:p>
      <w:pPr>
        <w:spacing w:after="0" w:line="216"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Platform Capabilities</w:t>
      </w:r>
    </w:p>
    <w:p>
      <w:pPr>
        <w:spacing w:after="0" w:line="246" w:lineRule="exact"/>
        <w:rPr>
          <w:sz w:val="20"/>
          <w:szCs w:val="20"/>
          <w:color w:val="auto"/>
        </w:rPr>
      </w:pPr>
    </w:p>
    <w:p>
      <w:pPr>
        <w:ind w:right="260" w:firstLine="398"/>
        <w:spacing w:after="0" w:line="255" w:lineRule="auto"/>
        <w:rPr>
          <w:sz w:val="20"/>
          <w:szCs w:val="20"/>
          <w:color w:val="auto"/>
        </w:rPr>
      </w:pPr>
      <w:r>
        <w:rPr>
          <w:rFonts w:ascii="Times New Roman" w:cs="Times New Roman" w:eastAsia="Times New Roman" w:hAnsi="Times New Roman"/>
          <w:sz w:val="18"/>
          <w:szCs w:val="18"/>
          <w:color w:val="auto"/>
        </w:rPr>
        <w:t>We develop and operate a trusted platform designed to support critical customer workflows and digital transformation across the industries we serve. The platform provides granular, interoperable, and accessible data through shared and centralized capabilities that support the functionality, performance, usability, security, and scalability of our offerings. These shared capabilities include Autodesk AI, reflecting nearly a decade of investment in artificial intelligence technologies used to augment, automate, and analyze customer workflows.</w:t>
      </w:r>
    </w:p>
    <w:p>
      <w:pPr>
        <w:spacing w:after="0" w:line="208" w:lineRule="exact"/>
        <w:rPr>
          <w:sz w:val="20"/>
          <w:szCs w:val="20"/>
          <w:color w:val="auto"/>
        </w:rPr>
      </w:pPr>
    </w:p>
    <w:p>
      <w:pPr>
        <w:ind w:right="200" w:firstLine="398"/>
        <w:spacing w:after="0" w:line="255" w:lineRule="auto"/>
        <w:rPr>
          <w:sz w:val="20"/>
          <w:szCs w:val="20"/>
          <w:color w:val="auto"/>
        </w:rPr>
      </w:pPr>
      <w:r>
        <w:rPr>
          <w:rFonts w:ascii="Times New Roman" w:cs="Times New Roman" w:eastAsia="Times New Roman" w:hAnsi="Times New Roman"/>
          <w:sz w:val="18"/>
          <w:szCs w:val="18"/>
          <w:color w:val="auto"/>
        </w:rPr>
        <w:t>Our products are built on an API-based architecture that enables third-party developers and partners to build complementary and industry-specific applications. Autodesk Platform Services (“APS”) provides technology, infrastructure, and services that support connected workflows across design, make, and operate use cases. As part of the ongoing development of APS, we are integrating Model Context Protocol (“MCP”) servers to provide a standardized foundation to support AI-enabled integrations and workflow automation for developers and partners.</w:t>
      </w:r>
    </w:p>
    <w:p>
      <w:pPr>
        <w:spacing w:after="0" w:line="208" w:lineRule="exact"/>
        <w:rPr>
          <w:sz w:val="20"/>
          <w:szCs w:val="20"/>
          <w:color w:val="auto"/>
        </w:rPr>
      </w:pPr>
    </w:p>
    <w:p>
      <w:pPr>
        <w:jc w:val="both"/>
        <w:ind w:right="40" w:firstLine="398"/>
        <w:spacing w:after="0" w:line="260" w:lineRule="auto"/>
        <w:rPr>
          <w:sz w:val="20"/>
          <w:szCs w:val="20"/>
          <w:color w:val="auto"/>
        </w:rPr>
      </w:pPr>
      <w:r>
        <w:rPr>
          <w:rFonts w:ascii="Times New Roman" w:cs="Times New Roman" w:eastAsia="Times New Roman" w:hAnsi="Times New Roman"/>
          <w:sz w:val="18"/>
          <w:szCs w:val="18"/>
          <w:color w:val="auto"/>
        </w:rPr>
        <w:t>Our global ecosystem of distributors, resellers, Solution Providers, third-party developers, customers, educators, and learning partners supports the sale, deployment, adoption, and extension of our solutions worldwide. This ecosystem contributes to the scale, reach, and extensibility of our platform and enables customers to address a broad range of industry-specific and specialized use cases.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at Autodesk</w:t>
      </w:r>
    </w:p>
    <w:p>
      <w:pPr>
        <w:spacing w:after="0" w:line="246" w:lineRule="exact"/>
        <w:rPr>
          <w:sz w:val="20"/>
          <w:szCs w:val="20"/>
          <w:color w:val="auto"/>
        </w:rPr>
      </w:pPr>
    </w:p>
    <w:p>
      <w:pPr>
        <w:ind w:right="720" w:firstLine="398"/>
        <w:spacing w:after="0" w:line="274" w:lineRule="auto"/>
        <w:rPr>
          <w:sz w:val="20"/>
          <w:szCs w:val="20"/>
          <w:color w:val="auto"/>
        </w:rPr>
      </w:pPr>
      <w:r>
        <w:rPr>
          <w:rFonts w:ascii="Times New Roman" w:cs="Times New Roman" w:eastAsia="Times New Roman" w:hAnsi="Times New Roman"/>
          <w:sz w:val="18"/>
          <w:szCs w:val="18"/>
          <w:color w:val="auto"/>
        </w:rPr>
        <w:t>Autodesk is committed to advancing a more sustainable, resilient, and inclusive world. We take action as a business to support our employees, customers, and communities in our collective opportunity to design and make a better world for all.</w:t>
      </w:r>
    </w:p>
    <w:p>
      <w:pPr>
        <w:spacing w:after="0" w:line="191"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spacing w:after="0" w:line="208"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w:t>
      </w:r>
    </w:p>
    <w:p>
      <w:pPr>
        <w:spacing w:after="0" w:line="186" w:lineRule="exact"/>
        <w:rPr>
          <w:sz w:val="20"/>
          <w:szCs w:val="20"/>
          <w:color w:val="auto"/>
        </w:rPr>
      </w:pPr>
    </w:p>
    <w:p>
      <w:pPr>
        <w:ind w:right="760" w:firstLine="398"/>
        <w:spacing w:after="0" w:line="274" w:lineRule="auto"/>
        <w:rPr>
          <w:sz w:val="20"/>
          <w:szCs w:val="20"/>
          <w:color w:val="auto"/>
        </w:rPr>
      </w:pPr>
      <w:r>
        <w:rPr>
          <w:rFonts w:ascii="Times New Roman" w:cs="Times New Roman" w:eastAsia="Times New Roman" w:hAnsi="Times New Roman"/>
          <w:sz w:val="18"/>
          <w:szCs w:val="18"/>
          <w:color w:val="auto"/>
        </w:rPr>
        <w:t>These programs align with our operational priorities and long-term growth strategy. We aim to maintain our commitments, fostering trust with stakeholders and enabling compliance with global regulations.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information about our impact and governance program is available in our annual impact report on our website at www.autodesk.com.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on or accessible through our website is not part of or incorporated by reference into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Assumptions Behind Our Strategy</w:t>
      </w:r>
    </w:p>
    <w:p>
      <w:pPr>
        <w:spacing w:after="0" w:line="246" w:lineRule="exact"/>
        <w:rPr>
          <w:sz w:val="20"/>
          <w:szCs w:val="20"/>
          <w:color w:val="auto"/>
        </w:rPr>
      </w:pPr>
    </w:p>
    <w:p>
      <w:pPr>
        <w:ind w:right="100" w:firstLine="398"/>
        <w:spacing w:after="0" w:line="253"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6"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209" w:lineRule="exact"/>
        <w:rPr>
          <w:sz w:val="20"/>
          <w:szCs w:val="20"/>
          <w:color w:val="auto"/>
        </w:rPr>
      </w:pPr>
    </w:p>
    <w:p>
      <w:pPr>
        <w:ind w:firstLine="398"/>
        <w:spacing w:after="0" w:line="269" w:lineRule="auto"/>
        <w:rPr>
          <w:sz w:val="20"/>
          <w:szCs w:val="20"/>
          <w:color w:val="auto"/>
        </w:rPr>
      </w:pPr>
      <w:r>
        <w:rPr>
          <w:rFonts w:ascii="Times New Roman" w:cs="Times New Roman" w:eastAsia="Times New Roman" w:hAnsi="Times New Roman"/>
          <w:sz w:val="17"/>
          <w:szCs w:val="17"/>
          <w:color w:val="auto"/>
        </w:rPr>
        <w:t>Our significant accounting policies are described in Part II, Item 8, “Financial Statements and Supplementary Data,”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spacing w:after="0" w:line="196"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 Judgments with Multiple Performance Obligations. </w:t>
      </w:r>
      <w:r>
        <w:rPr>
          <w:rFonts w:ascii="Times New Roman" w:cs="Times New Roman" w:eastAsia="Times New Roman" w:hAnsi="Times New Roman"/>
          <w:sz w:val="18"/>
          <w:szCs w:val="18"/>
          <w:color w:val="auto"/>
        </w:rPr>
        <w:t>Our contracts with customers may include promises to transfer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to a customer. A 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w:t>
      </w:r>
    </w:p>
    <w:p>
      <w:pPr>
        <w:spacing w:after="0" w:line="211"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their intended purpose without our cloud functionalities.</w:t>
      </w:r>
    </w:p>
    <w:p>
      <w:pPr>
        <w:spacing w:after="0" w:line="209"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For contracts with more than one performance obligation, the transaction price is allocated among the performance obligations in an amount that depicts the relative standalone selling price (“SSP”) of each obligation. We establish SSP for most of our products and services based on observable prices when sold separately in similar circumstances or to similar customers. When products or services are not sold separately, we establish SSP based on other observable inputs.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60" w:firstLine="39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Business Combinations. </w:t>
      </w:r>
      <w:r>
        <w:rPr>
          <w:rFonts w:ascii="Times New Roman" w:cs="Times New Roman" w:eastAsia="Times New Roman" w:hAnsi="Times New Roman"/>
          <w:sz w:val="17"/>
          <w:szCs w:val="17"/>
          <w:color w:val="auto"/>
        </w:rPr>
        <w:t>The assets acquired and liabilities assumed in a business combination are recorded based on their estimated fair values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date, with the exception of contract assets and contract liabilities (i.e., deferred revenue) which are recognized and measured on the acquisition date in accordance with Autodesk’s “Revenue Recognition” policy in Part II, Item 8, “Financial Statements and Supplementary Data,” Note 1 “Business and Summary of Significant Accounting Policies”. We record the excess of consideration transferred over the aggregate fair values as goodwill. Accounting for business combinations requires us to make significant estimates and assumptions, especially at the acquisition date with respect to intangible assets.</w:t>
      </w:r>
    </w:p>
    <w:p>
      <w:pPr>
        <w:spacing w:after="0" w:line="194"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and information determined by management. Unanticipated events and circumstances may occur which may affect the accuracy or validity of such assumptions, estimates, or actual results. Examples of critical estimates used in valuing certain of the acquired intangible assets and in determining their useful lives include but are not limited to:</w:t>
      </w:r>
    </w:p>
    <w:p>
      <w:pPr>
        <w:spacing w:after="0" w:line="75" w:lineRule="exact"/>
        <w:rPr>
          <w:sz w:val="20"/>
          <w:szCs w:val="20"/>
          <w:color w:val="auto"/>
        </w:rPr>
      </w:pPr>
    </w:p>
    <w:p>
      <w:pPr>
        <w:ind w:left="1280" w:hanging="23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subscriptions and maintenance agreements, sales, and acquired developed technologies;</w:t>
      </w:r>
    </w:p>
    <w:p>
      <w:pPr>
        <w:spacing w:after="0" w:line="111" w:lineRule="exact"/>
        <w:rPr>
          <w:rFonts w:ascii="Times New Roman" w:cs="Times New Roman" w:eastAsia="Times New Roman" w:hAnsi="Times New Roman"/>
          <w:sz w:val="18"/>
          <w:szCs w:val="18"/>
          <w:color w:val="auto"/>
        </w:rPr>
      </w:pPr>
    </w:p>
    <w:p>
      <w:pPr>
        <w:ind w:left="1280" w:hanging="23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in revenue from the acquired company’s existing customer relationships;</w:t>
      </w:r>
    </w:p>
    <w:p>
      <w:pPr>
        <w:spacing w:after="0" w:line="111" w:lineRule="exact"/>
        <w:rPr>
          <w:rFonts w:ascii="Times New Roman" w:cs="Times New Roman" w:eastAsia="Times New Roman" w:hAnsi="Times New Roman"/>
          <w:sz w:val="18"/>
          <w:szCs w:val="18"/>
          <w:color w:val="auto"/>
        </w:rPr>
      </w:pPr>
    </w:p>
    <w:p>
      <w:pPr>
        <w:ind w:left="1280" w:hanging="23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and tax related valuation allowances assumed; and</w:t>
      </w:r>
    </w:p>
    <w:p>
      <w:pPr>
        <w:spacing w:after="0" w:line="111" w:lineRule="exact"/>
        <w:rPr>
          <w:rFonts w:ascii="Times New Roman" w:cs="Times New Roman" w:eastAsia="Times New Roman" w:hAnsi="Times New Roman"/>
          <w:sz w:val="18"/>
          <w:szCs w:val="18"/>
          <w:color w:val="auto"/>
        </w:rPr>
      </w:pPr>
    </w:p>
    <w:p>
      <w:pPr>
        <w:ind w:left="1280" w:hanging="23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242"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and the related accounts under the asset and liability method. Deferred tax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on the difference between the financial statement and tax basis of assets and liabilities, using enacted rates expected to be in effect when these differences reverse. We recognize the tax benefit for an uncertain tax position when it meets the more likely-than-not threshold for recognition. For those tax positions that meet the more likely-than-not recognition threshold, we recognize the largest amount of tax benefit that is more than 50 percent likely to be realized upon ultimate settlement with the related tax authority. Changes in recognition or measurement are reflected in the period in which the change in judgment occurs. We recognize potential accrued interest and penalties related to unrecognized tax benefits as income tax expense.</w:t>
      </w:r>
    </w:p>
    <w:p>
      <w:pPr>
        <w:spacing w:after="0" w:line="210" w:lineRule="exact"/>
        <w:rPr>
          <w:sz w:val="20"/>
          <w:szCs w:val="20"/>
          <w:color w:val="auto"/>
        </w:rPr>
      </w:pPr>
    </w:p>
    <w:p>
      <w:pPr>
        <w:ind w:right="40" w:firstLine="398"/>
        <w:spacing w:after="0" w:line="251"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or release of a valuation allowance, we consider all available evidence including past operating results, estimates of future taxable income, carryback potential if permitted under the tax law, and results of recent operations inclusive of tax planning strategies resulting in realization of the deferred tax asset.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46" w:lineRule="exact"/>
        <w:rPr>
          <w:sz w:val="20"/>
          <w:szCs w:val="20"/>
          <w:color w:val="auto"/>
        </w:rPr>
      </w:pPr>
    </w:p>
    <w:p>
      <w:pPr>
        <w:ind w:right="140" w:firstLine="398"/>
        <w:spacing w:after="0" w:line="260" w:lineRule="auto"/>
        <w:rPr>
          <w:sz w:val="20"/>
          <w:szCs w:val="20"/>
          <w:color w:val="auto"/>
        </w:rPr>
      </w:pPr>
      <w:r>
        <w:rPr>
          <w:rFonts w:ascii="Times New Roman" w:cs="Times New Roman" w:eastAsia="Times New Roman" w:hAnsi="Times New Roman"/>
          <w:sz w:val="18"/>
          <w:szCs w:val="18"/>
          <w:color w:val="auto"/>
        </w:rPr>
        <w:t>See Part II, Item 8, “Financial Statements and Supplementary Data,”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FISCAL 2026</w:t>
      </w:r>
    </w:p>
    <w:p>
      <w:pPr>
        <w:spacing w:after="0" w:line="246"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$7.21 billion during fiscal 2026, an increase of 18% compared to the prior fiscal year.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97% for both fiscal years ending January 31, 2026 and 2025.</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above the range of 100% and 110%, on a constant currency basis, as of both January 31, 2026 and 2025.</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$4.69 billion, an increase of 14% compared to the prior fiscal year.</w:t>
      </w:r>
    </w:p>
    <w:p>
      <w:pPr>
        <w:spacing w:after="0" w:line="111" w:lineRule="exact"/>
        <w:rPr>
          <w:rFonts w:ascii="Times New Roman" w:cs="Times New Roman" w:eastAsia="Times New Roman" w:hAnsi="Times New Roman"/>
          <w:sz w:val="18"/>
          <w:szCs w:val="18"/>
          <w:color w:val="auto"/>
        </w:rPr>
      </w:pPr>
    </w:p>
    <w:p>
      <w:pPr>
        <w:ind w:left="640" w:right="50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$8.30 billion, an increase of 20% compared to the fourth quarter in the prior fiscal year.</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were $5.48 billion, an increase of 23% compared to the prior fiscal year.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Analysis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fiscal 2026, net revenue increased 18%, as compared to the prior fiscal year, primarily due to an increase in subscription revenue.</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Further discussion of the drivers of these results are discussed below under the heading “Results of Operations.”</w:t>
      </w:r>
    </w:p>
    <w:p>
      <w:pPr>
        <w:spacing w:after="0" w:line="244" w:lineRule="exact"/>
        <w:rPr>
          <w:sz w:val="20"/>
          <w:szCs w:val="20"/>
          <w:color w:val="auto"/>
        </w:rPr>
      </w:pPr>
    </w:p>
    <w:p>
      <w:pPr>
        <w:jc w:val="both"/>
        <w:ind w:right="100" w:firstLine="398"/>
        <w:spacing w:after="0" w:line="268" w:lineRule="auto"/>
        <w:rPr>
          <w:sz w:val="20"/>
          <w:szCs w:val="20"/>
          <w:color w:val="auto"/>
        </w:rPr>
      </w:pPr>
      <w:r>
        <w:rPr>
          <w:rFonts w:ascii="Times New Roman" w:cs="Times New Roman" w:eastAsia="Times New Roman" w:hAnsi="Times New Roman"/>
          <w:sz w:val="17"/>
          <w:szCs w:val="17"/>
          <w:color w:val="auto"/>
        </w:rPr>
        <w:t>We rely significantly upon major distributors and resellers in both the United States and international regions, including TD Synnex Corporation and its global affiliates (collectively, “TD Synnex”). Total revenue from TD Synnex accounted for 14%, 33%, and 39% of Autodesk’s total net revenue during fiscal 2026, 2025, and 2024, respectively. Our customers through TD Synnex are the resellers and end users who purchase our software subscriptions and services.</w:t>
      </w:r>
    </w:p>
    <w:p>
      <w:pPr>
        <w:spacing w:after="0" w:line="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connection with our new transaction model, we entered into a new distribution agreement with TD Synnex for government business in certain jurisdictions. We maintained distribution relationships in emerging markets. We have increased our selling efforts with Solution Providers in connection with our new transaction model. Consequently, we believe our business is not substantially dependent on TD Synnex.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Recurring Revenue and Net Revenue Retention Rate</w:t>
      </w:r>
    </w:p>
    <w:p>
      <w:pPr>
        <w:spacing w:after="0" w:line="246"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fiscal years ended January 31, 2026,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6"/>
              </w:rPr>
              <w:t>Fiscal Year</w:t>
            </w:r>
          </w:p>
        </w:tc>
        <w:tc>
          <w:tcPr>
            <w:tcW w:w="240" w:type="dxa"/>
            <w:vAlign w:val="bottom"/>
          </w:tcPr>
          <w:p>
            <w:pPr>
              <w:spacing w:after="0"/>
              <w:rPr>
                <w:sz w:val="13"/>
                <w:szCs w:val="13"/>
                <w:color w:val="auto"/>
              </w:rPr>
            </w:pPr>
          </w:p>
        </w:tc>
        <w:tc>
          <w:tcPr>
            <w:tcW w:w="1400" w:type="dxa"/>
            <w:vAlign w:val="bottom"/>
            <w:gridSpan w:val="3"/>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prior fiscal year end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prior fiscal year end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5"/>
              <w:spacing w:after="0" w:line="15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Ended January</w:t>
            </w: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Ended January</w:t>
            </w:r>
          </w:p>
        </w:tc>
        <w:tc>
          <w:tcPr>
            <w:tcW w:w="0" w:type="dxa"/>
            <w:vAlign w:val="bottom"/>
          </w:tcPr>
          <w:p>
            <w:pPr>
              <w:spacing w:after="0"/>
              <w:rPr>
                <w:sz w:val="1"/>
                <w:szCs w:val="1"/>
                <w:color w:val="auto"/>
              </w:rPr>
            </w:pPr>
          </w:p>
        </w:tc>
      </w:tr>
      <w:tr>
        <w:trPr>
          <w:trHeight w:val="86"/>
        </w:trPr>
        <w:tc>
          <w:tcPr>
            <w:tcW w:w="3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vMerge w:val="restart"/>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31, 2024</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Recurring Revenue </w:t>
            </w:r>
            <w:r>
              <w:rPr>
                <w:rFonts w:ascii="Times New Roman" w:cs="Times New Roman" w:eastAsia="Times New Roman" w:hAnsi="Times New Roman"/>
                <w:sz w:val="16"/>
                <w:szCs w:val="16"/>
                <w:i w:val="1"/>
                <w:iCs w:val="1"/>
                <w:color w:val="auto"/>
              </w:rPr>
              <w:t>(in millions)</w:t>
            </w:r>
            <w:r>
              <w:rPr>
                <w:rFonts w:ascii="Times New Roman" w:cs="Times New Roman" w:eastAsia="Times New Roman" w:hAnsi="Times New Roman"/>
                <w:sz w:val="16"/>
                <w:szCs w:val="16"/>
                <w:color w:val="auto"/>
              </w:rPr>
              <w:t xml:space="preserv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7,024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5,377</w:t>
            </w:r>
          </w:p>
        </w:tc>
        <w:tc>
          <w:tcPr>
            <w:tcW w:w="0" w:type="dxa"/>
            <w:vAlign w:val="bottom"/>
          </w:tcPr>
          <w:p>
            <w:pPr>
              <w:spacing w:after="0"/>
              <w:rPr>
                <w:sz w:val="1"/>
                <w:szCs w:val="1"/>
                <w:color w:val="auto"/>
              </w:rPr>
            </w:pPr>
          </w:p>
        </w:tc>
      </w:tr>
      <w:tr>
        <w:trPr>
          <w:trHeight w:val="208"/>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 w:lineRule="exact"/>
        <w:rPr>
          <w:sz w:val="20"/>
          <w:szCs w:val="20"/>
          <w:color w:val="auto"/>
        </w:rPr>
      </w:pPr>
    </w:p>
    <w:p>
      <w:pPr>
        <w:ind w:left="400" w:right="60" w:hanging="394"/>
        <w:spacing w:after="0" w:line="251" w:lineRule="auto"/>
        <w:tabs>
          <w:tab w:leader="none" w:pos="38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Consolidated Statements of Operations.</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above the range of 100% and 110%, on a constant currency basis, as of both January 31, 2026 and 2025, in part due to our new transaction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Analysis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Germany, the United Kingdom, Japan, and Canada.</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820" w:type="dxa"/>
            <w:vAlign w:val="bottom"/>
            <w:gridSpan w:val="5"/>
          </w:tcPr>
          <w:p>
            <w:pPr>
              <w:ind w:left="1620"/>
              <w:spacing w:after="0"/>
              <w:rPr>
                <w:sz w:val="20"/>
                <w:szCs w:val="20"/>
                <w:color w:val="auto"/>
              </w:rPr>
            </w:pPr>
            <w:r>
              <w:rPr>
                <w:rFonts w:ascii="Times New Roman" w:cs="Times New Roman" w:eastAsia="Times New Roman" w:hAnsi="Times New Roman"/>
                <w:sz w:val="14"/>
                <w:szCs w:val="14"/>
                <w:b w:val="1"/>
                <w:bCs w:val="1"/>
                <w:color w:val="auto"/>
              </w:rPr>
              <w:t>Fiscal Year Ended January 31, 2026</w:t>
            </w:r>
          </w:p>
        </w:tc>
        <w:tc>
          <w:tcPr>
            <w:tcW w:w="1600" w:type="dxa"/>
            <w:vAlign w:val="bottom"/>
          </w:tcPr>
          <w:p>
            <w:pPr>
              <w:spacing w:after="0"/>
              <w:rPr>
                <w:sz w:val="16"/>
                <w:szCs w:val="16"/>
                <w:color w:val="auto"/>
              </w:rPr>
            </w:pPr>
          </w:p>
        </w:tc>
      </w:tr>
      <w:tr>
        <w:trPr>
          <w:trHeight w:val="24"/>
        </w:trPr>
        <w:tc>
          <w:tcPr>
            <w:tcW w:w="57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28"/>
        </w:trPr>
        <w:tc>
          <w:tcPr>
            <w:tcW w:w="5780" w:type="dxa"/>
            <w:vAlign w:val="bottom"/>
          </w:tcPr>
          <w:p>
            <w:pPr>
              <w:spacing w:after="0"/>
              <w:rPr>
                <w:sz w:val="11"/>
                <w:szCs w:val="11"/>
                <w:color w:val="auto"/>
              </w:rPr>
            </w:pPr>
          </w:p>
        </w:tc>
        <w:tc>
          <w:tcPr>
            <w:tcW w:w="18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Percent change compared to</w:t>
            </w:r>
          </w:p>
        </w:tc>
        <w:tc>
          <w:tcPr>
            <w:tcW w:w="194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4"/>
                <w:szCs w:val="14"/>
                <w:b w:val="1"/>
                <w:bCs w:val="1"/>
                <w:color w:val="auto"/>
              </w:rPr>
              <w:t>Constant currency percent</w:t>
            </w: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Positive/negative/neutral</w:t>
            </w:r>
          </w:p>
        </w:tc>
      </w:tr>
      <w:tr>
        <w:trPr>
          <w:trHeight w:val="144"/>
        </w:trPr>
        <w:tc>
          <w:tcPr>
            <w:tcW w:w="5780" w:type="dxa"/>
            <w:vAlign w:val="bottom"/>
          </w:tcPr>
          <w:p>
            <w:pPr>
              <w:spacing w:after="0"/>
              <w:rPr>
                <w:sz w:val="12"/>
                <w:szCs w:val="12"/>
                <w:color w:val="auto"/>
              </w:rPr>
            </w:pPr>
          </w:p>
        </w:tc>
        <w:tc>
          <w:tcPr>
            <w:tcW w:w="18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prior fiscal year (as</w:t>
            </w:r>
          </w:p>
        </w:tc>
        <w:tc>
          <w:tcPr>
            <w:tcW w:w="19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impact from foreign</w:t>
            </w:r>
          </w:p>
        </w:tc>
      </w:tr>
      <w:tr>
        <w:trPr>
          <w:trHeight w:val="192"/>
        </w:trPr>
        <w:tc>
          <w:tcPr>
            <w:tcW w:w="57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Neutral</w:t>
            </w:r>
          </w:p>
        </w:tc>
      </w:tr>
      <w:tr>
        <w:trPr>
          <w:trHeight w:val="208"/>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Neutral</w:t>
            </w:r>
          </w:p>
        </w:tc>
      </w:tr>
    </w:tbl>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 w:lineRule="exact"/>
        <w:rPr>
          <w:sz w:val="20"/>
          <w:szCs w:val="20"/>
          <w:color w:val="auto"/>
        </w:rPr>
      </w:pPr>
    </w:p>
    <w:p>
      <w:pPr>
        <w:ind w:left="400" w:hanging="394"/>
        <w:spacing w:after="0"/>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in Part I, Item 1, “Business” for the definitions of our constant currency growth rates.</w:t>
      </w:r>
    </w:p>
    <w:p>
      <w:pPr>
        <w:spacing w:after="0" w:line="221" w:lineRule="exact"/>
        <w:rPr>
          <w:sz w:val="20"/>
          <w:szCs w:val="20"/>
          <w:color w:val="auto"/>
        </w:rPr>
      </w:pPr>
    </w:p>
    <w:p>
      <w:pPr>
        <w:ind w:right="400" w:firstLine="398"/>
        <w:spacing w:after="0" w:line="260"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income from operations, and cash flow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46" w:lineRule="exact"/>
        <w:rPr>
          <w:sz w:val="20"/>
          <w:szCs w:val="20"/>
          <w:color w:val="auto"/>
        </w:rPr>
      </w:pPr>
    </w:p>
    <w:p>
      <w:pPr>
        <w:ind w:right="440" w:firstLine="398"/>
        <w:spacing w:after="0" w:line="255"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contracts under early renewal and multi-year billing plans for subscription, services, license, and maintenance for which the associated deferred revenue has not yet been recognized. Unbilled deferred revenue is not included as a receivable or deferred revenue on our Consolidated Balance Sheets. See Part II, Item 8, Note 2, “Revenue Recognition” for more details on Autodesk's performance obligations.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13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r>
      <w:tr>
        <w:trPr>
          <w:trHeight w:val="21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w:t>
            </w:r>
          </w:p>
        </w:tc>
      </w:tr>
      <w:tr>
        <w:trPr>
          <w:trHeight w:val="233"/>
        </w:trPr>
        <w:tc>
          <w:tcPr>
            <w:tcW w:w="8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Pr>
          <w:p>
            <w:pPr>
              <w:spacing w:after="0"/>
              <w:rPr>
                <w:sz w:val="16"/>
                <w:szCs w:val="16"/>
                <w:color w:val="auto"/>
              </w:rPr>
            </w:pPr>
          </w:p>
        </w:tc>
        <w:tc>
          <w:tcPr>
            <w:tcW w:w="14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r>
      <w:tr>
        <w:trPr>
          <w:trHeight w:val="21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33"/>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40" w:firstLine="398"/>
        <w:spacing w:after="0" w:line="250"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contracts,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continue to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Balance Sheet and Cash Flow Items</w:t>
      </w:r>
    </w:p>
    <w:p>
      <w:pPr>
        <w:spacing w:after="0" w:line="246"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At January 31, 2026, we had $2.97 billion in cash, cash equivalents, and marketable securities. Our cash flow from operations increased to $2.45 billion for the fiscal year ended January 31, 2026, from $1.61 billion for the fiscal year ended January 31, 2025. We repurchased 5 million shares of our common stock for $1.40 billion during fiscal 2026. Comparatively, we repurchased 3 million shares of our common stock for $858 million during fiscal 2025.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46"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We also expect our continued transition to annual billings for multi-year contracts to impact the timing of our billings and cash collections. The extent of the impact of these risks on our business in fiscal 2027 and beyond will depend on several factors, some of which are out of our control. Further discussion of the potential impacts of these risks on our business can be found in Part I, Item 1A, “Risk Factors.”</w:t>
      </w:r>
    </w:p>
    <w:p>
      <w:pPr>
        <w:spacing w:after="0" w:line="215" w:lineRule="exact"/>
        <w:rPr>
          <w:sz w:val="20"/>
          <w:szCs w:val="20"/>
          <w:color w:val="auto"/>
        </w:rPr>
      </w:pPr>
    </w:p>
    <w:p>
      <w:pPr>
        <w:ind w:right="20" w:firstLine="398"/>
        <w:spacing w:after="0" w:line="248" w:lineRule="auto"/>
        <w:rPr>
          <w:sz w:val="20"/>
          <w:szCs w:val="20"/>
          <w:color w:val="auto"/>
        </w:rPr>
      </w:pPr>
      <w:r>
        <w:rPr>
          <w:rFonts w:ascii="Times New Roman" w:cs="Times New Roman" w:eastAsia="Times New Roman" w:hAnsi="Times New Roman"/>
          <w:sz w:val="18"/>
          <w:szCs w:val="18"/>
          <w:color w:val="auto"/>
        </w:rPr>
        <w:t>Our sales incentives to Solution Providers are recorded as operating expenses under the new transaction model in which Solution Providers provide a quote to customers but the actual transaction occurs directly between Autodesk and the customer. Accordingly, we expect sales incentives paid to resellers recorded as a reduction of transaction price and subsequently recognized as a reduction to subscription revenue over the contract period to continue to decrease as we have transitioned to the new transaction model. Most of the sales incentives payments to Solution Providers in our new transaction model are considered incremental and recoverable costs of obtaining a contract with a customer and are capitalized and included in “Prepaid expenses and other current assets” and “Long-term other assets” on the Consolidated Balance Sheets. The deferred costs are amortized over the period of benefit and recorded to “Sales and Marketing” on the Consolidated Statement of Operations. The sales incentives not qualifying for capitalization are recorded to “Sales and Marketing” on the Consolidated Statement of Operations as the costs are incurred under the incentive program requirements. During fiscal 2027,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 by Income Statement Presentation</w:t>
      </w:r>
    </w:p>
    <w:p>
      <w:pPr>
        <w:spacing w:after="0" w:line="246" w:lineRule="exact"/>
        <w:rPr>
          <w:sz w:val="20"/>
          <w:szCs w:val="20"/>
          <w:color w:val="auto"/>
        </w:rPr>
      </w:pPr>
    </w:p>
    <w:p>
      <w:pPr>
        <w:ind w:right="100" w:firstLine="398"/>
        <w:spacing w:after="0" w:line="260"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3" w:lineRule="exact"/>
        <w:rPr>
          <w:sz w:val="20"/>
          <w:szCs w:val="20"/>
          <w:color w:val="auto"/>
        </w:rPr>
      </w:pPr>
    </w:p>
    <w:p>
      <w:pPr>
        <w:ind w:right="140" w:firstLine="398"/>
        <w:spacing w:after="0" w:line="260" w:lineRule="auto"/>
        <w:rPr>
          <w:sz w:val="20"/>
          <w:szCs w:val="20"/>
          <w:color w:val="auto"/>
        </w:rPr>
      </w:pPr>
      <w:r>
        <w:rPr>
          <w:rFonts w:ascii="Times New Roman" w:cs="Times New Roman" w:eastAsia="Times New Roman" w:hAnsi="Times New Roman"/>
          <w:sz w:val="18"/>
          <w:szCs w:val="18"/>
          <w:color w:val="auto"/>
        </w:rPr>
        <w:t>Maintenance revenue consists of fees for maintenance purchased with software licenses. Under our maintenance plan, customers are eligible to receive unspecified upgrades, when and if available, and technical support. We recognize maintenance revenue ratably over the term of the agreements, which is generally one year.</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revenue consists of revenue from other products and services and is recognized as the products are delivered and services are performed.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00" w:type="dxa"/>
            <w:vAlign w:val="bottom"/>
          </w:tcPr>
          <w:p>
            <w:pPr>
              <w:spacing w:after="0"/>
              <w:rPr>
                <w:sz w:val="13"/>
                <w:szCs w:val="13"/>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63"/>
              <w:spacing w:after="0" w:line="124"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18"/>
                <w:szCs w:val="18"/>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8"/>
                <w:szCs w:val="18"/>
                <w:color w:val="auto"/>
              </w:rPr>
            </w:pPr>
          </w:p>
        </w:tc>
        <w:tc>
          <w:tcPr>
            <w:tcW w:w="30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line="159" w:lineRule="exact"/>
              <w:rPr>
                <w:sz w:val="20"/>
                <w:szCs w:val="20"/>
                <w:color w:val="auto"/>
              </w:rPr>
            </w:pPr>
            <w:r>
              <w:rPr>
                <w:rFonts w:ascii="Times New Roman" w:cs="Times New Roman" w:eastAsia="Times New Roman" w:hAnsi="Times New Roman"/>
                <w:sz w:val="16"/>
                <w:szCs w:val="16"/>
                <w:color w:val="auto"/>
              </w:rPr>
              <w:t>6,743</w:t>
            </w:r>
          </w:p>
        </w:tc>
        <w:tc>
          <w:tcPr>
            <w:tcW w:w="100" w:type="dxa"/>
            <w:vAlign w:val="bottom"/>
          </w:tcPr>
          <w:p>
            <w:pPr>
              <w:spacing w:after="0"/>
              <w:rPr>
                <w:sz w:val="13"/>
                <w:szCs w:val="13"/>
                <w:color w:val="auto"/>
              </w:rPr>
            </w:pPr>
          </w:p>
        </w:tc>
        <w:tc>
          <w:tcPr>
            <w:tcW w:w="200" w:type="dxa"/>
            <w:vAlign w:val="bottom"/>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1,026</w:t>
            </w:r>
          </w:p>
        </w:tc>
        <w:tc>
          <w:tcPr>
            <w:tcW w:w="10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5,717</w:t>
            </w:r>
          </w:p>
        </w:tc>
        <w:tc>
          <w:tcPr>
            <w:tcW w:w="120" w:type="dxa"/>
            <w:vAlign w:val="bottom"/>
          </w:tcPr>
          <w:p>
            <w:pPr>
              <w:spacing w:after="0"/>
              <w:rPr>
                <w:sz w:val="13"/>
                <w:szCs w:val="13"/>
                <w:color w:val="auto"/>
              </w:rPr>
            </w:pPr>
          </w:p>
        </w:tc>
        <w:tc>
          <w:tcPr>
            <w:tcW w:w="3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Increase due to growth in subscriptions from</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our existing customer base.</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Pr>
          <w:p>
            <w:pPr>
              <w:spacing w:after="0"/>
              <w:rPr>
                <w:sz w:val="13"/>
                <w:szCs w:val="13"/>
                <w:color w:val="auto"/>
              </w:rPr>
            </w:pPr>
          </w:p>
        </w:tc>
        <w:tc>
          <w:tcPr>
            <w:tcW w:w="17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gridSpan w:val="4"/>
            <w:vMerge w:val="restart"/>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4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63"/>
              <w:spacing w:after="0" w:line="124"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18"/>
                <w:szCs w:val="18"/>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8"/>
                <w:szCs w:val="18"/>
                <w:color w:val="auto"/>
              </w:rPr>
            </w:pPr>
          </w:p>
        </w:tc>
        <w:tc>
          <w:tcPr>
            <w:tcW w:w="30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5,717</w:t>
            </w:r>
          </w:p>
        </w:tc>
        <w:tc>
          <w:tcPr>
            <w:tcW w:w="100" w:type="dxa"/>
            <w:vAlign w:val="bottom"/>
          </w:tcPr>
          <w:p>
            <w:pPr>
              <w:spacing w:after="0"/>
              <w:rPr>
                <w:sz w:val="13"/>
                <w:szCs w:val="13"/>
                <w:color w:val="auto"/>
              </w:rPr>
            </w:pPr>
          </w:p>
        </w:tc>
        <w:tc>
          <w:tcPr>
            <w:tcW w:w="220" w:type="dxa"/>
            <w:vAlign w:val="bottom"/>
          </w:tcPr>
          <w:p>
            <w:pPr>
              <w:jc w:val="right"/>
              <w:ind w:right="4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6"/>
                <w:szCs w:val="16"/>
                <w:color w:val="auto"/>
              </w:rPr>
              <w:t>12 % $</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5,116</w:t>
            </w:r>
          </w:p>
        </w:tc>
        <w:tc>
          <w:tcPr>
            <w:tcW w:w="120" w:type="dxa"/>
            <w:vAlign w:val="bottom"/>
          </w:tcPr>
          <w:p>
            <w:pPr>
              <w:spacing w:after="0"/>
              <w:rPr>
                <w:sz w:val="13"/>
                <w:szCs w:val="13"/>
                <w:color w:val="auto"/>
              </w:rPr>
            </w:pPr>
          </w:p>
        </w:tc>
        <w:tc>
          <w:tcPr>
            <w:tcW w:w="3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Increase due to growth in subscriptions from</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our existing customer base.</w:t>
            </w: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 by Product Family</w:t>
      </w:r>
    </w:p>
    <w:p>
      <w:pPr>
        <w:spacing w:after="0" w:line="246" w:lineRule="exact"/>
        <w:rPr>
          <w:sz w:val="20"/>
          <w:szCs w:val="20"/>
          <w:color w:val="auto"/>
        </w:rPr>
      </w:pPr>
    </w:p>
    <w:p>
      <w:pPr>
        <w:ind w:right="140" w:firstLine="398"/>
        <w:spacing w:after="0" w:line="274"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Construction and Operations (“AECO”), AutoCAD and AutoCAD LT, Manufacturing (“MFG”), and Media and Entertainment (“M&amp;E”).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3"/>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8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6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4"/>
          </w:tcPr>
          <w:p>
            <w:pPr>
              <w:jc w:val="center"/>
              <w:ind w:right="140"/>
              <w:spacing w:after="0" w:line="111" w:lineRule="exact"/>
              <w:rPr>
                <w:sz w:val="20"/>
                <w:szCs w:val="20"/>
                <w:color w:val="auto"/>
              </w:rPr>
            </w:pPr>
            <w:r>
              <w:rPr>
                <w:rFonts w:ascii="Times New Roman" w:cs="Times New Roman" w:eastAsia="Times New Roman" w:hAnsi="Times New Roman"/>
                <w:sz w:val="12"/>
                <w:szCs w:val="12"/>
                <w:b w:val="1"/>
                <w:bCs w:val="1"/>
                <w:color w:val="auto"/>
              </w:rPr>
              <w:t>January 31,</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6"/>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3"/>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January 31,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gridSpan w:val="3"/>
            <w:shd w:val="clear" w:color="auto" w:fill="CCEEFF"/>
          </w:tcPr>
          <w:p>
            <w:pPr>
              <w:ind w:left="36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3,583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646</w:t>
            </w:r>
          </w:p>
        </w:tc>
        <w:tc>
          <w:tcPr>
            <w:tcW w:w="6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22 %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7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due to growth in revenue from AEC Collections,</w:t>
            </w:r>
          </w:p>
        </w:tc>
        <w:tc>
          <w:tcPr>
            <w:tcW w:w="0" w:type="dxa"/>
            <w:vAlign w:val="bottom"/>
          </w:tcPr>
          <w:p>
            <w:pPr>
              <w:spacing w:after="0"/>
              <w:rPr>
                <w:sz w:val="1"/>
                <w:szCs w:val="1"/>
                <w:color w:val="auto"/>
              </w:rPr>
            </w:pPr>
          </w:p>
        </w:tc>
      </w:tr>
      <w:tr>
        <w:trPr>
          <w:trHeight w:val="159"/>
        </w:trPr>
        <w:tc>
          <w:tcPr>
            <w:tcW w:w="37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AECO</w:t>
            </w: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7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EBA offerings, and Autodesk Construction Cloud (now</w:t>
            </w:r>
          </w:p>
        </w:tc>
        <w:tc>
          <w:tcPr>
            <w:tcW w:w="0" w:type="dxa"/>
            <w:vAlign w:val="bottom"/>
          </w:tcPr>
          <w:p>
            <w:pPr>
              <w:spacing w:after="0"/>
              <w:rPr>
                <w:sz w:val="1"/>
                <w:szCs w:val="1"/>
                <w:color w:val="auto"/>
              </w:rPr>
            </w:pPr>
          </w:p>
        </w:tc>
      </w:tr>
      <w:tr>
        <w:trPr>
          <w:trHeight w:val="212"/>
        </w:trPr>
        <w:tc>
          <w:tcPr>
            <w:tcW w:w="37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known as Forma for Construction).</w:t>
            </w:r>
          </w:p>
        </w:tc>
        <w:tc>
          <w:tcPr>
            <w:tcW w:w="0" w:type="dxa"/>
            <w:vAlign w:val="bottom"/>
          </w:tcPr>
          <w:p>
            <w:pPr>
              <w:spacing w:after="0"/>
              <w:rPr>
                <w:sz w:val="1"/>
                <w:szCs w:val="1"/>
                <w:color w:val="auto"/>
              </w:rPr>
            </w:pPr>
          </w:p>
        </w:tc>
      </w:tr>
      <w:tr>
        <w:trPr>
          <w:trHeight w:val="159"/>
        </w:trPr>
        <w:tc>
          <w:tcPr>
            <w:tcW w:w="3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AutoCAD and AutoCAD LT</w:t>
            </w:r>
          </w:p>
        </w:tc>
        <w:tc>
          <w:tcPr>
            <w:tcW w:w="68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1,787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215</w:t>
            </w:r>
          </w:p>
        </w:tc>
        <w:tc>
          <w:tcPr>
            <w:tcW w:w="60" w:type="dxa"/>
            <w:vAlign w:val="bottom"/>
          </w:tcPr>
          <w:p>
            <w:pPr>
              <w:spacing w:after="0"/>
              <w:rPr>
                <w:sz w:val="13"/>
                <w:szCs w:val="13"/>
                <w:color w:val="auto"/>
              </w:rPr>
            </w:pPr>
          </w:p>
        </w:tc>
        <w:tc>
          <w:tcPr>
            <w:tcW w:w="96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6"/>
                <w:szCs w:val="16"/>
                <w:color w:val="auto"/>
              </w:rPr>
              <w:t>14 %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gridSpan w:val="5"/>
          </w:tcPr>
          <w:p>
            <w:pPr>
              <w:ind w:left="300"/>
              <w:spacing w:after="0" w:line="159" w:lineRule="exact"/>
              <w:rPr>
                <w:sz w:val="20"/>
                <w:szCs w:val="20"/>
                <w:color w:val="auto"/>
              </w:rPr>
            </w:pPr>
            <w:r>
              <w:rPr>
                <w:rFonts w:ascii="Times New Roman" w:cs="Times New Roman" w:eastAsia="Times New Roman" w:hAnsi="Times New Roman"/>
                <w:sz w:val="16"/>
                <w:szCs w:val="16"/>
                <w:color w:val="auto"/>
              </w:rPr>
              <w:t>1,572   Increase due to growth in revenue from both AutoCAD</w:t>
            </w:r>
          </w:p>
        </w:tc>
        <w:tc>
          <w:tcPr>
            <w:tcW w:w="0" w:type="dxa"/>
            <w:vAlign w:val="bottom"/>
          </w:tcPr>
          <w:p>
            <w:pPr>
              <w:spacing w:after="0"/>
              <w:rPr>
                <w:sz w:val="1"/>
                <w:szCs w:val="1"/>
                <w:color w:val="auto"/>
              </w:rPr>
            </w:pPr>
          </w:p>
        </w:tc>
      </w:tr>
      <w:tr>
        <w:trPr>
          <w:trHeight w:val="212"/>
        </w:trPr>
        <w:tc>
          <w:tcPr>
            <w:tcW w:w="37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AutoCAD LT.</w:t>
            </w:r>
          </w:p>
        </w:tc>
        <w:tc>
          <w:tcPr>
            <w:tcW w:w="0" w:type="dxa"/>
            <w:vAlign w:val="bottom"/>
          </w:tcPr>
          <w:p>
            <w:pPr>
              <w:spacing w:after="0"/>
              <w:rPr>
                <w:sz w:val="1"/>
                <w:szCs w:val="1"/>
                <w:color w:val="auto"/>
              </w:rPr>
            </w:pPr>
          </w:p>
        </w:tc>
      </w:tr>
      <w:tr>
        <w:trPr>
          <w:trHeight w:val="159"/>
        </w:trPr>
        <w:tc>
          <w:tcPr>
            <w:tcW w:w="37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MFG</w:t>
            </w:r>
          </w:p>
        </w:tc>
        <w:tc>
          <w:tcPr>
            <w:tcW w:w="680" w:type="dxa"/>
            <w:vAlign w:val="bottom"/>
            <w:shd w:val="clear" w:color="auto" w:fill="CCEEFF"/>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1,379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190</w:t>
            </w:r>
          </w:p>
        </w:tc>
        <w:tc>
          <w:tcPr>
            <w:tcW w:w="6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16 %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560" w:type="dxa"/>
            <w:vAlign w:val="bottom"/>
            <w:gridSpan w:val="5"/>
            <w:shd w:val="clear" w:color="auto" w:fill="CCEEFF"/>
          </w:tcPr>
          <w:p>
            <w:pPr>
              <w:ind w:left="300"/>
              <w:spacing w:after="0" w:line="159" w:lineRule="exact"/>
              <w:rPr>
                <w:sz w:val="20"/>
                <w:szCs w:val="20"/>
                <w:color w:val="auto"/>
              </w:rPr>
            </w:pPr>
            <w:r>
              <w:rPr>
                <w:rFonts w:ascii="Times New Roman" w:cs="Times New Roman" w:eastAsia="Times New Roman" w:hAnsi="Times New Roman"/>
                <w:sz w:val="16"/>
                <w:szCs w:val="16"/>
                <w:color w:val="auto"/>
              </w:rPr>
              <w:t>1,189   Increase due to growth in revenue from MFG</w:t>
            </w:r>
          </w:p>
        </w:tc>
        <w:tc>
          <w:tcPr>
            <w:tcW w:w="0" w:type="dxa"/>
            <w:vAlign w:val="bottom"/>
          </w:tcPr>
          <w:p>
            <w:pPr>
              <w:spacing w:after="0"/>
              <w:rPr>
                <w:sz w:val="1"/>
                <w:szCs w:val="1"/>
                <w:color w:val="auto"/>
              </w:rPr>
            </w:pPr>
          </w:p>
        </w:tc>
      </w:tr>
      <w:tr>
        <w:trPr>
          <w:trHeight w:val="212"/>
        </w:trPr>
        <w:tc>
          <w:tcPr>
            <w:tcW w:w="37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Fusion, and Inventor.</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332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3"/>
                <w:szCs w:val="13"/>
                <w:color w:val="auto"/>
              </w:rPr>
            </w:pPr>
          </w:p>
        </w:tc>
        <w:tc>
          <w:tcPr>
            <w:tcW w:w="96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6"/>
                <w:szCs w:val="16"/>
                <w:color w:val="auto"/>
              </w:rPr>
              <w:t>5 %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gridSpan w:val="5"/>
          </w:tcPr>
          <w:p>
            <w:pPr>
              <w:ind w:left="420"/>
              <w:spacing w:after="0" w:line="159" w:lineRule="exact"/>
              <w:rPr>
                <w:sz w:val="20"/>
                <w:szCs w:val="20"/>
                <w:color w:val="auto"/>
              </w:rPr>
            </w:pPr>
            <w:r>
              <w:rPr>
                <w:rFonts w:ascii="Times New Roman" w:cs="Times New Roman" w:eastAsia="Times New Roman" w:hAnsi="Times New Roman"/>
                <w:sz w:val="16"/>
                <w:szCs w:val="16"/>
                <w:color w:val="auto"/>
              </w:rPr>
              <w:t>315   Increase due to lower contra revenue driven by the</w:t>
            </w:r>
          </w:p>
        </w:tc>
        <w:tc>
          <w:tcPr>
            <w:tcW w:w="0" w:type="dxa"/>
            <w:vAlign w:val="bottom"/>
          </w:tcPr>
          <w:p>
            <w:pPr>
              <w:spacing w:after="0"/>
              <w:rPr>
                <w:sz w:val="1"/>
                <w:szCs w:val="1"/>
                <w:color w:val="auto"/>
              </w:rPr>
            </w:pPr>
          </w:p>
        </w:tc>
      </w:tr>
      <w:tr>
        <w:trPr>
          <w:trHeight w:val="159"/>
        </w:trPr>
        <w:tc>
          <w:tcPr>
            <w:tcW w:w="3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M&amp;E</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adoption of the new transaction model and EBA</w:t>
            </w:r>
          </w:p>
        </w:tc>
        <w:tc>
          <w:tcPr>
            <w:tcW w:w="0" w:type="dxa"/>
            <w:vAlign w:val="bottom"/>
          </w:tcPr>
          <w:p>
            <w:pPr>
              <w:spacing w:after="0"/>
              <w:rPr>
                <w:sz w:val="1"/>
                <w:szCs w:val="1"/>
                <w:color w:val="auto"/>
              </w:rPr>
            </w:pPr>
          </w:p>
        </w:tc>
      </w:tr>
      <w:tr>
        <w:trPr>
          <w:trHeight w:val="210"/>
        </w:trPr>
        <w:tc>
          <w:tcPr>
            <w:tcW w:w="37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14"/>
        </w:trPr>
        <w:tc>
          <w:tcPr>
            <w:tcW w:w="3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60" w:type="dxa"/>
            <w:vAlign w:val="bottom"/>
            <w:tcBorders>
              <w:top w:val="single" w:sz="8" w:color="auto"/>
              <w:bottom w:val="single" w:sz="8" w:color="auto"/>
            </w:tcBorders>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6"/>
          </w:tcPr>
          <w:p>
            <w:pPr>
              <w:jc w:val="right"/>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January 31,</w:t>
            </w: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January 31,</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7"/>
                <w:szCs w:val="7"/>
                <w:color w:val="auto"/>
              </w:rPr>
            </w:pPr>
          </w:p>
        </w:tc>
        <w:tc>
          <w:tcPr>
            <w:tcW w:w="8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gridSpan w:val="3"/>
            <w:shd w:val="clear" w:color="auto" w:fill="CCEEFF"/>
          </w:tcPr>
          <w:p>
            <w:pPr>
              <w:ind w:left="3640"/>
              <w:spacing w:after="0" w:line="161"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2,937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357</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560" w:type="dxa"/>
            <w:vAlign w:val="bottom"/>
            <w:gridSpan w:val="5"/>
            <w:shd w:val="clear" w:color="auto" w:fill="CCEEFF"/>
          </w:tcPr>
          <w:p>
            <w:pPr>
              <w:ind w:left="240"/>
              <w:spacing w:after="0" w:line="161" w:lineRule="exact"/>
              <w:rPr>
                <w:sz w:val="20"/>
                <w:szCs w:val="20"/>
                <w:color w:val="auto"/>
              </w:rPr>
            </w:pPr>
            <w:r>
              <w:rPr>
                <w:rFonts w:ascii="Times New Roman" w:cs="Times New Roman" w:eastAsia="Times New Roman" w:hAnsi="Times New Roman"/>
                <w:sz w:val="16"/>
                <w:szCs w:val="16"/>
                <w:color w:val="auto"/>
              </w:rPr>
              <w:t>2,580   Increase due to growth in revenue from AEC Collections,</w:t>
            </w:r>
          </w:p>
        </w:tc>
        <w:tc>
          <w:tcPr>
            <w:tcW w:w="0" w:type="dxa"/>
            <w:vAlign w:val="bottom"/>
          </w:tcPr>
          <w:p>
            <w:pPr>
              <w:spacing w:after="0"/>
              <w:rPr>
                <w:sz w:val="1"/>
                <w:szCs w:val="1"/>
                <w:color w:val="auto"/>
              </w:rPr>
            </w:pPr>
          </w:p>
        </w:tc>
      </w:tr>
      <w:tr>
        <w:trPr>
          <w:trHeight w:val="159"/>
        </w:trPr>
        <w:tc>
          <w:tcPr>
            <w:tcW w:w="37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AECO</w:t>
            </w: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EBAs, Autodesk Construction Cloud (now known as</w:t>
            </w:r>
          </w:p>
        </w:tc>
        <w:tc>
          <w:tcPr>
            <w:tcW w:w="0" w:type="dxa"/>
            <w:vAlign w:val="bottom"/>
          </w:tcPr>
          <w:p>
            <w:pPr>
              <w:spacing w:after="0"/>
              <w:rPr>
                <w:sz w:val="1"/>
                <w:szCs w:val="1"/>
                <w:color w:val="auto"/>
              </w:rPr>
            </w:pPr>
          </w:p>
        </w:tc>
      </w:tr>
      <w:tr>
        <w:trPr>
          <w:trHeight w:val="212"/>
        </w:trPr>
        <w:tc>
          <w:tcPr>
            <w:tcW w:w="37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Forma for Construction), Revit, and Payapps.</w:t>
            </w:r>
          </w:p>
        </w:tc>
        <w:tc>
          <w:tcPr>
            <w:tcW w:w="0" w:type="dxa"/>
            <w:vAlign w:val="bottom"/>
          </w:tcPr>
          <w:p>
            <w:pPr>
              <w:spacing w:after="0"/>
              <w:rPr>
                <w:sz w:val="1"/>
                <w:szCs w:val="1"/>
                <w:color w:val="auto"/>
              </w:rPr>
            </w:pPr>
          </w:p>
        </w:tc>
      </w:tr>
      <w:tr>
        <w:trPr>
          <w:trHeight w:val="159"/>
        </w:trPr>
        <w:tc>
          <w:tcPr>
            <w:tcW w:w="3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AutoCAD and AutoCAD LT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1,572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13"/>
                <w:szCs w:val="13"/>
                <w:color w:val="auto"/>
              </w:rPr>
            </w:pPr>
          </w:p>
        </w:tc>
        <w:tc>
          <w:tcPr>
            <w:tcW w:w="840" w:type="dxa"/>
            <w:vAlign w:val="bottom"/>
            <w:gridSpan w:val="3"/>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gridSpan w:val="5"/>
          </w:tcPr>
          <w:p>
            <w:pPr>
              <w:ind w:left="240"/>
              <w:spacing w:after="0" w:line="159" w:lineRule="exact"/>
              <w:rPr>
                <w:sz w:val="20"/>
                <w:szCs w:val="20"/>
                <w:color w:val="auto"/>
              </w:rPr>
            </w:pPr>
            <w:r>
              <w:rPr>
                <w:rFonts w:ascii="Times New Roman" w:cs="Times New Roman" w:eastAsia="Times New Roman" w:hAnsi="Times New Roman"/>
                <w:sz w:val="16"/>
                <w:szCs w:val="16"/>
                <w:color w:val="auto"/>
              </w:rPr>
              <w:t>1,462   Increase due to growth in revenue from both AutoCAD</w:t>
            </w:r>
          </w:p>
        </w:tc>
        <w:tc>
          <w:tcPr>
            <w:tcW w:w="0" w:type="dxa"/>
            <w:vAlign w:val="bottom"/>
          </w:tcPr>
          <w:p>
            <w:pPr>
              <w:spacing w:after="0"/>
              <w:rPr>
                <w:sz w:val="1"/>
                <w:szCs w:val="1"/>
                <w:color w:val="auto"/>
              </w:rPr>
            </w:pPr>
          </w:p>
        </w:tc>
      </w:tr>
      <w:tr>
        <w:trPr>
          <w:trHeight w:val="212"/>
        </w:trPr>
        <w:tc>
          <w:tcPr>
            <w:tcW w:w="37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AutoCAD LT.</w:t>
            </w:r>
          </w:p>
        </w:tc>
        <w:tc>
          <w:tcPr>
            <w:tcW w:w="0" w:type="dxa"/>
            <w:vAlign w:val="bottom"/>
          </w:tcPr>
          <w:p>
            <w:pPr>
              <w:spacing w:after="0"/>
              <w:rPr>
                <w:sz w:val="1"/>
                <w:szCs w:val="1"/>
                <w:color w:val="auto"/>
              </w:rPr>
            </w:pPr>
          </w:p>
        </w:tc>
      </w:tr>
      <w:tr>
        <w:trPr>
          <w:trHeight w:val="159"/>
        </w:trPr>
        <w:tc>
          <w:tcPr>
            <w:tcW w:w="378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MFG</w:t>
            </w: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1,189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126</w:t>
            </w: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560" w:type="dxa"/>
            <w:vAlign w:val="bottom"/>
            <w:gridSpan w:val="5"/>
            <w:shd w:val="clear" w:color="auto" w:fill="CCEEFF"/>
          </w:tcPr>
          <w:p>
            <w:pPr>
              <w:ind w:left="240"/>
              <w:spacing w:after="0" w:line="159" w:lineRule="exact"/>
              <w:rPr>
                <w:sz w:val="20"/>
                <w:szCs w:val="20"/>
                <w:color w:val="auto"/>
              </w:rPr>
            </w:pPr>
            <w:r>
              <w:rPr>
                <w:rFonts w:ascii="Times New Roman" w:cs="Times New Roman" w:eastAsia="Times New Roman" w:hAnsi="Times New Roman"/>
                <w:sz w:val="16"/>
                <w:szCs w:val="16"/>
                <w:color w:val="auto"/>
              </w:rPr>
              <w:t>1,063   Increase due to growth in revenue from MFG Collections,</w:t>
            </w:r>
          </w:p>
        </w:tc>
        <w:tc>
          <w:tcPr>
            <w:tcW w:w="0" w:type="dxa"/>
            <w:vAlign w:val="bottom"/>
          </w:tcPr>
          <w:p>
            <w:pPr>
              <w:spacing w:after="0"/>
              <w:rPr>
                <w:sz w:val="1"/>
                <w:szCs w:val="1"/>
                <w:color w:val="auto"/>
              </w:rPr>
            </w:pPr>
          </w:p>
        </w:tc>
      </w:tr>
      <w:tr>
        <w:trPr>
          <w:trHeight w:val="212"/>
        </w:trPr>
        <w:tc>
          <w:tcPr>
            <w:tcW w:w="37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EBA offerings, Inventor, and Fusion.</w:t>
            </w:r>
          </w:p>
        </w:tc>
        <w:tc>
          <w:tcPr>
            <w:tcW w:w="0" w:type="dxa"/>
            <w:vAlign w:val="bottom"/>
          </w:tcPr>
          <w:p>
            <w:pPr>
              <w:spacing w:after="0"/>
              <w:rPr>
                <w:sz w:val="1"/>
                <w:szCs w:val="1"/>
                <w:color w:val="auto"/>
              </w:rPr>
            </w:pPr>
          </w:p>
        </w:tc>
      </w:tr>
      <w:tr>
        <w:trPr>
          <w:trHeight w:val="159"/>
        </w:trPr>
        <w:tc>
          <w:tcPr>
            <w:tcW w:w="3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M&amp;E</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3"/>
                <w:szCs w:val="13"/>
                <w:color w:val="auto"/>
              </w:rPr>
            </w:pPr>
          </w:p>
        </w:tc>
        <w:tc>
          <w:tcPr>
            <w:tcW w:w="840" w:type="dxa"/>
            <w:vAlign w:val="bottom"/>
            <w:gridSpan w:val="3"/>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gridSpan w:val="5"/>
          </w:tcPr>
          <w:p>
            <w:pPr>
              <w:ind w:left="360"/>
              <w:spacing w:after="0" w:line="159" w:lineRule="exact"/>
              <w:rPr>
                <w:sz w:val="20"/>
                <w:szCs w:val="20"/>
                <w:color w:val="auto"/>
              </w:rPr>
            </w:pPr>
            <w:r>
              <w:rPr>
                <w:rFonts w:ascii="Times New Roman" w:cs="Times New Roman" w:eastAsia="Times New Roman" w:hAnsi="Times New Roman"/>
                <w:sz w:val="16"/>
                <w:szCs w:val="16"/>
                <w:color w:val="auto"/>
              </w:rPr>
              <w:t>295   Increase due to revenue from the PIX acquisition and</w:t>
            </w:r>
          </w:p>
        </w:tc>
        <w:tc>
          <w:tcPr>
            <w:tcW w:w="0" w:type="dxa"/>
            <w:vAlign w:val="bottom"/>
          </w:tcPr>
          <w:p>
            <w:pPr>
              <w:spacing w:after="0"/>
              <w:rPr>
                <w:sz w:val="1"/>
                <w:szCs w:val="1"/>
                <w:color w:val="auto"/>
              </w:rPr>
            </w:pPr>
          </w:p>
        </w:tc>
      </w:tr>
      <w:tr>
        <w:trPr>
          <w:trHeight w:val="210"/>
        </w:trPr>
        <w:tc>
          <w:tcPr>
            <w:tcW w:w="37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EBA offerings.</w:t>
            </w:r>
          </w:p>
        </w:tc>
        <w:tc>
          <w:tcPr>
            <w:tcW w:w="0" w:type="dxa"/>
            <w:vAlign w:val="bottom"/>
          </w:tcPr>
          <w:p>
            <w:pPr>
              <w:spacing w:after="0"/>
              <w:rPr>
                <w:sz w:val="1"/>
                <w:szCs w:val="1"/>
                <w:color w:val="auto"/>
              </w:rPr>
            </w:pPr>
          </w:p>
        </w:tc>
      </w:tr>
      <w:tr>
        <w:trPr>
          <w:trHeight w:val="214"/>
        </w:trPr>
        <w:tc>
          <w:tcPr>
            <w:tcW w:w="3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60" w:type="dxa"/>
            <w:vAlign w:val="bottom"/>
          </w:tcPr>
          <w:p>
            <w:pPr>
              <w:spacing w:after="0"/>
              <w:rPr>
                <w:sz w:val="17"/>
                <w:szCs w:val="17"/>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 by Geographic Area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20" w:type="dxa"/>
            <w:vAlign w:val="bottom"/>
          </w:tcPr>
          <w:p>
            <w:pPr>
              <w:spacing w:after="0"/>
              <w:rPr>
                <w:sz w:val="13"/>
                <w:szCs w:val="13"/>
                <w:color w:val="auto"/>
              </w:rPr>
            </w:pPr>
          </w:p>
        </w:tc>
        <w:tc>
          <w:tcPr>
            <w:tcW w:w="84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7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1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change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1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 change</w:t>
            </w:r>
          </w:p>
        </w:tc>
        <w:tc>
          <w:tcPr>
            <w:tcW w:w="120" w:type="dxa"/>
            <w:vAlign w:val="bottom"/>
          </w:tcPr>
          <w:p>
            <w:pPr>
              <w:spacing w:after="0"/>
              <w:rPr>
                <w:sz w:val="12"/>
                <w:szCs w:val="12"/>
                <w:color w:val="auto"/>
              </w:rPr>
            </w:pPr>
          </w:p>
        </w:tc>
        <w:tc>
          <w:tcPr>
            <w:tcW w:w="84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1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compared to</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compared to</w:t>
            </w:r>
          </w:p>
        </w:tc>
        <w:tc>
          <w:tcPr>
            <w:tcW w:w="120" w:type="dxa"/>
            <w:vAlign w:val="bottom"/>
          </w:tcPr>
          <w:p>
            <w:pPr>
              <w:spacing w:after="0"/>
              <w:rPr>
                <w:sz w:val="12"/>
                <w:szCs w:val="12"/>
                <w:color w:val="auto"/>
              </w:rPr>
            </w:pPr>
          </w:p>
        </w:tc>
        <w:tc>
          <w:tcPr>
            <w:tcW w:w="84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0" w:type="dxa"/>
            <w:vAlign w:val="bottom"/>
          </w:tcPr>
          <w:p>
            <w:pPr>
              <w:spacing w:after="0"/>
              <w:rPr>
                <w:sz w:val="1"/>
                <w:szCs w:val="1"/>
                <w:color w:val="auto"/>
              </w:rPr>
            </w:pPr>
          </w:p>
        </w:tc>
      </w:tr>
      <w:tr>
        <w:trPr>
          <w:trHeight w:val="210"/>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27"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 by Sales Channel</w:t>
      </w:r>
    </w:p>
    <w:p>
      <w:pPr>
        <w:spacing w:after="0" w:line="6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Change compared to prior fiscal</w:t>
      </w:r>
    </w:p>
    <w:p>
      <w:pPr>
        <w:spacing w:after="0" w:line="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11430</wp:posOffset>
            </wp:positionV>
            <wp:extent cx="1313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0" w:type="dxa"/>
            <w:vAlign w:val="bottom"/>
          </w:tcPr>
          <w:p>
            <w:pPr>
              <w:spacing w:after="0"/>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198"/>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06"/>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compared to prior fiscal</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84"/>
              <w:spacing w:after="0" w:line="159" w:lineRule="exact"/>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0" w:type="dxa"/>
            <w:vAlign w:val="bottom"/>
          </w:tcPr>
          <w:p>
            <w:pPr>
              <w:spacing w:after="0"/>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19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0" w:type="dxa"/>
            <w:vAlign w:val="bottom"/>
          </w:tcPr>
          <w:p>
            <w:pPr>
              <w:spacing w:after="0"/>
              <w:rPr>
                <w:sz w:val="1"/>
                <w:szCs w:val="1"/>
                <w:color w:val="auto"/>
              </w:rPr>
            </w:pPr>
          </w:p>
        </w:tc>
      </w:tr>
      <w:tr>
        <w:trPr>
          <w:trHeight w:val="206"/>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100" w:firstLine="398"/>
        <w:spacing w:after="0" w:line="253" w:lineRule="auto"/>
        <w:rPr>
          <w:sz w:val="20"/>
          <w:szCs w:val="20"/>
          <w:color w:val="auto"/>
        </w:rPr>
      </w:pPr>
      <w:r>
        <w:rPr>
          <w:rFonts w:ascii="Times New Roman" w:cs="Times New Roman" w:eastAsia="Times New Roman" w:hAnsi="Times New Roman"/>
          <w:sz w:val="18"/>
          <w:szCs w:val="18"/>
          <w:color w:val="auto"/>
        </w:rPr>
        <w:t>For fiscal 2026 and 2025, approximately 63% and 42%, respectively, of our revenue was derived from direct sales to customers. With the continued growth of our online Autodesk branded store and the introduction of our new transaction model, we have been decreasing our sales through resellers and distributors and transacting directly with more end customers. We anticipate that our revenue by direct sales channel will continue to increase as a percentage of total net revenue. We expect our indirect channel will continue to transact and support a considerable portion of our customers, particularly in emerging regions. See further discussion regarding our new transaction model in the Overview to Results of Operations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 by Product Type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16"/>
                <w:szCs w:val="16"/>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00" w:type="dxa"/>
            <w:vAlign w:val="bottom"/>
          </w:tcPr>
          <w:p>
            <w:pPr>
              <w:ind w:left="500"/>
              <w:spacing w:after="0" w:line="159"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5,980</w:t>
            </w:r>
          </w:p>
        </w:tc>
        <w:tc>
          <w:tcPr>
            <w:tcW w:w="100" w:type="dxa"/>
            <w:vAlign w:val="bottom"/>
          </w:tcPr>
          <w:p>
            <w:pPr>
              <w:spacing w:after="0"/>
              <w:rPr>
                <w:sz w:val="13"/>
                <w:szCs w:val="13"/>
                <w:color w:val="auto"/>
              </w:rPr>
            </w:pPr>
          </w:p>
        </w:tc>
        <w:tc>
          <w:tcPr>
            <w:tcW w:w="200" w:type="dxa"/>
            <w:vAlign w:val="bottom"/>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876</w:t>
            </w:r>
          </w:p>
        </w:tc>
        <w:tc>
          <w:tcPr>
            <w:tcW w:w="11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5,104</w:t>
            </w:r>
          </w:p>
        </w:tc>
        <w:tc>
          <w:tcPr>
            <w:tcW w:w="80" w:type="dxa"/>
            <w:vAlign w:val="bottom"/>
          </w:tcPr>
          <w:p>
            <w:pPr>
              <w:spacing w:after="0"/>
              <w:rPr>
                <w:sz w:val="13"/>
                <w:szCs w:val="13"/>
                <w:color w:val="auto"/>
              </w:rPr>
            </w:pPr>
          </w:p>
        </w:tc>
        <w:tc>
          <w:tcPr>
            <w:tcW w:w="32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collections, EBA offerings, AutoCAD, AutoCAD</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and MFG collections.</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ind w:left="500"/>
              <w:spacing w:after="0" w:line="161"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142</w:t>
            </w:r>
          </w:p>
        </w:tc>
        <w:tc>
          <w:tcPr>
            <w:tcW w:w="114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Autodesk Construction Cloud (now known as</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Forma for Construction) and Fusion.</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6,131</w:t>
            </w:r>
          </w:p>
        </w:tc>
        <w:tc>
          <w:tcPr>
            <w:tcW w:w="8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16"/>
                <w:szCs w:val="16"/>
                <w:color w:val="auto"/>
              </w:rPr>
            </w:pPr>
          </w:p>
        </w:tc>
        <w:tc>
          <w:tcPr>
            <w:tcW w:w="19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2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000" w:type="dxa"/>
            <w:vAlign w:val="bottom"/>
          </w:tcPr>
          <w:p>
            <w:pPr>
              <w:ind w:left="500"/>
              <w:spacing w:after="0" w:line="159"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5,104</w:t>
            </w:r>
          </w:p>
        </w:tc>
        <w:tc>
          <w:tcPr>
            <w:tcW w:w="100" w:type="dxa"/>
            <w:vAlign w:val="bottom"/>
          </w:tcPr>
          <w:p>
            <w:pPr>
              <w:spacing w:after="0"/>
              <w:rPr>
                <w:sz w:val="13"/>
                <w:szCs w:val="13"/>
                <w:color w:val="auto"/>
              </w:rPr>
            </w:pPr>
          </w:p>
        </w:tc>
        <w:tc>
          <w:tcPr>
            <w:tcW w:w="200" w:type="dxa"/>
            <w:vAlign w:val="bottom"/>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457</w:t>
            </w:r>
          </w:p>
        </w:tc>
        <w:tc>
          <w:tcPr>
            <w:tcW w:w="11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4,647</w:t>
            </w:r>
          </w:p>
        </w:tc>
        <w:tc>
          <w:tcPr>
            <w:tcW w:w="80" w:type="dxa"/>
            <w:vAlign w:val="bottom"/>
          </w:tcPr>
          <w:p>
            <w:pPr>
              <w:spacing w:after="0"/>
              <w:rPr>
                <w:sz w:val="13"/>
                <w:szCs w:val="13"/>
                <w:color w:val="auto"/>
              </w:rPr>
            </w:pPr>
          </w:p>
        </w:tc>
        <w:tc>
          <w:tcPr>
            <w:tcW w:w="32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collections, AutoCAD Family, MFG collections,</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EBA offerings.</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ind w:left="500"/>
              <w:spacing w:after="0" w:line="161"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131</w:t>
            </w:r>
          </w:p>
        </w:tc>
        <w:tc>
          <w:tcPr>
            <w:tcW w:w="114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523</w:t>
            </w:r>
          </w:p>
        </w:tc>
        <w:tc>
          <w:tcPr>
            <w:tcW w:w="8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Autodesk Construction Cloud (now known as</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Forma for Construction), Fusion, and PIX.</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5,497</w:t>
            </w:r>
          </w:p>
        </w:tc>
        <w:tc>
          <w:tcPr>
            <w:tcW w:w="8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and Operating Expenses</w:t>
      </w:r>
    </w:p>
    <w:p>
      <w:pPr>
        <w:spacing w:after="0" w:line="246" w:lineRule="exact"/>
        <w:rPr>
          <w:sz w:val="20"/>
          <w:szCs w:val="20"/>
          <w:color w:val="auto"/>
        </w:rPr>
      </w:pPr>
    </w:p>
    <w:p>
      <w:pPr>
        <w:ind w:right="340" w:firstLine="398"/>
        <w:spacing w:after="0" w:line="255"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spacing w:after="0" w:line="208"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3"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3"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9"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08" w:lineRule="exact"/>
        <w:rPr>
          <w:sz w:val="20"/>
          <w:szCs w:val="20"/>
          <w:color w:val="auto"/>
        </w:rPr>
      </w:pPr>
    </w:p>
    <w:p>
      <w:pPr>
        <w:ind w:firstLine="43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08"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Restructuring, other exit costs, and facility reductions include charges related to the restructuring plans initiated during the fourth fiscal quarter ended January 31, 2026 (“January 2026 Plan”) and during the first fiscal quarter ended April 30, 2025 (“2026 Plan”) to support our initiatives to optimize and complete our go-to-market organization and, at the same time, to reallocate resources to our strategic priorities of investments in cloud, platform and artificial intelligence. In addition to the culmination of our sales and marketing optimization program, the January 2026 Plan also reallocates resources in certain other functions to accelerate Autodesk’s strategic priorities.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0" w:type="dxa"/>
            <w:vAlign w:val="bottom"/>
          </w:tcPr>
          <w:p>
            <w:pPr>
              <w:spacing w:after="0"/>
              <w:rPr>
                <w:sz w:val="14"/>
                <w:szCs w:val="14"/>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1"/>
                <w:szCs w:val="11"/>
                <w:color w:val="auto"/>
              </w:rPr>
            </w:pPr>
          </w:p>
        </w:tc>
        <w:tc>
          <w:tcPr>
            <w:tcW w:w="1860" w:type="dxa"/>
            <w:vAlign w:val="bottom"/>
            <w:gridSpan w:val="4"/>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1"/>
                <w:szCs w:val="11"/>
                <w:color w:val="auto"/>
              </w:rPr>
            </w:pPr>
          </w:p>
        </w:tc>
        <w:tc>
          <w:tcPr>
            <w:tcW w:w="84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center"/>
              <w:ind w:right="43"/>
              <w:spacing w:after="0" w:line="146"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1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50</w:t>
            </w:r>
          </w:p>
        </w:tc>
        <w:tc>
          <w:tcPr>
            <w:tcW w:w="10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4"/>
                <w:szCs w:val="14"/>
                <w:color w:val="auto"/>
              </w:rPr>
            </w:pPr>
          </w:p>
        </w:tc>
        <w:tc>
          <w:tcPr>
            <w:tcW w:w="4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Increase primarily due to employee-related costs driven by highe</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headcount and merit increases and an increase in cloud hosting</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210"/>
        </w:trPr>
        <w:tc>
          <w:tcPr>
            <w:tcW w:w="2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primarily due to employee-related costs.</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Amortization of developed</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w:t>
            </w:r>
          </w:p>
        </w:tc>
        <w:tc>
          <w:tcPr>
            <w:tcW w:w="10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4"/>
                <w:szCs w:val="14"/>
                <w:color w:val="auto"/>
              </w:rPr>
            </w:pPr>
          </w:p>
        </w:tc>
        <w:tc>
          <w:tcPr>
            <w:tcW w:w="4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Increase is due to amortization of acquired developed technologi</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6"/>
                <w:szCs w:val="16"/>
                <w:color w:val="auto"/>
              </w:rPr>
              <w:t>technologies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related to acquisitions in fiscal 2025 and an increase in</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related to capitalized software costs.</w:t>
            </w:r>
          </w:p>
        </w:tc>
        <w:tc>
          <w:tcPr>
            <w:tcW w:w="0" w:type="dxa"/>
            <w:vAlign w:val="bottom"/>
          </w:tcPr>
          <w:p>
            <w:pPr>
              <w:spacing w:after="0"/>
              <w:rPr>
                <w:sz w:val="1"/>
                <w:szCs w:val="1"/>
                <w:color w:val="auto"/>
              </w:rPr>
            </w:pPr>
          </w:p>
        </w:tc>
      </w:tr>
      <w:tr>
        <w:trPr>
          <w:trHeight w:val="203"/>
        </w:trPr>
        <w:tc>
          <w:tcPr>
            <w:tcW w:w="2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373</w:t>
            </w:r>
          </w:p>
        </w:tc>
        <w:tc>
          <w:tcPr>
            <w:tcW w:w="10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4"/>
                <w:szCs w:val="14"/>
                <w:color w:val="auto"/>
              </w:rPr>
            </w:pPr>
          </w:p>
        </w:tc>
        <w:tc>
          <w:tcPr>
            <w:tcW w:w="4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an increase in sales commissions to</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Solution Providers due to the recognition of these costs in</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marketing and sales expense under the new transaction model an</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0" w:type="dxa"/>
            <w:vAlign w:val="bottom"/>
          </w:tcPr>
          <w:p>
            <w:pPr>
              <w:spacing w:after="0"/>
              <w:rPr>
                <w:sz w:val="1"/>
                <w:szCs w:val="1"/>
                <w:color w:val="auto"/>
              </w:rPr>
            </w:pPr>
          </w:p>
        </w:tc>
      </w:tr>
      <w:tr>
        <w:trPr>
          <w:trHeight w:val="159"/>
        </w:trPr>
        <w:tc>
          <w:tcPr>
            <w:tcW w:w="25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3"/>
                <w:szCs w:val="13"/>
                <w:color w:val="auto"/>
              </w:rPr>
            </w:pPr>
          </w:p>
        </w:tc>
        <w:tc>
          <w:tcPr>
            <w:tcW w:w="86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158</w:t>
            </w:r>
          </w:p>
        </w:tc>
        <w:tc>
          <w:tcPr>
            <w:tcW w:w="10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3"/>
                <w:szCs w:val="13"/>
                <w:color w:val="auto"/>
              </w:rPr>
            </w:pPr>
          </w:p>
        </w:tc>
        <w:tc>
          <w:tcPr>
            <w:tcW w:w="41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Increase primarily due to employee-related costs driven by highe</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headcount and merit increases and an increase in cloud hosting</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693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43</w:t>
            </w:r>
          </w:p>
        </w:tc>
        <w:tc>
          <w:tcPr>
            <w:tcW w:w="10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4"/>
                <w:szCs w:val="14"/>
                <w:color w:val="auto"/>
              </w:rPr>
            </w:pPr>
          </w:p>
        </w:tc>
        <w:tc>
          <w:tcPr>
            <w:tcW w:w="4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8"/>
              </w:rPr>
              <w:t>Increase primarily due to an increase in charitable contributions t</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the Autodesk Foundation and employee-related costs partially</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offset by a decrease in acquisition-related costs.</w:t>
            </w:r>
          </w:p>
        </w:tc>
        <w:tc>
          <w:tcPr>
            <w:tcW w:w="0" w:type="dxa"/>
            <w:vAlign w:val="bottom"/>
          </w:tcPr>
          <w:p>
            <w:pPr>
              <w:spacing w:after="0"/>
              <w:rPr>
                <w:sz w:val="1"/>
                <w:szCs w:val="1"/>
                <w:color w:val="auto"/>
              </w:rPr>
            </w:pPr>
          </w:p>
        </w:tc>
      </w:tr>
      <w:tr>
        <w:trPr>
          <w:trHeight w:val="159"/>
        </w:trPr>
        <w:tc>
          <w:tcPr>
            <w:tcW w:w="25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Amortization of purchased</w:t>
            </w:r>
          </w:p>
        </w:tc>
        <w:tc>
          <w:tcPr>
            <w:tcW w:w="100" w:type="dxa"/>
            <w:vAlign w:val="bottom"/>
          </w:tcPr>
          <w:p>
            <w:pPr>
              <w:spacing w:after="0"/>
              <w:rPr>
                <w:sz w:val="13"/>
                <w:szCs w:val="13"/>
                <w:color w:val="auto"/>
              </w:rPr>
            </w:pPr>
          </w:p>
        </w:tc>
        <w:tc>
          <w:tcPr>
            <w:tcW w:w="860" w:type="dxa"/>
            <w:vAlign w:val="bottom"/>
          </w:tcPr>
          <w:p>
            <w:pPr>
              <w:jc w:val="right"/>
              <w:ind w:right="3"/>
              <w:spacing w:after="0" w:line="159"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w:t>
            </w:r>
          </w:p>
        </w:tc>
        <w:tc>
          <w:tcPr>
            <w:tcW w:w="10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3"/>
                <w:szCs w:val="13"/>
                <w:color w:val="auto"/>
              </w:rPr>
            </w:pPr>
          </w:p>
        </w:tc>
        <w:tc>
          <w:tcPr>
            <w:tcW w:w="41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No material change as compared to the prior period.</w:t>
            </w:r>
          </w:p>
        </w:tc>
        <w:tc>
          <w:tcPr>
            <w:tcW w:w="0" w:type="dxa"/>
            <w:vAlign w:val="bottom"/>
          </w:tcPr>
          <w:p>
            <w:pPr>
              <w:spacing w:after="0"/>
              <w:rPr>
                <w:sz w:val="1"/>
                <w:szCs w:val="1"/>
                <w:color w:val="auto"/>
              </w:rPr>
            </w:pPr>
          </w:p>
        </w:tc>
      </w:tr>
      <w:tr>
        <w:trPr>
          <w:trHeight w:val="210"/>
        </w:trPr>
        <w:tc>
          <w:tcPr>
            <w:tcW w:w="2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w w:val="99"/>
              </w:rPr>
              <w:t>Restructuring, other exit costs, and</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line="161" w:lineRule="exact"/>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201</w:t>
            </w:r>
          </w:p>
        </w:tc>
        <w:tc>
          <w:tcPr>
            <w:tcW w:w="1080" w:type="dxa"/>
            <w:vAlign w:val="bottom"/>
            <w:gridSpan w:val="2"/>
            <w:shd w:val="clear" w:color="auto" w:fill="CCEEFF"/>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1,340 %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4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8"/>
              </w:rPr>
              <w:t>The increase is due to the restructuring plans the Company initiat</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6"/>
                <w:szCs w:val="16"/>
                <w:color w:val="auto"/>
              </w:rPr>
              <w:t>facility reductions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during fiscal 2026. See Part II, Item 8, Note 11 “Restructuring,</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exit costs, and facility reductions” for more details.</w:t>
            </w:r>
          </w:p>
        </w:tc>
        <w:tc>
          <w:tcPr>
            <w:tcW w:w="0" w:type="dxa"/>
            <w:vAlign w:val="bottom"/>
          </w:tcPr>
          <w:p>
            <w:pPr>
              <w:spacing w:after="0"/>
              <w:rPr>
                <w:sz w:val="1"/>
                <w:szCs w:val="1"/>
                <w:color w:val="auto"/>
              </w:rPr>
            </w:pPr>
          </w:p>
        </w:tc>
      </w:tr>
      <w:tr>
        <w:trPr>
          <w:trHeight w:val="203"/>
        </w:trPr>
        <w:tc>
          <w:tcPr>
            <w:tcW w:w="2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00" w:type="dxa"/>
            <w:vAlign w:val="bottom"/>
          </w:tcPr>
          <w:p>
            <w:pPr>
              <w:spacing w:after="0"/>
              <w:rPr>
                <w:sz w:val="14"/>
                <w:szCs w:val="14"/>
                <w:color w:val="auto"/>
              </w:rPr>
            </w:pPr>
          </w:p>
        </w:tc>
        <w:tc>
          <w:tcPr>
            <w:tcW w:w="1420" w:type="dxa"/>
            <w:vAlign w:val="bottom"/>
            <w:gridSpan w:val="4"/>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3"/>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43"/>
              <w:spacing w:after="0" w:line="135"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3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and an increase in cloud hosting costs.</w:t>
            </w:r>
          </w:p>
        </w:tc>
        <w:tc>
          <w:tcPr>
            <w:tcW w:w="0" w:type="dxa"/>
            <w:vAlign w:val="bottom"/>
          </w:tcPr>
          <w:p>
            <w:pPr>
              <w:spacing w:after="0"/>
              <w:rPr>
                <w:sz w:val="1"/>
                <w:szCs w:val="1"/>
                <w:color w:val="auto"/>
              </w:rPr>
            </w:pPr>
          </w:p>
        </w:tc>
      </w:tr>
      <w:tr>
        <w:trPr>
          <w:trHeight w:val="159"/>
        </w:trPr>
        <w:tc>
          <w:tcPr>
            <w:tcW w:w="25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Decrease primarily due to decrease in professional fees and stock-</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compensation expense.</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Amortization of developed</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77 %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technologies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technologies related to acquisitions in fiscal 2025.</w:t>
            </w:r>
          </w:p>
        </w:tc>
        <w:tc>
          <w:tcPr>
            <w:tcW w:w="0" w:type="dxa"/>
            <w:vAlign w:val="bottom"/>
          </w:tcPr>
          <w:p>
            <w:pPr>
              <w:spacing w:after="0"/>
              <w:rPr>
                <w:sz w:val="1"/>
                <w:szCs w:val="1"/>
                <w:color w:val="auto"/>
              </w:rPr>
            </w:pPr>
          </w:p>
        </w:tc>
      </w:tr>
      <w:tr>
        <w:trPr>
          <w:trHeight w:val="206"/>
        </w:trPr>
        <w:tc>
          <w:tcPr>
            <w:tcW w:w="2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an increase in employee-related costs</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mostly related to headcount growth, merit increases and internal</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sales commissions, partially offset by a decrease in stock-based</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expense. Also, due to an increase in sales</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commissions to Solution Providers due to the recognition of these</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costs in marketing and sales expense under the new transaction</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model, cloud hosting costs, and professional fees partially offset by</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 increase in capitalized software costs.</w:t>
            </w:r>
          </w:p>
        </w:tc>
        <w:tc>
          <w:tcPr>
            <w:tcW w:w="0" w:type="dxa"/>
            <w:vAlign w:val="bottom"/>
          </w:tcPr>
          <w:p>
            <w:pPr>
              <w:spacing w:after="0"/>
              <w:rPr>
                <w:sz w:val="1"/>
                <w:szCs w:val="1"/>
                <w:color w:val="auto"/>
              </w:rPr>
            </w:pPr>
          </w:p>
        </w:tc>
      </w:tr>
      <w:tr>
        <w:trPr>
          <w:trHeight w:val="159"/>
        </w:trPr>
        <w:tc>
          <w:tcPr>
            <w:tcW w:w="25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headcount and merit increases and an increase in cloud hosting</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costs and professional fees partially offset by an increase in</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costs.</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Increase primarily due to an increase in employee-related costs</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driven by higher headcount and merit increases and an increase in</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cloud hosting costs partially offset by a decrease in charitable</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contributions to the Autodesk Foundation and a decrease in lease-</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asset impairment and other charges.</w:t>
            </w:r>
          </w:p>
        </w:tc>
        <w:tc>
          <w:tcPr>
            <w:tcW w:w="0" w:type="dxa"/>
            <w:vAlign w:val="bottom"/>
          </w:tcPr>
          <w:p>
            <w:pPr>
              <w:spacing w:after="0"/>
              <w:rPr>
                <w:sz w:val="1"/>
                <w:szCs w:val="1"/>
                <w:color w:val="auto"/>
              </w:rPr>
            </w:pPr>
          </w:p>
        </w:tc>
      </w:tr>
      <w:tr>
        <w:trPr>
          <w:trHeight w:val="159"/>
        </w:trPr>
        <w:tc>
          <w:tcPr>
            <w:tcW w:w="25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Amortization of purchased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The increase is primarily due to amortization of acquired</w:t>
            </w:r>
          </w:p>
        </w:tc>
        <w:tc>
          <w:tcPr>
            <w:tcW w:w="0" w:type="dxa"/>
            <w:vAlign w:val="bottom"/>
          </w:tcPr>
          <w:p>
            <w:pPr>
              <w:spacing w:after="0"/>
              <w:rPr>
                <w:sz w:val="1"/>
                <w:szCs w:val="1"/>
                <w:color w:val="auto"/>
              </w:rPr>
            </w:pPr>
          </w:p>
        </w:tc>
      </w:tr>
      <w:tr>
        <w:trPr>
          <w:trHeight w:val="159"/>
        </w:trPr>
        <w:tc>
          <w:tcPr>
            <w:tcW w:w="2580" w:type="dxa"/>
            <w:vAlign w:val="bottom"/>
          </w:tcPr>
          <w:p>
            <w:pPr>
              <w:ind w:left="500"/>
              <w:spacing w:after="0" w:line="159" w:lineRule="exact"/>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17 %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3"/>
                <w:szCs w:val="13"/>
                <w:color w:val="auto"/>
              </w:rPr>
            </w:pPr>
          </w:p>
        </w:tc>
        <w:tc>
          <w:tcPr>
            <w:tcW w:w="4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intangibles as a result of acquisitions in fiscal 2025 offset by</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previously acquired assets that continue to become fully amortized.</w:t>
            </w:r>
          </w:p>
        </w:tc>
        <w:tc>
          <w:tcPr>
            <w:tcW w:w="0" w:type="dxa"/>
            <w:vAlign w:val="bottom"/>
          </w:tcPr>
          <w:p>
            <w:pPr>
              <w:spacing w:after="0"/>
              <w:rPr>
                <w:sz w:val="1"/>
                <w:szCs w:val="1"/>
                <w:color w:val="auto"/>
              </w:rPr>
            </w:pPr>
          </w:p>
        </w:tc>
      </w:tr>
      <w:tr>
        <w:trPr>
          <w:trHeight w:val="161"/>
        </w:trPr>
        <w:tc>
          <w:tcPr>
            <w:tcW w:w="2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w w:val="99"/>
              </w:rPr>
              <w:t>Restructuring, other exit costs, and</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The increase is due to the restructuring plan the Company initiated</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6"/>
                <w:szCs w:val="16"/>
                <w:color w:val="auto"/>
              </w:rPr>
              <w:t>facility reductions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4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during fiscal 2026. See Part II, Item 8, Note 11 “Restructuring,</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exit costs, and facility reductions” for more details.</w:t>
            </w:r>
          </w:p>
        </w:tc>
        <w:tc>
          <w:tcPr>
            <w:tcW w:w="0" w:type="dxa"/>
            <w:vAlign w:val="bottom"/>
          </w:tcPr>
          <w:p>
            <w:pPr>
              <w:spacing w:after="0"/>
              <w:rPr>
                <w:sz w:val="1"/>
                <w:szCs w:val="1"/>
                <w:color w:val="auto"/>
              </w:rPr>
            </w:pPr>
          </w:p>
        </w:tc>
      </w:tr>
      <w:tr>
        <w:trPr>
          <w:trHeight w:val="212"/>
        </w:trPr>
        <w:tc>
          <w:tcPr>
            <w:tcW w:w="2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400" w:hanging="394"/>
        <w:spacing w:after="0"/>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for fiscal 2027 as compared to fiscal 2026:</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84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Absolute dollar impact</w:t>
            </w:r>
          </w:p>
        </w:tc>
        <w:tc>
          <w:tcPr>
            <w:tcW w:w="616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rPr>
              <w:t>Increase</w:t>
            </w: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 expect our cost of revenue to increase as our revenue grows.</w:t>
            </w:r>
          </w:p>
        </w:tc>
        <w:tc>
          <w:tcPr>
            <w:tcW w:w="0" w:type="dxa"/>
            <w:vAlign w:val="bottom"/>
          </w:tcPr>
          <w:p>
            <w:pPr>
              <w:spacing w:after="0"/>
              <w:rPr>
                <w:sz w:val="1"/>
                <w:szCs w:val="1"/>
                <w:color w:val="auto"/>
              </w:rPr>
            </w:pPr>
          </w:p>
        </w:tc>
      </w:tr>
      <w:tr>
        <w:trPr>
          <w:trHeight w:val="15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1840" w:type="dxa"/>
            <w:vAlign w:val="bottom"/>
            <w:vMerge w:val="restart"/>
          </w:tcPr>
          <w:p>
            <w:pPr>
              <w:jc w:val="center"/>
              <w:ind w:left="62"/>
              <w:spacing w:after="0"/>
              <w:rPr>
                <w:sz w:val="20"/>
                <w:szCs w:val="20"/>
                <w:color w:val="auto"/>
              </w:rPr>
            </w:pPr>
            <w:r>
              <w:rPr>
                <w:rFonts w:ascii="Times New Roman" w:cs="Times New Roman" w:eastAsia="Times New Roman" w:hAnsi="Times New Roman"/>
                <w:sz w:val="16"/>
                <w:szCs w:val="16"/>
                <w:color w:val="auto"/>
              </w:rPr>
              <w:t>Increase</w:t>
            </w:r>
          </w:p>
        </w:tc>
        <w:tc>
          <w:tcPr>
            <w:tcW w:w="6160" w:type="dxa"/>
            <w:vAlign w:val="bottom"/>
          </w:tcPr>
          <w:p>
            <w:pPr>
              <w:ind w:left="160"/>
              <w:spacing w:after="0" w:line="159" w:lineRule="exact"/>
              <w:rPr>
                <w:sz w:val="20"/>
                <w:szCs w:val="20"/>
                <w:color w:val="auto"/>
              </w:rPr>
            </w:pPr>
            <w:r>
              <w:rPr>
                <w:rFonts w:ascii="Times New Roman" w:cs="Times New Roman" w:eastAsia="Times New Roman" w:hAnsi="Times New Roman"/>
                <w:sz w:val="16"/>
                <w:szCs w:val="16"/>
                <w:color w:val="auto"/>
                <w:w w:val="99"/>
              </w:rPr>
              <w:t>We expect marketing and sales expenses to increase with the recognition of Solution Provider</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commissions under our new transaction model.</w:t>
            </w:r>
          </w:p>
        </w:tc>
        <w:tc>
          <w:tcPr>
            <w:tcW w:w="0" w:type="dxa"/>
            <w:vAlign w:val="bottom"/>
          </w:tcPr>
          <w:p>
            <w:pPr>
              <w:spacing w:after="0"/>
              <w:rPr>
                <w:sz w:val="1"/>
                <w:szCs w:val="1"/>
                <w:color w:val="auto"/>
              </w:rPr>
            </w:pPr>
          </w:p>
        </w:tc>
      </w:tr>
      <w:tr>
        <w:trPr>
          <w:trHeight w:val="161"/>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40" w:type="dxa"/>
            <w:vAlign w:val="bottom"/>
            <w:vMerge w:val="restart"/>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rPr>
              <w:t>Increase</w:t>
            </w:r>
          </w:p>
        </w:tc>
        <w:tc>
          <w:tcPr>
            <w:tcW w:w="61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6"/>
                <w:szCs w:val="16"/>
                <w:color w:val="auto"/>
                <w:w w:val="99"/>
              </w:rPr>
              <w:t>We expect our research and development expenses to increase as we continue our investments</w:t>
            </w:r>
          </w:p>
        </w:tc>
        <w:tc>
          <w:tcPr>
            <w:tcW w:w="0" w:type="dxa"/>
            <w:vAlign w:val="bottom"/>
          </w:tcPr>
          <w:p>
            <w:pPr>
              <w:spacing w:after="0"/>
              <w:rPr>
                <w:sz w:val="1"/>
                <w:szCs w:val="1"/>
                <w:color w:val="auto"/>
              </w:rPr>
            </w:pPr>
          </w:p>
        </w:tc>
      </w:tr>
      <w:tr>
        <w:trPr>
          <w:trHeight w:val="212"/>
        </w:trPr>
        <w:tc>
          <w:tcPr>
            <w:tcW w:w="312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cloud, platform, and artificial intelligence.</w:t>
            </w: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6"/>
              </w:rPr>
              <w:t>Flat</w:t>
            </w:r>
          </w:p>
        </w:tc>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8"/>
              </w:rPr>
              <w:t>We expect general and administrative expenses to remain flat due to continued cost discipline.</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84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Flat</w:t>
            </w: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 expect our amortization of purchased intangibles to remain unchanged.</w:t>
            </w: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160" w:type="dxa"/>
            <w:vAlign w:val="bottom"/>
          </w:tcPr>
          <w:p>
            <w:pPr>
              <w:ind w:left="160"/>
              <w:spacing w:after="0" w:line="159" w:lineRule="exact"/>
              <w:rPr>
                <w:sz w:val="20"/>
                <w:szCs w:val="20"/>
                <w:color w:val="auto"/>
              </w:rPr>
            </w:pPr>
            <w:r>
              <w:rPr>
                <w:rFonts w:ascii="Times New Roman" w:cs="Times New Roman" w:eastAsia="Times New Roman" w:hAnsi="Times New Roman"/>
                <w:sz w:val="16"/>
                <w:szCs w:val="16"/>
                <w:color w:val="auto"/>
              </w:rPr>
              <w:t>We expect restructuring, other exit costs, and facility reductions to decrease as compared to</w:t>
            </w:r>
          </w:p>
        </w:tc>
        <w:tc>
          <w:tcPr>
            <w:tcW w:w="0" w:type="dxa"/>
            <w:vAlign w:val="bottom"/>
          </w:tcPr>
          <w:p>
            <w:pPr>
              <w:spacing w:after="0"/>
              <w:rPr>
                <w:sz w:val="1"/>
                <w:szCs w:val="1"/>
                <w:color w:val="auto"/>
              </w:rPr>
            </w:pPr>
          </w:p>
        </w:tc>
      </w:tr>
      <w:tr>
        <w:trPr>
          <w:trHeight w:val="15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Restructuring, other exit costs, and facility</w:t>
            </w:r>
          </w:p>
        </w:tc>
        <w:tc>
          <w:tcPr>
            <w:tcW w:w="1840" w:type="dxa"/>
            <w:vAlign w:val="bottom"/>
          </w:tcPr>
          <w:p>
            <w:pPr>
              <w:spacing w:after="0"/>
              <w:rPr>
                <w:sz w:val="13"/>
                <w:szCs w:val="13"/>
                <w:color w:val="auto"/>
              </w:rPr>
            </w:pPr>
          </w:p>
        </w:tc>
        <w:tc>
          <w:tcPr>
            <w:tcW w:w="6160" w:type="dxa"/>
            <w:vAlign w:val="bottom"/>
          </w:tcPr>
          <w:p>
            <w:pPr>
              <w:ind w:left="160"/>
              <w:spacing w:after="0" w:line="159" w:lineRule="exact"/>
              <w:rPr>
                <w:sz w:val="20"/>
                <w:szCs w:val="20"/>
                <w:color w:val="auto"/>
              </w:rPr>
            </w:pPr>
            <w:r>
              <w:rPr>
                <w:rFonts w:ascii="Times New Roman" w:cs="Times New Roman" w:eastAsia="Times New Roman" w:hAnsi="Times New Roman"/>
                <w:sz w:val="16"/>
                <w:szCs w:val="16"/>
                <w:color w:val="auto"/>
              </w:rPr>
              <w:t>fiscal 2026 due to the plans initiated during the first and fourth quarters of fiscal 2026. The</w:t>
            </w:r>
          </w:p>
        </w:tc>
        <w:tc>
          <w:tcPr>
            <w:tcW w:w="0" w:type="dxa"/>
            <w:vAlign w:val="bottom"/>
          </w:tcPr>
          <w:p>
            <w:pPr>
              <w:spacing w:after="0"/>
              <w:rPr>
                <w:sz w:val="1"/>
                <w:szCs w:val="1"/>
                <w:color w:val="auto"/>
              </w:rPr>
            </w:pPr>
          </w:p>
        </w:tc>
      </w:tr>
      <w:tr>
        <w:trPr>
          <w:trHeight w:val="159"/>
        </w:trPr>
        <w:tc>
          <w:tcPr>
            <w:tcW w:w="3120" w:type="dxa"/>
            <w:vAlign w:val="bottom"/>
            <w:vMerge w:val="continue"/>
          </w:tcPr>
          <w:p>
            <w:pPr>
              <w:spacing w:after="0"/>
              <w:rPr>
                <w:sz w:val="13"/>
                <w:szCs w:val="13"/>
                <w:color w:val="auto"/>
              </w:rPr>
            </w:pPr>
          </w:p>
        </w:tc>
        <w:tc>
          <w:tcPr>
            <w:tcW w:w="1840" w:type="dxa"/>
            <w:vAlign w:val="bottom"/>
            <w:vMerge w:val="restart"/>
          </w:tcPr>
          <w:p>
            <w:pPr>
              <w:jc w:val="center"/>
              <w:ind w:left="62"/>
              <w:spacing w:after="0"/>
              <w:rPr>
                <w:sz w:val="20"/>
                <w:szCs w:val="20"/>
                <w:color w:val="auto"/>
              </w:rPr>
            </w:pPr>
            <w:r>
              <w:rPr>
                <w:rFonts w:ascii="Times New Roman" w:cs="Times New Roman" w:eastAsia="Times New Roman" w:hAnsi="Times New Roman"/>
                <w:sz w:val="16"/>
                <w:szCs w:val="16"/>
                <w:color w:val="auto"/>
                <w:w w:val="98"/>
              </w:rPr>
              <w:t>Decrease</w:t>
            </w:r>
          </w:p>
        </w:tc>
        <w:tc>
          <w:tcPr>
            <w:tcW w:w="6160" w:type="dxa"/>
            <w:vAlign w:val="bottom"/>
          </w:tcPr>
          <w:p>
            <w:pPr>
              <w:ind w:left="160"/>
              <w:spacing w:after="0" w:line="159" w:lineRule="exact"/>
              <w:rPr>
                <w:sz w:val="20"/>
                <w:szCs w:val="20"/>
                <w:color w:val="auto"/>
              </w:rPr>
            </w:pPr>
            <w:r>
              <w:rPr>
                <w:rFonts w:ascii="Times New Roman" w:cs="Times New Roman" w:eastAsia="Times New Roman" w:hAnsi="Times New Roman"/>
                <w:sz w:val="16"/>
                <w:szCs w:val="16"/>
                <w:color w:val="auto"/>
              </w:rPr>
              <w:t>2026 Plan is substantially complete as of January 31, 2026, and the majority of the costs of</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w:t>
            </w:r>
          </w:p>
        </w:tc>
        <w:tc>
          <w:tcPr>
            <w:tcW w:w="1840" w:type="dxa"/>
            <w:vAlign w:val="bottom"/>
            <w:vMerge w:val="continue"/>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January 2026 Plan were incurred in fiscal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and Other Expense, Net</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expense,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currency</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strategic investments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40" w:firstLine="398"/>
        <w:spacing w:after="0" w:line="274" w:lineRule="auto"/>
        <w:rPr>
          <w:sz w:val="20"/>
          <w:szCs w:val="20"/>
          <w:color w:val="auto"/>
        </w:rPr>
      </w:pPr>
      <w:r>
        <w:rPr>
          <w:rFonts w:ascii="Times New Roman" w:cs="Times New Roman" w:eastAsia="Times New Roman" w:hAnsi="Times New Roman"/>
          <w:sz w:val="18"/>
          <w:szCs w:val="18"/>
          <w:color w:val="auto"/>
        </w:rPr>
        <w:t>Interest and other income, net, decreased by $5 million during fiscal 2026, as compared to fiscal 2025. The decrease in interest and other income, net, was primarily due to an increase in interest expense.</w:t>
      </w:r>
    </w:p>
    <w:p>
      <w:pPr>
        <w:spacing w:after="0" w:line="191"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Interest and other income, net, increased by $22 million during fiscal 2025, as compared to fiscal 2024. The increase in interest and other income, net, was primarily due to a decrease in impairments of strategic investment equity securities and an increase in gains for investments in debt and equity securities that are held in a rabbi trust under non-qualified deferred compensation plans partially offset by a decrease in interest income and a decrease in gains on foreign currency in the current period as compared to the prior period.</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4" w:lineRule="exact"/>
        <w:rPr>
          <w:sz w:val="20"/>
          <w:szCs w:val="20"/>
          <w:color w:val="auto"/>
        </w:rPr>
      </w:pPr>
    </w:p>
    <w:p>
      <w:pPr>
        <w:ind w:right="200" w:firstLine="398"/>
        <w:spacing w:after="0" w:line="260"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246"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203"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8"/>
          <w:szCs w:val="18"/>
          <w:color w:val="auto"/>
        </w:rPr>
        <w:t>Income tax expense was $479 million and $272 million for fiscal 2026 and 2025, relative to pre-tax income of $1.60 billion and $1.38 billion, respectively, for the same periods. The tax expense for fiscal 2026 consists primarily of the U.S. and foreign tax expense, including withholding tax on payments made to the United States or to Ireland from foreign sources, and tax on net controlled foreign corporation tested income (“NCTI”), offset by tax deductible stock-based compensation, and tax credits. Tax expense for fiscal 2025 consisted primarily of the U.S. and foreign tax expense, including withholding tax on payments made to the United States or to Singapore from foreign sources, a partial audit settlement with the IRS, and related increase in reserves relating to research and development tax credits, offset by a decrease in tax expense relating to stock-based compensation and tax benefit from the Australia valuation allowance release. The income tax expense for fiscal 2026, increased compared to fiscal 2025, primarily due to the reduced taxable benefit arising from foreign-derived deduction-eligible income (“FDDEI”) and increased tax expense associated with NCTI arising as a result of both an election made in the U.S. regarding timing of taxation of revenue to more closely align the timing of taxation with our U.S. GAAP revenue recognition principles, as well as a tax law change to full expensing of U.S. research and development expenses under the OBBBA. The increase in income tax expense was partially offset by benefits arising from return-to-provision adjustments associated with the completion of the fiscal 2025 U.S. income tax return. These adjustments provided benefits such as higher tax credits from research and development activities, lower U.S. international taxes on foreign earnings, and updated state deferred taxes reflecting changes in state tax rates.</w:t>
      </w:r>
    </w:p>
    <w:p>
      <w:pPr>
        <w:spacing w:after="0" w:line="217"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20" w:firstLine="398"/>
        <w:spacing w:after="0" w:line="272" w:lineRule="auto"/>
        <w:rPr>
          <w:sz w:val="20"/>
          <w:szCs w:val="20"/>
          <w:color w:val="auto"/>
        </w:rPr>
      </w:pPr>
      <w:r>
        <w:rPr>
          <w:rFonts w:ascii="Times New Roman" w:cs="Times New Roman" w:eastAsia="Times New Roman" w:hAnsi="Times New Roman"/>
          <w:sz w:val="17"/>
          <w:szCs w:val="17"/>
          <w:color w:val="auto"/>
        </w:rPr>
        <w:t>In fiscal 2026, a valuation allowance was established in Australia on deferred tax assets that will convert to capital loss upon reversal. The Company also released the valuation allowance in Portugal based on positive evidence supporting the realization of its deferred tax assets in fiscal 2026.</w:t>
      </w:r>
    </w:p>
    <w:p>
      <w:pPr>
        <w:spacing w:after="0" w:line="1"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We continue to retain a valuation allowance against New Zealand, California, Massachusetts, and Michigan deferred tax assets and deferred tax assets that will convert to a capital loss upon reversal in Australia and the U.S., as we do not have sufficient income of the appropriate character to benefit from these deferred tax assets.</w:t>
      </w:r>
    </w:p>
    <w:p>
      <w:pPr>
        <w:spacing w:after="0" w:line="212" w:lineRule="exact"/>
        <w:rPr>
          <w:sz w:val="20"/>
          <w:szCs w:val="20"/>
          <w:color w:val="auto"/>
        </w:rPr>
      </w:pPr>
    </w:p>
    <w:p>
      <w:pPr>
        <w:ind w:right="360" w:firstLine="398"/>
        <w:spacing w:after="0" w:line="255"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whereby management may determine, based on all available evidence, both positive and negative, that it is more likely than not that the deferred tax assets in New Zealand, California, Massachusetts, Michigan, and the assets relating to capital losses or assets that will convert into a capital loss upon reversal in Australia and U.S. will be realized.</w:t>
      </w:r>
    </w:p>
    <w:p>
      <w:pPr>
        <w:spacing w:after="0" w:line="208"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As of January 31, 2026, we had $307 million of gross unrecognized tax benefits, of which $50 million would reduce our valuation allowance, if recognized. The remaining $257 million would impact the effective tax rate. The amount of unrecognized tax benefits expected to decrease in the next twelve months due to statute lapses is $162 million.</w:t>
      </w:r>
    </w:p>
    <w:p>
      <w:pPr>
        <w:spacing w:after="0" w:line="203"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Our future effective tax rates may be adversely affected to the extent earnings are lower than anticipated in countries where we have lower statutory tax rates.</w:t>
      </w:r>
    </w:p>
    <w:p>
      <w:pPr>
        <w:spacing w:after="0" w:line="208" w:lineRule="exact"/>
        <w:rPr>
          <w:sz w:val="20"/>
          <w:szCs w:val="20"/>
          <w:color w:val="auto"/>
        </w:rPr>
      </w:pPr>
    </w:p>
    <w:p>
      <w:pPr>
        <w:ind w:right="100" w:firstLine="398"/>
        <w:spacing w:after="0" w:line="253" w:lineRule="auto"/>
        <w:rPr>
          <w:sz w:val="20"/>
          <w:szCs w:val="20"/>
          <w:color w:val="auto"/>
        </w:rPr>
      </w:pPr>
      <w:r>
        <w:rPr>
          <w:rFonts w:ascii="Times New Roman" w:cs="Times New Roman" w:eastAsia="Times New Roman" w:hAnsi="Times New Roman"/>
          <w:sz w:val="18"/>
          <w:szCs w:val="18"/>
          <w:color w:val="auto"/>
        </w:rPr>
        <w:t>The Company filed a request to the Internal Revenue Service (“IRS”) in the U.S. in fiscal 2026 for non-automatic change in accounting method to no longer capitalize certain research and development expenditures in its controlled foreign corporations, in line with recent IRS guidance. The tax effects of the proposed accounting method change have not been recognized in the accompanying consolidated financial statements in fiscal 2026 as IRS approval is required prior to recognition. The Company will record the impact of the method change in the period that IRS approval is obtained. We anticipate this method change will decrease our provision for income taxes due to reduction of tax expense associated with NCTI.</w:t>
      </w:r>
    </w:p>
    <w:p>
      <w:pPr>
        <w:spacing w:after="0" w:line="209"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revisions to the Internal Revenue Code effective in taxable years beginning after December 31, 2022, including a 15% corporate alternative minimum tax. This is immaterial to provision for income taxes in the current fiscal year.</w:t>
      </w:r>
    </w:p>
    <w:p>
      <w:pPr>
        <w:spacing w:after="0" w:line="203" w:lineRule="exact"/>
        <w:rPr>
          <w:sz w:val="20"/>
          <w:szCs w:val="20"/>
          <w:color w:val="auto"/>
        </w:rPr>
      </w:pPr>
    </w:p>
    <w:p>
      <w:pPr>
        <w:ind w:right="120" w:firstLine="398"/>
        <w:spacing w:after="0" w:line="250" w:lineRule="auto"/>
        <w:rPr>
          <w:sz w:val="20"/>
          <w:szCs w:val="20"/>
          <w:color w:val="auto"/>
        </w:rPr>
      </w:pPr>
      <w:r>
        <w:rPr>
          <w:rFonts w:ascii="Times New Roman" w:cs="Times New Roman" w:eastAsia="Times New Roman" w:hAnsi="Times New Roman"/>
          <w:sz w:val="18"/>
          <w:szCs w:val="18"/>
          <w:color w:val="auto"/>
        </w:rPr>
        <w:t>Signed into law on July 4, 2025, the One Big Beautiful Bill Act (“OBBBA”) includes significant provisions, such as the permanent extension of certain expiring provisions of the Tax Cuts and Jobs Act, modifications to the international tax framework and the restoration of favorable tax treatment for certain business provisions. The requirement to capitalize and amortize U.S. research and development expenses was permanently eliminated allowing for the immediate expensing of domestic research and development expenditures for tax years beginning after December 31, 2024 and the impacts have been included in our fiscal 2026 consolidated financial statements. In addition to this change, the OBBBA includes a broad range of tax reform provisions initially established by the Tax Cut and Jobs Act. The OBBBA has multiple effective dates, with certain provisions effective in fiscal 2026 and others effective in fiscal year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6"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2026, 2025, and 2024, our gross profit, income from operations, operating margin, net income, and diluted net income per share on a GAAP and non-GAAP basis were as follows (in millions except for operating margin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00" w:type="dxa"/>
            <w:vAlign w:val="bottom"/>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60" w:type="dxa"/>
            <w:vAlign w:val="bottom"/>
          </w:tcPr>
          <w:p>
            <w:pPr>
              <w:spacing w:after="0"/>
              <w:rPr>
                <w:sz w:val="16"/>
                <w:szCs w:val="16"/>
                <w:color w:val="auto"/>
              </w:rPr>
            </w:pPr>
          </w:p>
        </w:tc>
      </w:tr>
      <w:tr>
        <w:trPr>
          <w:trHeight w:val="24"/>
        </w:trPr>
        <w:tc>
          <w:tcPr>
            <w:tcW w:w="6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6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6,556</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5,553</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4,986</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6,703</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5,683</w:t>
            </w:r>
          </w:p>
        </w:tc>
        <w:tc>
          <w:tcPr>
            <w:tcW w:w="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5,080</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1,578</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1,354</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1,128</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2,737</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2,231</w:t>
            </w:r>
          </w:p>
        </w:tc>
        <w:tc>
          <w:tcPr>
            <w:tcW w:w="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1,962</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9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22 %</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1,124</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1,112</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906</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2,242</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1,839</w:t>
            </w:r>
          </w:p>
        </w:tc>
        <w:tc>
          <w:tcPr>
            <w:tcW w:w="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1,642</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5.23</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5.12</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4.19</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10.43</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8.47</w:t>
            </w:r>
          </w:p>
        </w:tc>
        <w:tc>
          <w:tcPr>
            <w:tcW w:w="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7.60</w:t>
            </w:r>
          </w:p>
        </w:tc>
      </w:tr>
    </w:tbl>
    <w:p>
      <w:pPr>
        <w:spacing w:after="0" w:line="287"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14" w:lineRule="exact"/>
        <w:rPr>
          <w:sz w:val="20"/>
          <w:szCs w:val="20"/>
          <w:color w:val="auto"/>
        </w:rPr>
      </w:pPr>
    </w:p>
    <w:p>
      <w:pPr>
        <w:jc w:val="both"/>
        <w:ind w:firstLine="398"/>
        <w:spacing w:after="0" w:line="250"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3360"/>
        <w:spacing w:after="0" w:line="405" w:lineRule="auto"/>
        <w:rPr>
          <w:sz w:val="20"/>
          <w:szCs w:val="20"/>
          <w:color w:val="auto"/>
        </w:rPr>
      </w:pPr>
      <w:r>
        <w:rPr>
          <w:rFonts w:ascii="Times New Roman" w:cs="Times New Roman" w:eastAsia="Times New Roman" w:hAnsi="Times New Roman"/>
          <w:sz w:val="18"/>
          <w:szCs w:val="18"/>
          <w:b w:val="1"/>
          <w:bCs w:val="1"/>
          <w:color w:val="auto"/>
        </w:rPr>
        <w:t xml:space="preserve">RECONCILIATION OF GAAP FINANCIAL MEASURES TO NON-GAAP FINANCIAL MEASURES </w:t>
      </w:r>
      <w:r>
        <w:rPr>
          <w:rFonts w:ascii="Times New Roman" w:cs="Times New Roman" w:eastAsia="Times New Roman" w:hAnsi="Times New Roman"/>
          <w:sz w:val="18"/>
          <w:szCs w:val="18"/>
          <w:color w:val="auto"/>
        </w:rPr>
        <w:t>(In millions except for operating margin, and per share data):</w:t>
      </w: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gridSpan w:val="6"/>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8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4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4,986</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6,703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5,080</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4"/>
        </w:trPr>
        <w:tc>
          <w:tcPr>
            <w:tcW w:w="6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1,128</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703</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9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2,737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1,962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4"/>
        </w:trPr>
        <w:tc>
          <w:tcPr>
            <w:tcW w:w="6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margin (1)</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906</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703</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adjustments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(130)</w:t>
            </w: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4.19</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3.26</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 and developed technologies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0.39</w:t>
            </w: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92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0.15</w:t>
            </w:r>
          </w:p>
        </w:tc>
      </w:tr>
      <w:tr>
        <w:trPr>
          <w:trHeight w:val="214"/>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0.06</w:t>
            </w:r>
          </w:p>
        </w:tc>
      </w:tr>
      <w:tr>
        <w:trPr>
          <w:trHeight w:val="226"/>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20" w:type="dxa"/>
            <w:vAlign w:val="bottom"/>
          </w:tcPr>
          <w:p>
            <w:pPr>
              <w:spacing w:after="0"/>
              <w:rPr>
                <w:sz w:val="19"/>
                <w:szCs w:val="19"/>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0.15</w:t>
            </w:r>
          </w:p>
        </w:tc>
      </w:tr>
      <w:tr>
        <w:trPr>
          <w:trHeight w:val="210"/>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adjustments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(0.60)</w:t>
            </w: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400" w:hanging="394"/>
        <w:spacing w:after="0"/>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may exclude the following:</w:t>
      </w:r>
    </w:p>
    <w:p>
      <w:pPr>
        <w:spacing w:after="0" w:line="242"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09" w:lineRule="exact"/>
        <w:rPr>
          <w:sz w:val="20"/>
          <w:szCs w:val="20"/>
          <w:color w:val="auto"/>
        </w:rPr>
      </w:pPr>
    </w:p>
    <w:p>
      <w:pPr>
        <w:ind w:right="40" w:firstLine="39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both the timing and size of our acquisitions. Management finds it useful to exclude these variable charges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08" w:lineRule="exact"/>
        <w:rPr>
          <w:sz w:val="20"/>
          <w:szCs w:val="20"/>
          <w:color w:val="auto"/>
        </w:rPr>
      </w:pPr>
    </w:p>
    <w:p>
      <w:pPr>
        <w:jc w:val="both"/>
        <w:ind w:right="60" w:firstLine="398"/>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Restructuring, other exit costs, and facility reductions. </w:t>
      </w:r>
      <w:r>
        <w:rPr>
          <w:rFonts w:ascii="Times New Roman" w:cs="Times New Roman" w:eastAsia="Times New Roman" w:hAnsi="Times New Roman"/>
          <w:sz w:val="17"/>
          <w:szCs w:val="17"/>
          <w:color w:val="auto"/>
        </w:rPr>
        <w:t>These expenses are associated with realigning our business strategies based on current economic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In connection with these restructuring actions or other exit actions, we recognize costs related to termination benefits for former employees whose positions were eliminated, the reduction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9"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i w:val="1"/>
          <w:iCs w:val="1"/>
          <w:color w:val="auto"/>
        </w:rPr>
        <w:t>Lease-related asset impairments and other charges. </w:t>
      </w:r>
      <w:r>
        <w:rPr>
          <w:rFonts w:ascii="Times New Roman" w:cs="Times New Roman" w:eastAsia="Times New Roman" w:hAnsi="Times New Roman"/>
          <w:sz w:val="18"/>
          <w:szCs w:val="18"/>
          <w:color w:val="auto"/>
        </w:rPr>
        <w:t> These charges are associated with the optimization of our facilities costs related to leases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spacing w:after="0" w:line="209"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209" w:lineRule="exact"/>
        <w:rPr>
          <w:sz w:val="20"/>
          <w:szCs w:val="20"/>
          <w:color w:val="auto"/>
        </w:rPr>
      </w:pPr>
    </w:p>
    <w:p>
      <w:pPr>
        <w:ind w:right="160" w:firstLine="39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 (gain) on strategic investments and dispositions. </w:t>
      </w:r>
      <w:r>
        <w:rPr>
          <w:rFonts w:ascii="Times New Roman" w:cs="Times New Roman" w:eastAsia="Times New Roman" w:hAnsi="Times New Roman"/>
          <w:sz w:val="18"/>
          <w:szCs w:val="18"/>
          <w:color w:val="auto"/>
        </w:rPr>
        <w:t>We exclude gains and losses related to our strategic investments and dispositions of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dividends received, realized gains and losses on the sales or losses on the impairment of these investments, and gain and loss on dispositions. We believe excluding these items is useful to investors because they do not correlate to the underlying performance of our business and these losses or gains were incurred in connection with strategic investments and dispositions which do not occur regularly.</w:t>
      </w:r>
    </w:p>
    <w:p>
      <w:pPr>
        <w:spacing w:after="0" w:line="208" w:lineRule="exact"/>
        <w:rPr>
          <w:sz w:val="20"/>
          <w:szCs w:val="20"/>
          <w:color w:val="auto"/>
        </w:rPr>
      </w:pPr>
    </w:p>
    <w:p>
      <w:pPr>
        <w:ind w:right="40" w:firstLine="39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 tax adjustments. </w:t>
      </w:r>
      <w:r>
        <w:rPr>
          <w:rFonts w:ascii="Times New Roman" w:cs="Times New Roman" w:eastAsia="Times New Roman" w:hAnsi="Times New Roman"/>
          <w:sz w:val="18"/>
          <w:szCs w:val="18"/>
          <w:color w:val="auto"/>
        </w:rPr>
        <w:t>The income tax effects that are excluded from the non-GAAP measures relate to the tax impact on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and non-GAAP expenses, primarily due to stock-based compensation, amortization of purchased intangibles, and restructuring, other exit costs, and facility reductions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09" w:lineRule="exact"/>
        <w:rPr>
          <w:sz w:val="20"/>
          <w:szCs w:val="20"/>
          <w:color w:val="auto"/>
        </w:rPr>
      </w:pPr>
    </w:p>
    <w:p>
      <w:pPr>
        <w:ind w:right="360" w:firstLine="398"/>
        <w:spacing w:after="0" w:line="274" w:lineRule="auto"/>
        <w:rPr>
          <w:sz w:val="20"/>
          <w:szCs w:val="20"/>
          <w:color w:val="auto"/>
        </w:rPr>
      </w:pPr>
      <w:r>
        <w:rPr>
          <w:rFonts w:ascii="Times New Roman" w:cs="Times New Roman" w:eastAsia="Times New Roman" w:hAnsi="Times New Roman"/>
          <w:sz w:val="18"/>
          <w:szCs w:val="18"/>
          <w:color w:val="auto"/>
        </w:rPr>
        <w:t>At January 31, 2026, our principal sources of liquidity were cash, cash equivalents, and marketable securities totaling $2.97 billion and net accounts receivable of $1.44 billion.</w:t>
      </w:r>
    </w:p>
    <w:p>
      <w:pPr>
        <w:spacing w:after="0" w:line="191"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In May 2025, the Company terminated its previous credit agreement and entered into a new Credit Agreement (the “2025 Credit Agreement”) by and among the Company, the lenders party thereto and Citibank, N.A. (“Citibank”), as administrative agent, which provides for an unsecured revolving loan facility in the aggregate principal amount of $1.5 billion, with an option to be increased up to $2 billion subject to receipt of additional commitments and other customary conditions. The proceeds from the 2025 Credit Agreement are available for working capital and general corporate purposes. At January 31, 2026, Autodesk had no outstanding borrowings under the 2025 Credit Agreement. See Part II, Item 8, Note 8, “Borrowing Arrangements,” in the Notes to Consolidated Financial Statements for further discussion on our covenant requirements and additional information with respect to the 2025 Credit Agreement. If we are unable to remain in compliance with the covenants under the 2025 Credit Agreement, we may not be able to draw on our revolving credit facility. Additionally, as of March 3, 2026, we have no amounts outstanding under the Credit Agreement.</w:t>
      </w:r>
    </w:p>
    <w:p>
      <w:pPr>
        <w:spacing w:after="0" w:line="212" w:lineRule="exact"/>
        <w:rPr>
          <w:sz w:val="20"/>
          <w:szCs w:val="20"/>
          <w:color w:val="auto"/>
        </w:rPr>
      </w:pPr>
    </w:p>
    <w:p>
      <w:pPr>
        <w:ind w:right="140" w:firstLine="398"/>
        <w:spacing w:after="0" w:line="274" w:lineRule="auto"/>
        <w:rPr>
          <w:sz w:val="20"/>
          <w:szCs w:val="20"/>
          <w:color w:val="auto"/>
        </w:rPr>
      </w:pPr>
      <w:r>
        <w:rPr>
          <w:rFonts w:ascii="Times New Roman" w:cs="Times New Roman" w:eastAsia="Times New Roman" w:hAnsi="Times New Roman"/>
          <w:sz w:val="18"/>
          <w:szCs w:val="18"/>
          <w:color w:val="auto"/>
        </w:rPr>
        <w:t>As of January 31, 2026, we had $2.50 billion aggregate principal amount of notes outstanding. See Part II, Item 8, Note 8, “Borrowing Arrangements,” in the Notes to Consolidated Financial Statements for further discussion.</w:t>
      </w:r>
    </w:p>
    <w:p>
      <w:pPr>
        <w:spacing w:after="0" w:line="191"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3" w:lineRule="exact"/>
        <w:rPr>
          <w:sz w:val="20"/>
          <w:szCs w:val="20"/>
          <w:color w:val="auto"/>
        </w:rPr>
      </w:pPr>
    </w:p>
    <w:p>
      <w:pPr>
        <w:ind w:right="20" w:firstLine="398"/>
        <w:spacing w:after="0" w:line="251" w:lineRule="auto"/>
        <w:rPr>
          <w:sz w:val="20"/>
          <w:szCs w:val="20"/>
          <w:color w:val="auto"/>
        </w:rPr>
      </w:pPr>
      <w:r>
        <w:rPr>
          <w:rFonts w:ascii="Times New Roman" w:cs="Times New Roman" w:eastAsia="Times New Roman" w:hAnsi="Times New Roman"/>
          <w:sz w:val="18"/>
          <w:szCs w:val="18"/>
          <w:color w:val="auto"/>
        </w:rPr>
        <w:t>Our cash, cash equivalents, and marketable securities balances are concentrated in a few locations around the world, with substantial amounts held outside of the United States.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right="220" w:firstLine="398"/>
        <w:spacing w:after="0" w:line="255"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 Item 1A,“Risk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from the date of this Annual Report.</w:t>
      </w:r>
    </w:p>
    <w:p>
      <w:pPr>
        <w:spacing w:after="0" w:line="208" w:lineRule="exact"/>
        <w:rPr>
          <w:sz w:val="20"/>
          <w:szCs w:val="20"/>
          <w:color w:val="auto"/>
        </w:rPr>
      </w:pPr>
    </w:p>
    <w:p>
      <w:pPr>
        <w:ind w:right="60" w:firstLine="398"/>
        <w:spacing w:after="0" w:line="259"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7"/>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0" w:type="dxa"/>
            <w:vAlign w:val="bottom"/>
          </w:tcPr>
          <w:p>
            <w:pPr>
              <w:spacing w:after="0"/>
              <w:rPr>
                <w:sz w:val="1"/>
                <w:szCs w:val="1"/>
                <w:color w:val="auto"/>
              </w:rPr>
            </w:pPr>
          </w:p>
        </w:tc>
      </w:tr>
      <w:tr>
        <w:trPr>
          <w:trHeight w:val="24"/>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$2.45 billion for fiscal 2026, primarily consisted of $1.12 billion of our net income adjusted for $1.83 billion non-cash items such as stock-based compensation expense, restructuring, other exit costs, and facility reductions, amortization of costs to obtain a contract with a customer, depreciation, amortization, and accretion expense, and deferred income tax. The decrease in cash provided by working capital was primarily due to a negative change in prepaid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expenses and other assets and a negative change in accounts receivable due to the seasonality of our billings in the fourth fiscal quarter and growth in billings partially offset by a net increase in deferred revenue driven by an increase in product subscriptions and EBA offerings.</w:t>
      </w:r>
    </w:p>
    <w:p>
      <w:pPr>
        <w:spacing w:after="0" w:line="191" w:lineRule="exact"/>
        <w:rPr>
          <w:sz w:val="20"/>
          <w:szCs w:val="20"/>
          <w:color w:val="auto"/>
        </w:rPr>
      </w:pPr>
    </w:p>
    <w:p>
      <w:pPr>
        <w:ind w:firstLine="398"/>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of $1.61 billion for fiscal 2025, primarily consisted of $1.11 billion of our net income adjusted for $953 million non-cash items such as stock-based compensation expense, amortization of costs to obtain a contract with a customer, depreciation, amortization, and accretion expense, and deferred income tax. Net cash provided by working capital remained flat primarily due to an increase in accounts payable and other accrued liabilities due to the timing of payments related to employee compensation and related costs partially offset by a decrease in deferred revenue driven by the transition of multi-year subscription contracts billed upfront to annual billing installments, a change in accounts receivable due to the growth in billings and more billings in the fourth fiscal quarter of the current year as compared to the prior period, and a change in prepaid expenses and other assets.</w:t>
      </w:r>
    </w:p>
    <w:p>
      <w:pPr>
        <w:spacing w:after="0" w:line="198" w:lineRule="exact"/>
        <w:rPr>
          <w:sz w:val="20"/>
          <w:szCs w:val="20"/>
          <w:color w:val="auto"/>
        </w:rPr>
      </w:pPr>
    </w:p>
    <w:p>
      <w:pPr>
        <w:ind w:right="740" w:firstLine="39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$451 million for fiscal 2026 and was primarily due to purchases of marketable securities and strategic investments partially offset by sales and maturities of marketable securities.</w:t>
      </w:r>
    </w:p>
    <w:p>
      <w:pPr>
        <w:spacing w:after="0" w:line="191" w:lineRule="exact"/>
        <w:rPr>
          <w:sz w:val="20"/>
          <w:szCs w:val="20"/>
          <w:color w:val="auto"/>
        </w:rPr>
      </w:pPr>
    </w:p>
    <w:p>
      <w:pPr>
        <w:ind w:right="660" w:firstLine="39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$903 million for fiscal 2025 and was primarily due to business combinations, net of cash acquired, and purchases of marketable securities partially offset by sales and maturities of marketable securities.</w:t>
      </w:r>
    </w:p>
    <w:p>
      <w:pPr>
        <w:spacing w:after="0" w:line="191" w:lineRule="exact"/>
        <w:rPr>
          <w:sz w:val="20"/>
          <w:szCs w:val="20"/>
          <w:color w:val="auto"/>
        </w:rPr>
      </w:pPr>
    </w:p>
    <w:p>
      <w:pPr>
        <w:ind w:right="80" w:firstLine="398"/>
        <w:spacing w:after="0" w:line="274" w:lineRule="auto"/>
        <w:rPr>
          <w:sz w:val="20"/>
          <w:szCs w:val="20"/>
          <w:color w:val="auto"/>
        </w:rPr>
      </w:pPr>
      <w:r>
        <w:rPr>
          <w:rFonts w:ascii="Times New Roman" w:cs="Times New Roman" w:eastAsia="Times New Roman" w:hAnsi="Times New Roman"/>
          <w:sz w:val="18"/>
          <w:szCs w:val="18"/>
          <w:color w:val="auto"/>
        </w:rPr>
        <w:t>Net cash used in financing activities was $1,361 million in fiscal 2026 and was primarily due to repurchases of our common stock and payment of notes payable due in June 2025 partially offset by the proceeds from the issuance of notes payable due in June 2035.</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 was $987 million in fiscal 2025 and was primarily due to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6" w:lineRule="exact"/>
        <w:rPr>
          <w:sz w:val="20"/>
          <w:szCs w:val="20"/>
          <w:color w:val="auto"/>
        </w:rPr>
      </w:pPr>
    </w:p>
    <w:p>
      <w:pPr>
        <w:ind w:right="340" w:firstLine="438"/>
        <w:spacing w:after="0" w:line="265" w:lineRule="auto"/>
        <w:rPr>
          <w:sz w:val="20"/>
          <w:szCs w:val="20"/>
          <w:color w:val="auto"/>
        </w:rPr>
      </w:pPr>
      <w:r>
        <w:rPr>
          <w:rFonts w:ascii="Times New Roman" w:cs="Times New Roman" w:eastAsia="Times New Roman" w:hAnsi="Times New Roman"/>
          <w:sz w:val="18"/>
          <w:szCs w:val="18"/>
          <w:color w:val="auto"/>
        </w:rPr>
        <w:t>The following table summarizes our significant financial contractual obligations at January 31, 2026, and the effect such obligations are expected to have on our liquidity and cash flows in future periods.</w:t>
      </w:r>
    </w:p>
    <w:tbl>
      <w:tblPr>
        <w:tblLayout w:type="fixed"/>
        <w:tblInd w:w="0" w:type="dxa"/>
        <w:tblCellMar>
          <w:top w:w="0" w:type="dxa"/>
          <w:left w:w="0" w:type="dxa"/>
          <w:bottom w:w="0" w:type="dxa"/>
          <w:right w:w="0" w:type="dxa"/>
        </w:tblCellMar>
      </w:tblPr>
      <w:tr>
        <w:trPr>
          <w:trHeight w:val="147"/>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8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2"/>
                <w:szCs w:val="12"/>
                <w:color w:val="auto"/>
              </w:rPr>
            </w:pPr>
          </w:p>
        </w:tc>
        <w:tc>
          <w:tcPr>
            <w:tcW w:w="9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Fiscal years</w:t>
            </w:r>
          </w:p>
        </w:tc>
        <w:tc>
          <w:tcPr>
            <w:tcW w:w="10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Fiscal years</w:t>
            </w:r>
          </w:p>
        </w:tc>
        <w:tc>
          <w:tcPr>
            <w:tcW w:w="120" w:type="dxa"/>
            <w:vAlign w:val="bottom"/>
          </w:tcPr>
          <w:p>
            <w:pPr>
              <w:spacing w:after="0"/>
              <w:rPr>
                <w:sz w:val="12"/>
                <w:szCs w:val="12"/>
                <w:color w:val="auto"/>
              </w:rPr>
            </w:pPr>
          </w:p>
        </w:tc>
        <w:tc>
          <w:tcPr>
            <w:tcW w:w="82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4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1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2030-2031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Notes payable</w:t>
            </w:r>
          </w:p>
        </w:tc>
        <w:tc>
          <w:tcPr>
            <w:tcW w:w="200" w:type="dxa"/>
            <w:vAlign w:val="bottom"/>
            <w:tcBorders>
              <w:top w:val="single" w:sz="8" w:color="auto"/>
            </w:tcBorders>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2,970</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1,637</w:t>
            </w:r>
          </w:p>
        </w:tc>
        <w:tc>
          <w:tcPr>
            <w:tcW w:w="446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Notes payable consist of the notes issued in June 2017, January</w:t>
            </w:r>
          </w:p>
        </w:tc>
        <w:tc>
          <w:tcPr>
            <w:tcW w:w="0" w:type="dxa"/>
            <w:vAlign w:val="bottom"/>
          </w:tcPr>
          <w:p>
            <w:pPr>
              <w:spacing w:after="0"/>
              <w:rPr>
                <w:sz w:val="1"/>
                <w:szCs w:val="1"/>
                <w:color w:val="auto"/>
              </w:rPr>
            </w:pPr>
          </w:p>
        </w:tc>
      </w:tr>
      <w:tr>
        <w:trPr>
          <w:trHeight w:val="146"/>
        </w:trPr>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2020, October 2021, and June 2025 including interest. See Part II,</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Item 8, Note 8, “Borrowing Arrangements,” in the Notes to</w:t>
            </w:r>
          </w:p>
        </w:tc>
        <w:tc>
          <w:tcPr>
            <w:tcW w:w="0" w:type="dxa"/>
            <w:vAlign w:val="bottom"/>
          </w:tcPr>
          <w:p>
            <w:pPr>
              <w:spacing w:after="0"/>
              <w:rPr>
                <w:sz w:val="1"/>
                <w:szCs w:val="1"/>
                <w:color w:val="auto"/>
              </w:rPr>
            </w:pPr>
          </w:p>
        </w:tc>
      </w:tr>
      <w:tr>
        <w:trPr>
          <w:trHeight w:val="212"/>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Financial Statements for further information.</w:t>
            </w:r>
          </w:p>
        </w:tc>
        <w:tc>
          <w:tcPr>
            <w:tcW w:w="0" w:type="dxa"/>
            <w:vAlign w:val="bottom"/>
          </w:tcPr>
          <w:p>
            <w:pPr>
              <w:spacing w:after="0"/>
              <w:rPr>
                <w:sz w:val="1"/>
                <w:szCs w:val="1"/>
                <w:color w:val="auto"/>
              </w:rPr>
            </w:pPr>
          </w:p>
        </w:tc>
      </w:tr>
      <w:tr>
        <w:trPr>
          <w:trHeight w:val="159"/>
        </w:trPr>
        <w:tc>
          <w:tcPr>
            <w:tcW w:w="1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31</w:t>
            </w: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Operating lease obligations consist of obligations for real estate and</w:t>
            </w: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certain equipment. See Part II, Item 8, Note 9, “Leases,” in the Notes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Consolidated Financial Statements for further information.</w:t>
            </w:r>
          </w:p>
        </w:tc>
        <w:tc>
          <w:tcPr>
            <w:tcW w:w="0" w:type="dxa"/>
            <w:vAlign w:val="bottom"/>
          </w:tcPr>
          <w:p>
            <w:pPr>
              <w:spacing w:after="0"/>
              <w:rPr>
                <w:sz w:val="1"/>
                <w:szCs w:val="1"/>
                <w:color w:val="auto"/>
              </w:rPr>
            </w:pPr>
          </w:p>
        </w:tc>
      </w:tr>
      <w:tr>
        <w:trPr>
          <w:trHeight w:val="161"/>
        </w:trPr>
        <w:tc>
          <w:tcPr>
            <w:tcW w:w="18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Purchase obligations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w:t>
            </w:r>
          </w:p>
        </w:tc>
        <w:tc>
          <w:tcPr>
            <w:tcW w:w="44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Purchase obligations are contractual obligations for purchase of</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goods or services and are defined as agreements that are enforceable</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and legally binding to Autodesk and that specify all significant</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terms, including: fixed or minimum quantities to be purchased;</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fixed, minimum, or variable price provisions; and the approximate</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timing of the transaction. Purchase obligations relate primarily to</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acquisition of cloud services, marketing, and commitments related to</w:t>
            </w:r>
          </w:p>
        </w:tc>
        <w:tc>
          <w:tcPr>
            <w:tcW w:w="0" w:type="dxa"/>
            <w:vAlign w:val="bottom"/>
          </w:tcPr>
          <w:p>
            <w:pPr>
              <w:spacing w:after="0"/>
              <w:rPr>
                <w:sz w:val="1"/>
                <w:szCs w:val="1"/>
                <w:color w:val="auto"/>
              </w:rPr>
            </w:pPr>
          </w:p>
        </w:tc>
      </w:tr>
      <w:tr>
        <w:trPr>
          <w:trHeight w:val="212"/>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our investment agreements with limited liability partnership funds.</w:t>
            </w:r>
          </w:p>
        </w:tc>
        <w:tc>
          <w:tcPr>
            <w:tcW w:w="0" w:type="dxa"/>
            <w:vAlign w:val="bottom"/>
          </w:tcPr>
          <w:p>
            <w:pPr>
              <w:spacing w:after="0"/>
              <w:rPr>
                <w:sz w:val="1"/>
                <w:szCs w:val="1"/>
                <w:color w:val="auto"/>
              </w:rPr>
            </w:pPr>
          </w:p>
        </w:tc>
      </w:tr>
      <w:tr>
        <w:trPr>
          <w:trHeight w:val="159"/>
        </w:trPr>
        <w:tc>
          <w:tcPr>
            <w:tcW w:w="1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Deferred compensation</w:t>
            </w:r>
          </w:p>
        </w:tc>
        <w:tc>
          <w:tcPr>
            <w:tcW w:w="2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65</w:t>
            </w: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Deferred compensation obligations relate to amounts held in a rabbi</w:t>
            </w:r>
          </w:p>
        </w:tc>
        <w:tc>
          <w:tcPr>
            <w:tcW w:w="0" w:type="dxa"/>
            <w:vAlign w:val="bottom"/>
          </w:tcPr>
          <w:p>
            <w:pPr>
              <w:spacing w:after="0"/>
              <w:rPr>
                <w:sz w:val="1"/>
                <w:szCs w:val="1"/>
                <w:color w:val="auto"/>
              </w:rPr>
            </w:pPr>
          </w:p>
        </w:tc>
      </w:tr>
      <w:tr>
        <w:trPr>
          <w:trHeight w:val="159"/>
        </w:trPr>
        <w:tc>
          <w:tcPr>
            <w:tcW w:w="1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obligations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trust under our non-qualified deferred compensation plan. See Part</w:t>
            </w: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II, Item 8, Note 3, “Financial Instruments,” in our Notes to</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Financial Statements for further information.</w:t>
            </w:r>
          </w:p>
        </w:tc>
        <w:tc>
          <w:tcPr>
            <w:tcW w:w="0" w:type="dxa"/>
            <w:vAlign w:val="bottom"/>
          </w:tcPr>
          <w:p>
            <w:pPr>
              <w:spacing w:after="0"/>
              <w:rPr>
                <w:sz w:val="1"/>
                <w:szCs w:val="1"/>
                <w:color w:val="auto"/>
              </w:rPr>
            </w:pPr>
          </w:p>
        </w:tc>
      </w:tr>
      <w:tr>
        <w:trPr>
          <w:trHeight w:val="161"/>
        </w:trPr>
        <w:tc>
          <w:tcPr>
            <w:tcW w:w="18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Pension obligations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25</w:t>
            </w:r>
          </w:p>
        </w:tc>
        <w:tc>
          <w:tcPr>
            <w:tcW w:w="44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Pension obligations relate to our obligations for pension plans</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outside of the United States. See Part II, Item 8, Note 18,</w:t>
            </w:r>
          </w:p>
        </w:tc>
        <w:tc>
          <w:tcPr>
            <w:tcW w:w="0" w:type="dxa"/>
            <w:vAlign w:val="bottom"/>
          </w:tcPr>
          <w:p>
            <w:pPr>
              <w:spacing w:after="0"/>
              <w:rPr>
                <w:sz w:val="1"/>
                <w:szCs w:val="1"/>
                <w:color w:val="auto"/>
              </w:rPr>
            </w:pPr>
          </w:p>
        </w:tc>
      </w:tr>
      <w:tr>
        <w:trPr>
          <w:trHeight w:val="159"/>
        </w:trPr>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“Retirement Benefit Plans,” in our Notes to Consolidated Financial</w:t>
            </w:r>
          </w:p>
        </w:tc>
        <w:tc>
          <w:tcPr>
            <w:tcW w:w="0" w:type="dxa"/>
            <w:vAlign w:val="bottom"/>
          </w:tcPr>
          <w:p>
            <w:pPr>
              <w:spacing w:after="0"/>
              <w:rPr>
                <w:sz w:val="1"/>
                <w:szCs w:val="1"/>
                <w:color w:val="auto"/>
              </w:rPr>
            </w:pPr>
          </w:p>
        </w:tc>
      </w:tr>
      <w:tr>
        <w:trPr>
          <w:trHeight w:val="212"/>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Statements for further information.</w:t>
            </w:r>
          </w:p>
        </w:tc>
        <w:tc>
          <w:tcPr>
            <w:tcW w:w="0" w:type="dxa"/>
            <w:vAlign w:val="bottom"/>
          </w:tcPr>
          <w:p>
            <w:pPr>
              <w:spacing w:after="0"/>
              <w:rPr>
                <w:sz w:val="1"/>
                <w:szCs w:val="1"/>
                <w:color w:val="auto"/>
              </w:rPr>
            </w:pPr>
          </w:p>
        </w:tc>
      </w:tr>
      <w:tr>
        <w:trPr>
          <w:trHeight w:val="159"/>
        </w:trPr>
        <w:tc>
          <w:tcPr>
            <w:tcW w:w="1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Asset retirement</w:t>
            </w:r>
          </w:p>
        </w:tc>
        <w:tc>
          <w:tcPr>
            <w:tcW w:w="2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w:t>
            </w: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Asset retirement obligations represent the estimated costs to restore</w:t>
            </w:r>
          </w:p>
        </w:tc>
        <w:tc>
          <w:tcPr>
            <w:tcW w:w="0" w:type="dxa"/>
            <w:vAlign w:val="bottom"/>
          </w:tcPr>
          <w:p>
            <w:pPr>
              <w:spacing w:after="0"/>
              <w:rPr>
                <w:sz w:val="1"/>
                <w:szCs w:val="1"/>
                <w:color w:val="auto"/>
              </w:rPr>
            </w:pPr>
          </w:p>
        </w:tc>
      </w:tr>
      <w:tr>
        <w:trPr>
          <w:trHeight w:val="159"/>
        </w:trPr>
        <w:tc>
          <w:tcPr>
            <w:tcW w:w="18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obligations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certain office buildings that we lease back to their original condition</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after the termination of the lease.</w:t>
            </w:r>
          </w:p>
        </w:tc>
        <w:tc>
          <w:tcPr>
            <w:tcW w:w="0" w:type="dxa"/>
            <w:vAlign w:val="bottom"/>
          </w:tcPr>
          <w:p>
            <w:pPr>
              <w:spacing w:after="0"/>
              <w:rPr>
                <w:sz w:val="1"/>
                <w:szCs w:val="1"/>
                <w:color w:val="auto"/>
              </w:rPr>
            </w:pPr>
          </w:p>
        </w:tc>
      </w:tr>
      <w:tr>
        <w:trPr>
          <w:trHeight w:val="231"/>
        </w:trPr>
        <w:tc>
          <w:tcPr>
            <w:tcW w:w="1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(1)</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44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right="180" w:hanging="394"/>
        <w:spacing w:after="0" w:line="248" w:lineRule="auto"/>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generally excludes amounts already recorded on the balance sheet as current liabilities, certain purchase obligations as discussed below, long term deferred revenue, and amounts related to income tax accruals for uncertain tax positions, since we cannot predict with reasonable reliability the timing of cash settlements to the respective taxing authorities (see Part II, Item 8, Note 5, “Income Taxes” in the Notes to Consolidated Financial Statements).</w:t>
      </w:r>
    </w:p>
    <w:p>
      <w:pPr>
        <w:spacing w:after="0" w:line="220" w:lineRule="exact"/>
        <w:rPr>
          <w:sz w:val="20"/>
          <w:szCs w:val="20"/>
          <w:color w:val="auto"/>
        </w:rPr>
      </w:pPr>
    </w:p>
    <w:p>
      <w:pPr>
        <w:ind w:right="160" w:firstLine="398"/>
        <w:spacing w:after="0" w:line="251" w:lineRule="auto"/>
        <w:rPr>
          <w:sz w:val="20"/>
          <w:szCs w:val="20"/>
          <w:color w:val="auto"/>
        </w:rPr>
      </w:pPr>
      <w:r>
        <w:rPr>
          <w:rFonts w:ascii="Times New Roman" w:cs="Times New Roman" w:eastAsia="Times New Roman" w:hAnsi="Times New Roman"/>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213" w:lineRule="exact"/>
        <w:rPr>
          <w:sz w:val="20"/>
          <w:szCs w:val="20"/>
          <w:color w:val="auto"/>
        </w:rPr>
      </w:pPr>
    </w:p>
    <w:p>
      <w:pPr>
        <w:ind w:right="160" w:firstLine="398"/>
        <w:spacing w:after="0" w:line="274" w:lineRule="auto"/>
        <w:rPr>
          <w:sz w:val="20"/>
          <w:szCs w:val="20"/>
          <w:color w:val="auto"/>
        </w:rPr>
      </w:pPr>
      <w:r>
        <w:rPr>
          <w:rFonts w:ascii="Times New Roman" w:cs="Times New Roman" w:eastAsia="Times New Roman" w:hAnsi="Times New Roman"/>
          <w:sz w:val="18"/>
          <w:szCs w:val="18"/>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91" w:lineRule="exact"/>
        <w:rPr>
          <w:sz w:val="20"/>
          <w:szCs w:val="20"/>
          <w:color w:val="auto"/>
        </w:rPr>
      </w:pPr>
    </w:p>
    <w:p>
      <w:pPr>
        <w:ind w:right="420" w:firstLine="398"/>
        <w:spacing w:after="0" w:line="260" w:lineRule="auto"/>
        <w:rPr>
          <w:sz w:val="20"/>
          <w:szCs w:val="20"/>
          <w:color w:val="auto"/>
        </w:rPr>
      </w:pPr>
      <w:r>
        <w:rPr>
          <w:rFonts w:ascii="Times New Roman" w:cs="Times New Roman" w:eastAsia="Times New Roman" w:hAnsi="Times New Roman"/>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6"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Our stock repurchase programs provide us with the ability to offset the dilution from the issuance of stock under our employee stock plans and reduce shares outstanding over time and has the effect of returning excess cash generated from our business to stockholders. Under the share repurchase programs, we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213" w:lineRule="exact"/>
        <w:rPr>
          <w:sz w:val="20"/>
          <w:szCs w:val="20"/>
          <w:color w:val="auto"/>
        </w:rPr>
      </w:pPr>
    </w:p>
    <w:p>
      <w:pPr>
        <w:ind w:right="140" w:firstLine="398"/>
        <w:spacing w:after="0" w:line="255" w:lineRule="auto"/>
        <w:rPr>
          <w:sz w:val="20"/>
          <w:szCs w:val="20"/>
          <w:color w:val="auto"/>
        </w:rPr>
      </w:pPr>
      <w:r>
        <w:rPr>
          <w:rFonts w:ascii="Times New Roman" w:cs="Times New Roman" w:eastAsia="Times New Roman" w:hAnsi="Times New Roman"/>
          <w:sz w:val="18"/>
          <w:szCs w:val="18"/>
          <w:color w:val="auto"/>
        </w:rPr>
        <w:t>During the three and 12 months ended January 31, 2026, we repurchased 2 million and 5 million shares of our common stock, respectively. At January 31, 2026, $2.48 billion and $5 billion remained available for repurchase under the November 2022 and November 2024 repurchase programs approved by the Board of Directors. The plans do not have a fixed expiration dat</w:t>
      </w:r>
      <w:r>
        <w:rPr>
          <w:rFonts w:ascii="Times New Roman" w:cs="Times New Roman" w:eastAsia="Times New Roman" w:hAnsi="Times New Roman"/>
          <w:sz w:val="15"/>
          <w:szCs w:val="15"/>
          <w:color w:val="auto"/>
        </w:rPr>
        <w:t>e.</w:t>
      </w:r>
      <w:r>
        <w:rPr>
          <w:rFonts w:ascii="Times New Roman" w:cs="Times New Roman" w:eastAsia="Times New Roman" w:hAnsi="Times New Roman"/>
          <w:sz w:val="18"/>
          <w:szCs w:val="18"/>
          <w:color w:val="auto"/>
        </w:rPr>
        <w:t xml:space="preserve"> See Part II, Item 8, Note 13, “Stock Repurchase Program,”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6"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2026 and 2025, we had open cash flow and balance sheet hedge contracts with future settlements generally within one to 12 months. Contracts were primarily denominated in Australian dollars, British pounds, Euros, Japanese yen, and Singapore dollars. We do not enter into foreign exchange derivative instruments for trading or speculative purposes.</w:t>
      </w:r>
    </w:p>
    <w:p>
      <w:pPr>
        <w:spacing w:after="0" w:line="215" w:lineRule="exact"/>
        <w:rPr>
          <w:sz w:val="20"/>
          <w:szCs w:val="20"/>
          <w:color w:val="auto"/>
        </w:rPr>
      </w:pPr>
    </w:p>
    <w:p>
      <w:pPr>
        <w:ind w:right="40" w:firstLine="398"/>
        <w:spacing w:after="0" w:line="265"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6"/>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9"/>
                <w:szCs w:val="19"/>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6"/>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Contracts: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2"/>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tcPr>
          <w:p>
            <w:pPr>
              <w:spacing w:after="0"/>
              <w:rPr>
                <w:sz w:val="20"/>
                <w:szCs w:val="20"/>
                <w:color w:val="auto"/>
              </w:rPr>
            </w:pPr>
          </w:p>
        </w:tc>
        <w:tc>
          <w:tcPr>
            <w:tcW w:w="13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307"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sensitivity analysis performed on our hedging portfolio as of January 31, 2026, indicated that a hypothetical 10% appreciation of the U.S. dollar from its value at January 31, 2026 and 2025, would increase the fair value of our foreign currency contracts by $159 million and $209 million, respectively. A hypothetical 10% depreciation of the dollar from its value at January 31, 2026 and 2025, would decrease the fair value of our foreign currency contracts by $158 million and $116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 term securities. At January 31, 2026, we had $2.15 billion of cash equivalents and marketable securities, including $348 million classified as short-term marketable securities and $376 million classified as long-term marketable securities. If interest rates were to move up by 50 or 100 basis points over a 12-month period, the market value change of these securities would not have a material impact on our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6" w:lineRule="exact"/>
        <w:rPr>
          <w:sz w:val="20"/>
          <w:szCs w:val="20"/>
          <w:color w:val="auto"/>
        </w:rPr>
      </w:pPr>
    </w:p>
    <w:p>
      <w:pPr>
        <w:ind w:right="100" w:firstLine="398"/>
        <w:spacing w:after="0" w:line="251"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these strategic investments.</w:t>
      </w:r>
    </w:p>
    <w:p>
      <w:pPr>
        <w:spacing w:after="0" w:line="213" w:lineRule="exact"/>
        <w:rPr>
          <w:sz w:val="20"/>
          <w:szCs w:val="20"/>
          <w:color w:val="auto"/>
        </w:rPr>
      </w:pPr>
    </w:p>
    <w:p>
      <w:pPr>
        <w:ind w:right="340" w:firstLine="398"/>
        <w:spacing w:after="0" w:line="274" w:lineRule="auto"/>
        <w:rPr>
          <w:sz w:val="20"/>
          <w:szCs w:val="20"/>
          <w:color w:val="auto"/>
        </w:rPr>
      </w:pPr>
      <w:r>
        <w:rPr>
          <w:rFonts w:ascii="Times New Roman" w:cs="Times New Roman" w:eastAsia="Times New Roman" w:hAnsi="Times New Roman"/>
          <w:sz w:val="18"/>
          <w:szCs w:val="18"/>
          <w:color w:val="auto"/>
        </w:rPr>
        <w:t>For information about exposure to counter-party credit-related losses, see Part II, Item 8, Note 1, “Business and Summary of Significant Accounting Policies -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0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5,116</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5,497</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1,823</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1,373</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3,858</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0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7"/>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4"/>
        </w:trPr>
        <w:tc>
          <w:tcPr>
            <w:tcW w:w="8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8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10"/>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reclassifications: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gain on derivative instruments (net of tax effect of $5, $2, and $6)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net unrealized gain on available-for-sale securities (net of tax effect of zero for all periods presented)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defined benefit pension items (net of tax effect of zero, zero, and $1)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change in cumulative foreign currency translation gain (loss) (net of tax effect of $(1), $(1), and $4)</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6"/>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gain (loss)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240" w:type="dxa"/>
            <w:vAlign w:val="bottom"/>
            <w:vMerge w:val="restart"/>
          </w:tcPr>
          <w:p>
            <w:pPr>
              <w:ind w:left="38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3,482</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10,833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24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3,787</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$0.01 par value; shares authorized 2; none issued or outstanding at January 31, 2026 and 2025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24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Common stock and additional paid-in capital, $0.01 par value; shares authorized 750; 212 and 214 issued and outstanding</w:t>
            </w: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4,239</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at January 31, 2026 and 2025, respectively.</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10,833</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(In millions)</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Restructuring-related asset impairments</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19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strategic investments (1)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19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debt, net of discount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0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fiscal year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fiscal year</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Supplemental cash flow disclosure: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income taxes, net of tax refunds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62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stock units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firstLine="6"/>
        <w:spacing w:after="0" w:line="253" w:lineRule="auto"/>
        <w:tabs>
          <w:tab w:leader="none" w:pos="2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strategic investments” were previously presented in “Other investing activities”. Prior period amounts have been reclassified to conform to the current period presentation. This presentation change did not have any impact to “Net cash used in investing activities”.</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5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2"/>
        </w:trPr>
        <w:tc>
          <w:tcPr>
            <w:tcW w:w="47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2"/>
        </w:trPr>
        <w:tc>
          <w:tcPr>
            <w:tcW w:w="474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2"/>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0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3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2026</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9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January 31, 2026</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(Tables in millions of dollars, except per share data, unless otherwise indicated)</w:t>
      </w:r>
    </w:p>
    <w:p>
      <w:pPr>
        <w:spacing w:after="0" w:line="223" w:lineRule="exact"/>
        <w:rPr>
          <w:sz w:val="20"/>
          <w:szCs w:val="20"/>
          <w:color w:val="auto"/>
        </w:rPr>
      </w:pPr>
    </w:p>
    <w:p>
      <w:pPr>
        <w:ind w:right="6480" w:firstLine="6"/>
        <w:spacing w:after="0" w:line="276" w:lineRule="auto"/>
        <w:tabs>
          <w:tab w:leader="none" w:pos="35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and Summary of Significant Accounting Policies </w:t>
      </w:r>
      <w:r>
        <w:rPr>
          <w:rFonts w:ascii="Times New Roman" w:cs="Times New Roman" w:eastAsia="Times New Roman" w:hAnsi="Times New Roman"/>
          <w:sz w:val="18"/>
          <w:szCs w:val="18"/>
          <w:i w:val="1"/>
          <w:iCs w:val="1"/>
          <w:u w:val="single" w:color="auto"/>
          <w:color w:val="auto"/>
        </w:rPr>
        <w:t>Business</w:t>
      </w:r>
    </w:p>
    <w:p>
      <w:pPr>
        <w:spacing w:after="0" w:line="189" w:lineRule="exact"/>
        <w:rPr>
          <w:sz w:val="20"/>
          <w:szCs w:val="20"/>
          <w:color w:val="auto"/>
        </w:rPr>
      </w:pPr>
    </w:p>
    <w:p>
      <w:pPr>
        <w:ind w:right="20" w:firstLine="438"/>
        <w:spacing w:after="0" w:line="251" w:lineRule="auto"/>
        <w:rPr>
          <w:sz w:val="20"/>
          <w:szCs w:val="20"/>
          <w:color w:val="auto"/>
        </w:rPr>
      </w:pPr>
      <w:r>
        <w:rPr>
          <w:rFonts w:ascii="Times New Roman" w:cs="Times New Roman" w:eastAsia="Times New Roman" w:hAnsi="Times New Roman"/>
          <w:sz w:val="18"/>
          <w:szCs w:val="18"/>
          <w:color w:val="auto"/>
        </w:rPr>
        <w:t>Autodesk, Inc. (“Autodesk” or the “Company”) is a global leader in 3D design, engineering and entertainment technology solutions, spanning architecture, engineering, construction, product design, manufacturing, media, and entertainment. The Company’s sophisticated software products, offered through a hybrid of desktop and cloud functionality, enable its customers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Autodesk software products are sold globally through a combination of direct and indirect channels.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46" w:lineRule="exact"/>
        <w:rPr>
          <w:sz w:val="20"/>
          <w:szCs w:val="20"/>
          <w:color w:val="auto"/>
        </w:rPr>
      </w:pPr>
    </w:p>
    <w:p>
      <w:pPr>
        <w:ind w:right="200" w:firstLine="398"/>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Autodesk and its wholly owned subsidiaries. All intercompany accounts and transactions have been eliminated.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46" w:lineRule="exact"/>
        <w:rPr>
          <w:sz w:val="20"/>
          <w:szCs w:val="20"/>
          <w:color w:val="auto"/>
        </w:rPr>
      </w:pPr>
    </w:p>
    <w:p>
      <w:pPr>
        <w:ind w:right="200" w:firstLine="39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208"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Examples of significant estimates and assumptions made by management involve revenue recognition for product subscriptions and enterprise business arrangements (“EBAs”), the determination of the fair value of acquired intangible assets and goodwill, and the realizability of deferred tax assets. The Company also makes assumptions, judgments, and estimates in determining the accruals for uncertain tax positions, variable compensation, partner incentive programs, loss contingencies, and operating lease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46"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7"/>
          <w:szCs w:val="17"/>
          <w:color w:val="auto"/>
        </w:rPr>
        <w:t>Autodesk’s revenue is divided into three categories: subscription revenue, maintenance revenue, and other revenue. Subscription revenue consists of our term-based product subscriptions, cloud service offerings, and flexible enterprise business agreements (“EBAs”). Maintenance revenue consists of renewal fees for existing agreements. Other revenue consists of revenue from consulting and other products and services. Revenue is recognized when control for these offerings is transferred to our customers, in an amount that reflects the consideration we expect to be entitled to in exchange for products and services.</w:t>
      </w:r>
    </w:p>
    <w:p>
      <w:pPr>
        <w:spacing w:after="0" w:line="192" w:lineRule="exact"/>
        <w:rPr>
          <w:sz w:val="20"/>
          <w:szCs w:val="20"/>
          <w:color w:val="auto"/>
        </w:rPr>
      </w:pPr>
    </w:p>
    <w:p>
      <w:pPr>
        <w:ind w:right="120" w:firstLine="398"/>
        <w:spacing w:after="0" w:line="251" w:lineRule="auto"/>
        <w:rPr>
          <w:sz w:val="20"/>
          <w:szCs w:val="20"/>
          <w:color w:val="auto"/>
        </w:rPr>
      </w:pPr>
      <w:r>
        <w:rPr>
          <w:rFonts w:ascii="Times New Roman" w:cs="Times New Roman" w:eastAsia="Times New Roman" w:hAnsi="Times New Roman"/>
          <w:sz w:val="18"/>
          <w:szCs w:val="18"/>
          <w:color w:val="auto"/>
        </w:rPr>
        <w:t>Autodesk’s contracts with customers may include promises to transfer multiple products and services to a customer. Determining whether the products and services are considered distinct performance obligations that should be accounted for separately or as a single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213" w:lineRule="exact"/>
        <w:rPr>
          <w:sz w:val="20"/>
          <w:szCs w:val="20"/>
          <w:color w:val="auto"/>
        </w:rPr>
      </w:pPr>
    </w:p>
    <w:p>
      <w:pPr>
        <w:ind w:right="320" w:firstLine="398"/>
        <w:spacing w:after="0" w:line="255" w:lineRule="auto"/>
        <w:rPr>
          <w:sz w:val="20"/>
          <w:szCs w:val="20"/>
          <w:color w:val="auto"/>
        </w:rPr>
      </w:pPr>
      <w:r>
        <w:rPr>
          <w:rFonts w:ascii="Times New Roman" w:cs="Times New Roman" w:eastAsia="Times New Roman" w:hAnsi="Times New Roman"/>
          <w:sz w:val="18"/>
          <w:szCs w:val="18"/>
          <w:color w:val="auto"/>
        </w:rPr>
        <w:t>For product subscriptions and flexible EBA subscriptions in which the desktop software and related cloud functionalities are highly interrelated, the single performance obligation is recognized ratably over the contract term as the subscription is delivered. For subscriptions involving distinct desktop software licenses, the license performance obligation is satisfied when delivered to our customers. For standalone maintenance subscriptions and cloud subscriptions, the performance obligation is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satisfied ratably over the contract term as those services are delivered. For consulting services and Flex, the performance obligation is satisfied over a period of time as those services are delivered.</w:t>
      </w:r>
    </w:p>
    <w:p>
      <w:pPr>
        <w:spacing w:after="0" w:line="191" w:lineRule="exact"/>
        <w:rPr>
          <w:sz w:val="20"/>
          <w:szCs w:val="20"/>
          <w:color w:val="auto"/>
        </w:rPr>
      </w:pPr>
    </w:p>
    <w:p>
      <w:pPr>
        <w:ind w:right="80" w:firstLine="398"/>
        <w:spacing w:after="0" w:line="274"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91" w:lineRule="exact"/>
        <w:rPr>
          <w:sz w:val="20"/>
          <w:szCs w:val="20"/>
          <w:color w:val="auto"/>
        </w:rPr>
      </w:pPr>
    </w:p>
    <w:p>
      <w:pPr>
        <w:ind w:right="60" w:firstLine="398"/>
        <w:spacing w:after="0" w:line="255" w:lineRule="auto"/>
        <w:rPr>
          <w:sz w:val="20"/>
          <w:szCs w:val="20"/>
          <w:color w:val="auto"/>
        </w:rPr>
      </w:pPr>
      <w:r>
        <w:rPr>
          <w:rFonts w:ascii="Times New Roman" w:cs="Times New Roman" w:eastAsia="Times New Roman" w:hAnsi="Times New Roman"/>
          <w:sz w:val="18"/>
          <w:szCs w:val="18"/>
          <w:color w:val="auto"/>
        </w:rPr>
        <w:t>For contracts with more than one performance obligation, the transaction price is allocated among the performance obligations in an amount that depicts the relative standalone selling price (“SSP”) of each obligation. We establish SSP for most of our products and services based on observable prices when sold separately in similar circumstances or to similar customers. When products or services are not sold separately, we establish SSP based on other observable inputs.</w:t>
      </w:r>
    </w:p>
    <w:p>
      <w:pPr>
        <w:spacing w:after="0" w:line="208" w:lineRule="exact"/>
        <w:rPr>
          <w:sz w:val="20"/>
          <w:szCs w:val="20"/>
          <w:color w:val="auto"/>
        </w:rPr>
      </w:pPr>
    </w:p>
    <w:p>
      <w:pPr>
        <w:ind w:right="100" w:firstLine="438"/>
        <w:spacing w:after="0" w:line="260" w:lineRule="auto"/>
        <w:rPr>
          <w:sz w:val="20"/>
          <w:szCs w:val="20"/>
          <w:color w:val="auto"/>
        </w:rPr>
      </w:pPr>
      <w:r>
        <w:rPr>
          <w:rFonts w:ascii="Times New Roman" w:cs="Times New Roman" w:eastAsia="Times New Roman" w:hAnsi="Times New Roman"/>
          <w:sz w:val="18"/>
          <w:szCs w:val="18"/>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Costs to Obtain a Contract with a Customer</w:t>
      </w:r>
    </w:p>
    <w:p>
      <w:pPr>
        <w:spacing w:after="0" w:line="246"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8"/>
          <w:szCs w:val="18"/>
          <w:color w:val="auto"/>
        </w:rPr>
        <w:t>Sales commissions earned by our internal sales personnel and our solution providers are considered incremental and recoverable costs of obtaining a contract with a customer. The commission costs are capitalized and included in “Prepaid expenses and other current assets” and “Long-term other assets” on our Consolidated Balance Sheets. The liabilities associated with the commission costs are included in “Accounts payable”, “Accrued compensation”, and “Long-term other liabilities,” in the accompanying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solution providers that are related to contract renewals may either be commensurate or non-commensurate with commissions earned on the initial contract, depending on the commissions program. Costs for initial contracts that are non-commensurate with commissions on renewal contracts are amortized on a straight-line basis over the period of benefit. For non-commensurate commissions, we determined the estimated period of benefit by taking into consideration customer retention data, customer contracts, our technology, and other factors. Costs for initial contracts that are commensurate with commissions on renewal contracts are amortized based on the contract term, which ranges from 1 to 3 years. Deferred costs are periodically reviewed for impairment. Amortization expense is included in marketing and sales expenses in the Consolidated Statements of Operations.</w:t>
      </w:r>
    </w:p>
    <w:p>
      <w:pPr>
        <w:spacing w:after="0" w:line="219" w:lineRule="exact"/>
        <w:rPr>
          <w:sz w:val="20"/>
          <w:szCs w:val="20"/>
          <w:color w:val="auto"/>
        </w:rPr>
      </w:pPr>
    </w:p>
    <w:p>
      <w:pPr>
        <w:ind w:right="100" w:firstLine="398"/>
        <w:spacing w:after="0" w:line="253" w:lineRule="auto"/>
        <w:rPr>
          <w:sz w:val="20"/>
          <w:szCs w:val="20"/>
          <w:color w:val="auto"/>
        </w:rPr>
      </w:pPr>
      <w:r>
        <w:rPr>
          <w:rFonts w:ascii="Times New Roman" w:cs="Times New Roman" w:eastAsia="Times New Roman" w:hAnsi="Times New Roman"/>
          <w:sz w:val="18"/>
          <w:szCs w:val="18"/>
          <w:color w:val="auto"/>
        </w:rPr>
        <w:t>The ending balance of assets recognized from costs to obtain a contract with a customer was $913 million and $467 million as of January 31, 2026 and January 31, 2025, respectively. The liabilities associated with the commission costs were $550 million and $282 million as of January 31, 2026, and January 31, 2025, respectively. Amortization expense related to assets recognized from costs to obtain a contract with a customer was $536 million, $212 million, and $140 million during fiscal years ended January 31, 2026, 2025, and 2024, respectively. Autodesk did not recognize any contract cost impairment losses during the fiscal years ended January 31, 2026, 2025, or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Measurement</w:t>
      </w:r>
    </w:p>
    <w:p>
      <w:pPr>
        <w:spacing w:after="0" w:line="246"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recurring basis, including marketable securities and derivative instruments. Fair value is defined under ASC 820 as the price that would be received to sell an asset or paid to transfer a liability in an orderly transaction between market participants. We use a three-level hierarchy to prioritize the inputs used in measuring fair value. Level 1 inputs are quoted prices in active markets for identical assets or liabilities. Level 2 inputs are observable inputs other than quoted prices, such as interest rates and yield curves. Level 3 inputs are unobservable and reflect our own assumptions.</w:t>
      </w:r>
    </w:p>
    <w:p>
      <w:pPr>
        <w:spacing w:after="0" w:line="209"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color w:val="auto"/>
        </w:rPr>
        <w:t>Autodesk’s Level 2 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We did not have any material Level 3 instruments as of the reporting date. Key inputs for currency derivatives are spot rates, forward rates, interest rates, volatility,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and credit default rates. The spot rate for each currency is the same spot rate used for all balance sheet translations at the measurement date. Autodesk reviews for any potential changes on a quarterly basis. See Note 3, “Financial Instruments” for more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46" w:lineRule="exact"/>
        <w:rPr>
          <w:sz w:val="20"/>
          <w:szCs w:val="20"/>
          <w:color w:val="auto"/>
        </w:rPr>
      </w:pPr>
    </w:p>
    <w:p>
      <w:pPr>
        <w:ind w:right="480" w:firstLine="398"/>
        <w:spacing w:after="0" w:line="274" w:lineRule="auto"/>
        <w:rPr>
          <w:sz w:val="20"/>
          <w:szCs w:val="20"/>
          <w:color w:val="auto"/>
        </w:rPr>
      </w:pPr>
      <w:r>
        <w:rPr>
          <w:rFonts w:ascii="Times New Roman" w:cs="Times New Roman" w:eastAsia="Times New Roman" w:hAnsi="Times New Roman"/>
          <w:sz w:val="18"/>
          <w:szCs w:val="18"/>
          <w:color w:val="auto"/>
        </w:rPr>
        <w:t>Autodesk considers all highly liquid investments with insignificant interest rate risk and remaining maturities of three months or less at the date of purchase to be cash equivalents. Cash equivalents are stated at estimated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Marketable Securities and Strategic Investments</w:t>
      </w:r>
    </w:p>
    <w:p>
      <w:pPr>
        <w:spacing w:after="0" w:line="246" w:lineRule="exact"/>
        <w:rPr>
          <w:sz w:val="20"/>
          <w:szCs w:val="20"/>
          <w:color w:val="auto"/>
        </w:rPr>
      </w:pPr>
    </w:p>
    <w:p>
      <w:pPr>
        <w:ind w:right="40" w:firstLine="398"/>
        <w:spacing w:after="0" w:line="275" w:lineRule="auto"/>
        <w:rPr>
          <w:sz w:val="20"/>
          <w:szCs w:val="20"/>
          <w:color w:val="auto"/>
        </w:rPr>
      </w:pPr>
      <w:r>
        <w:rPr>
          <w:rFonts w:ascii="Times New Roman" w:cs="Times New Roman" w:eastAsia="Times New Roman" w:hAnsi="Times New Roman"/>
          <w:sz w:val="17"/>
          <w:szCs w:val="17"/>
          <w:color w:val="auto"/>
        </w:rPr>
        <w:t>Autodesk classifies its marketable securities as either short-term or long-term generally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 Marketable securities maturing within one year that are not restricted are classified as current assets.</w:t>
      </w:r>
    </w:p>
    <w:p>
      <w:pPr>
        <w:spacing w:after="0" w:line="192" w:lineRule="exact"/>
        <w:rPr>
          <w:sz w:val="20"/>
          <w:szCs w:val="20"/>
          <w:color w:val="auto"/>
        </w:rPr>
      </w:pPr>
    </w:p>
    <w:p>
      <w:pPr>
        <w:jc w:val="both"/>
        <w:ind w:right="360" w:firstLine="398"/>
        <w:spacing w:after="0" w:line="275" w:lineRule="auto"/>
        <w:rPr>
          <w:sz w:val="20"/>
          <w:szCs w:val="20"/>
          <w:color w:val="auto"/>
        </w:rPr>
      </w:pPr>
      <w:r>
        <w:rPr>
          <w:rFonts w:ascii="Times New Roman" w:cs="Times New Roman" w:eastAsia="Times New Roman" w:hAnsi="Times New Roman"/>
          <w:sz w:val="17"/>
          <w:szCs w:val="17"/>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92"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The Company's strategic investments consist of privately held debt and equity securities. Under the measurement alternative method, strategic investments in equity securities are measured at cost, less any impairments, plus or minus changes resulting from observable price changes in orderly transactions for the identical or similar investment of the same issuer in the current period. The company’s strategic investments in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In addition, the determination of whether an orderly transaction is for a same or similar investment requires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212" w:lineRule="exact"/>
        <w:rPr>
          <w:sz w:val="20"/>
          <w:szCs w:val="20"/>
          <w:color w:val="auto"/>
        </w:rPr>
      </w:pPr>
    </w:p>
    <w:p>
      <w:pPr>
        <w:ind w:firstLine="398"/>
        <w:spacing w:after="0" w:line="266" w:lineRule="auto"/>
        <w:rPr>
          <w:sz w:val="20"/>
          <w:szCs w:val="20"/>
          <w:color w:val="auto"/>
        </w:rPr>
      </w:pPr>
      <w:r>
        <w:rPr>
          <w:rFonts w:ascii="Times New Roman" w:cs="Times New Roman" w:eastAsia="Times New Roman" w:hAnsi="Times New Roman"/>
          <w:sz w:val="17"/>
          <w:szCs w:val="17"/>
          <w:color w:val="auto"/>
        </w:rPr>
        <w:t>All of Autodesk’s marketable securities and strategic investments are subject to a periodic impairment review. Strategic investments in equity securities are assessed based on available information such as current cash positions, earnings,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spacing w:after="0" w:line="199" w:lineRule="exact"/>
        <w:rPr>
          <w:sz w:val="20"/>
          <w:szCs w:val="20"/>
          <w:color w:val="auto"/>
        </w:rPr>
      </w:pPr>
    </w:p>
    <w:p>
      <w:pPr>
        <w:ind w:right="140" w:firstLine="398"/>
        <w:spacing w:after="0" w:line="255" w:lineRule="auto"/>
        <w:rPr>
          <w:sz w:val="20"/>
          <w:szCs w:val="20"/>
          <w:color w:val="auto"/>
        </w:rPr>
      </w:pPr>
      <w:r>
        <w:rPr>
          <w:rFonts w:ascii="Times New Roman" w:cs="Times New Roman" w:eastAsia="Times New Roman" w:hAnsi="Times New Roman"/>
          <w:sz w:val="18"/>
          <w:szCs w:val="18"/>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“Prepaid expenses and other current assets,” in the accompanying Consolidated Balance Sheets, as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Financial Instruments</w:t>
      </w:r>
    </w:p>
    <w:p>
      <w:pPr>
        <w:spacing w:after="0" w:line="246" w:lineRule="exact"/>
        <w:rPr>
          <w:sz w:val="20"/>
          <w:szCs w:val="20"/>
          <w:color w:val="auto"/>
        </w:rPr>
      </w:pPr>
    </w:p>
    <w:p>
      <w:pPr>
        <w:ind w:right="620" w:firstLine="398"/>
        <w:spacing w:after="0" w:line="260" w:lineRule="auto"/>
        <w:rPr>
          <w:sz w:val="20"/>
          <w:szCs w:val="20"/>
          <w:color w:val="auto"/>
        </w:rPr>
      </w:pPr>
      <w:r>
        <w:rPr>
          <w:rFonts w:ascii="Times New Roman" w:cs="Times New Roman" w:eastAsia="Times New Roman" w:hAnsi="Times New Roman"/>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Australian dollars, British pounds, Euros, Japanese yen,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and Singapore dollars. These instruments generally have maturities between one and 12 months in the future. Autodesk uses foreign currency contracts not designated as hedging instruments and foreign currency contracts designated as cash flow hedges but Autodesk does not enter into derivative instrument transactions for trading or speculative purposes.</w:t>
      </w:r>
    </w:p>
    <w:p>
      <w:pPr>
        <w:spacing w:after="0" w:line="203"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209"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8"/>
          <w:szCs w:val="18"/>
          <w:color w:val="auto"/>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Translation and Transactions</w:t>
      </w:r>
    </w:p>
    <w:p>
      <w:pPr>
        <w:spacing w:after="0" w:line="246" w:lineRule="exact"/>
        <w:rPr>
          <w:sz w:val="20"/>
          <w:szCs w:val="20"/>
          <w:color w:val="auto"/>
        </w:rPr>
      </w:pPr>
    </w:p>
    <w:p>
      <w:pPr>
        <w:ind w:right="220" w:firstLine="398"/>
        <w:spacing w:after="0" w:line="260" w:lineRule="auto"/>
        <w:rPr>
          <w:sz w:val="20"/>
          <w:szCs w:val="20"/>
          <w:color w:val="auto"/>
        </w:rPr>
      </w:pPr>
      <w:r>
        <w:rPr>
          <w:rFonts w:ascii="Times New Roman" w:cs="Times New Roman" w:eastAsia="Times New Roman" w:hAnsi="Times New Roman"/>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in other comprehensive income (loss).</w:t>
      </w:r>
    </w:p>
    <w:p>
      <w:pPr>
        <w:spacing w:after="0" w:line="203"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 remeasured using foreign currency exchange rates at the end of the period, and non-monetary assets and liabilities are remeasured based on historical exchange rates.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w:t>
      </w:r>
    </w:p>
    <w:p>
      <w:pPr>
        <w:spacing w:after="0" w:line="246"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Partner Incentive Program Reserves</w:t>
      </w:r>
    </w:p>
    <w:p>
      <w:pPr>
        <w:spacing w:after="0" w:line="246" w:lineRule="exact"/>
        <w:rPr>
          <w:sz w:val="20"/>
          <w:szCs w:val="20"/>
          <w:color w:val="auto"/>
        </w:rPr>
      </w:pPr>
    </w:p>
    <w:p>
      <w:pPr>
        <w:jc w:val="both"/>
        <w:ind w:right="640" w:firstLine="398"/>
        <w:spacing w:after="0" w:line="275" w:lineRule="auto"/>
        <w:rPr>
          <w:sz w:val="20"/>
          <w:szCs w:val="20"/>
          <w:color w:val="auto"/>
        </w:rPr>
      </w:pPr>
      <w:r>
        <w:rPr>
          <w:rFonts w:ascii="Times New Roman" w:cs="Times New Roman" w:eastAsia="Times New Roman" w:hAnsi="Times New Roman"/>
          <w:sz w:val="17"/>
          <w:szCs w:val="17"/>
          <w:color w:val="auto"/>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accounts receivable and deferred revenue in the period the transaction is billed. The portion recorded as deferred revenue is subsequently recognized as a reduction to subscription revenue over the contract period. The remainder reduces subscription or other revenue in the current period.</w:t>
      </w:r>
    </w:p>
    <w:p>
      <w:pPr>
        <w:spacing w:after="0" w:line="192" w:lineRule="exact"/>
        <w:rPr>
          <w:sz w:val="20"/>
          <w:szCs w:val="20"/>
          <w:color w:val="auto"/>
        </w:rPr>
      </w:pPr>
    </w:p>
    <w:p>
      <w:pPr>
        <w:ind w:right="200" w:firstLine="398"/>
        <w:spacing w:after="0" w:line="274" w:lineRule="auto"/>
        <w:rPr>
          <w:sz w:val="20"/>
          <w:szCs w:val="20"/>
          <w:color w:val="auto"/>
        </w:rPr>
      </w:pPr>
      <w:r>
        <w:rPr>
          <w:rFonts w:ascii="Times New Roman" w:cs="Times New Roman" w:eastAsia="Times New Roman" w:hAnsi="Times New Roman"/>
          <w:sz w:val="18"/>
          <w:szCs w:val="18"/>
          <w:color w:val="auto"/>
        </w:rPr>
        <w:t>These incentive balances do not require significant assumptions or judgments. Depending on how the payments are made, the reserves associated with the partner incentive program are recognized on the balance sheet as either a reduction to accounts receivable or recorded as accounts payable.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partner incentive program reserves for the fiscal years ended January 31, 2026, 2025, and 2024:</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860" w:type="dxa"/>
            <w:vAlign w:val="bottom"/>
          </w:tcPr>
          <w:p>
            <w:pPr>
              <w:spacing w:after="0"/>
              <w:rPr>
                <w:sz w:val="16"/>
                <w:szCs w:val="16"/>
                <w:color w:val="auto"/>
              </w:rPr>
            </w:pPr>
          </w:p>
        </w:tc>
      </w:tr>
      <w:tr>
        <w:trPr>
          <w:trHeight w:val="24"/>
        </w:trPr>
        <w:tc>
          <w:tcPr>
            <w:tcW w:w="74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74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fiscal year</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 or revenues</w:t>
            </w:r>
          </w:p>
        </w:tc>
        <w:tc>
          <w:tcPr>
            <w:tcW w:w="7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to deferred revenue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Deductions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3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end of fiscal year (1)</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 program incentive reserves balance impacts "Accounts receivable, net" and "Accounts payable" on the accompanying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24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w:t>
      </w:r>
    </w:p>
    <w:p>
      <w:pPr>
        <w:spacing w:after="0" w:line="208"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Autodesk’s accounts receivable are derived from sales to a large number of resellers, distributors, and direct customers in the Americas, Europe, Middle East and Africa (“EMEA”), and Asia Pacific (“APAC”) geographies. Autodesk performs ongoing evaluations of these partners’ and customers’ financial condition and limits the amount of credit extended when deemed necessary, but generally does not require collateral from such parties. Total revenue from the Company’s largest distributor TD Synnex Corporation, and its global affiliates (“TD Synnex”), accounted for 14%, 33%, and 39% of Autodesk's net revenue for fiscal years ended January 31, 2026, 2025 and 2024, respectively. The majority of the net revenue from sales to TD Synnex is from sales made outside of the United States. No other customer accounted for more than 10% of Autodesk’s total net revenue or trade accounts receivable for each of the respective periods.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Development Costs</w:t>
      </w:r>
    </w:p>
    <w:p>
      <w:pPr>
        <w:spacing w:after="0" w:line="246"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Software development costs for external use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two-year period, if material. Autodesk had no capitalized software development costs at January 31, 2026 and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Cloud Computing Arrangements</w:t>
      </w:r>
    </w:p>
    <w:p>
      <w:pPr>
        <w:spacing w:after="0" w:line="246" w:lineRule="exact"/>
        <w:rPr>
          <w:sz w:val="20"/>
          <w:szCs w:val="20"/>
          <w:color w:val="auto"/>
        </w:rPr>
      </w:pPr>
    </w:p>
    <w:p>
      <w:pPr>
        <w:ind w:right="220" w:firstLine="398"/>
        <w:spacing w:after="0" w:line="250"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Consolidated Balance Sheets. Capitalized costs were $380 million and $327 million at January 31, 2026, and January 31, 2025, respectively. Accumulated amortization was $175 million and $136 million at January 31, 2026, and January 31, 2025, respectively. Amortization expense was $43 million, $53 million, and $42 million in fiscal 2026, fiscal 2025, and fiscal 2024,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46" w:lineRule="exact"/>
        <w:rPr>
          <w:sz w:val="20"/>
          <w:szCs w:val="20"/>
          <w:color w:val="auto"/>
        </w:rPr>
      </w:pPr>
    </w:p>
    <w:p>
      <w:pPr>
        <w:ind w:right="80" w:firstLine="398"/>
        <w:spacing w:after="0" w:line="249" w:lineRule="auto"/>
        <w:rPr>
          <w:sz w:val="20"/>
          <w:szCs w:val="20"/>
          <w:color w:val="auto"/>
        </w:rPr>
      </w:pPr>
      <w:r>
        <w:rPr>
          <w:rFonts w:ascii="Times New Roman" w:cs="Times New Roman" w:eastAsia="Times New Roman" w:hAnsi="Times New Roman"/>
          <w:sz w:val="18"/>
          <w:szCs w:val="18"/>
          <w:color w:val="auto"/>
        </w:rPr>
        <w:t>Autodesk determines if an arrangement is a lease at inception. Operating lease right-of-use assets represent Autodesk’s right to use an underlying asset for the lease term and operating lease liabilities represent the Company’s obligation to make lease payments arising from the lease. Operating lease right-of-use assets and operating lease liabilities are recognized at commencement date based on the present value of lease payments over the lease term. The operating lease right-of-use assets also include any lease payments made and are reduced by any lease incentives. Autodesk uses its incremental borrowing rate, if the Company’s leases do not provide an implicit rate, adjusted for local country-specific borrowing rates as applicable, based on the information available at commencement date in determining the present value of lease payments. Options to extend or terminate the lease are considered in determining the lease term when it is reasonably certain that the option will be exercised. Lease expense for lease payments is recognized on a straight-line basis over the lease term. Autodesk has lease agreements with lease and non-lease components. Autodesk accounts for the lease and non-lease components as a single lease component.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Autodesk records the assets acquired and liabilities assumed in a business combination based on their estimated fair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values on the acquisition date, with the exception of contract assets and contract liabilities (i.e., deferred revenue) which are recognized and measured on the acquisition date in accordance with Autodesk’s “Revenue Recognition” policy in Note 1 “Business and Summary of Significant Accounting Policies”. The fair values assigned to the identifiable intangible assets acquired are based on estimates and assumptions determined by management. Autodesk records the excess of consideration transferred over the aggregate fair values as goodwill. During the measurement period, which may be up to one year from the acquisition date, Autodesk may record adjustments to these assets acquired and liabilities assumed, with the corresponding offset to goodwill.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46"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At least annually or more frequently as circumstances dictate, Autodesk reviews its long-lived assets for impairment whenever impairment indicators exist. When such circumstances occur, Autodesk assesses the recoverability of these assets. Recoverability is measured by comparison of the carrying amounts of the assets to the future undiscounted cash flow the assets are expected to generate generally using Level 3 inputs. If the long-lived assets are impaired, the impairment to be recognized is equal to the amount by which the carrying value of the assets exceeds its fair market value. See Note 9, “Leases” for further discussion on impairment charges of lease related right-of-assets.</w:t>
      </w:r>
    </w:p>
    <w:p>
      <w:pPr>
        <w:spacing w:after="0" w:line="209" w:lineRule="exact"/>
        <w:rPr>
          <w:sz w:val="20"/>
          <w:szCs w:val="20"/>
          <w:color w:val="auto"/>
        </w:rPr>
      </w:pPr>
    </w:p>
    <w:p>
      <w:pPr>
        <w:ind w:right="120" w:firstLine="398"/>
        <w:spacing w:after="0" w:line="260" w:lineRule="auto"/>
        <w:rPr>
          <w:sz w:val="20"/>
          <w:szCs w:val="20"/>
          <w:color w:val="auto"/>
        </w:rPr>
      </w:pPr>
      <w:r>
        <w:rPr>
          <w:rFonts w:ascii="Times New Roman" w:cs="Times New Roman" w:eastAsia="Times New Roman" w:hAnsi="Times New Roman"/>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46" w:lineRule="exact"/>
        <w:rPr>
          <w:sz w:val="20"/>
          <w:szCs w:val="20"/>
          <w:color w:val="auto"/>
        </w:rPr>
      </w:pPr>
    </w:p>
    <w:p>
      <w:pPr>
        <w:ind w:right="280" w:firstLine="398"/>
        <w:spacing w:after="0" w:line="251"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its reporting unit. Autodesk tests goodwill for impairment by performing a quantitative assessment of whether fair value of the reporting unit is greater than its carrying value. In situations in which an entity’s reporting unit is publicly traded, the fair value of the company may be approximated by its market capitalization, in performing the quantitative impairment test. Goodwill impairment exists when the estimated fair value of goodwill is less than its carrying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 Expenses</w:t>
      </w:r>
    </w:p>
    <w:p>
      <w:pPr>
        <w:spacing w:after="0" w:line="246" w:lineRule="exact"/>
        <w:rPr>
          <w:sz w:val="20"/>
          <w:szCs w:val="20"/>
          <w:color w:val="auto"/>
        </w:rPr>
      </w:pPr>
    </w:p>
    <w:p>
      <w:pPr>
        <w:ind w:right="380" w:firstLine="398"/>
        <w:spacing w:after="0" w:line="274"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expenses incurred were $69 million in fiscal 2026, $54 million in fiscal 2025, and $64 million in fiscal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Income Per Share</w:t>
      </w:r>
    </w:p>
    <w:p>
      <w:pPr>
        <w:spacing w:after="0" w:line="246" w:lineRule="exact"/>
        <w:rPr>
          <w:sz w:val="20"/>
          <w:szCs w:val="20"/>
          <w:color w:val="auto"/>
        </w:rPr>
      </w:pPr>
    </w:p>
    <w:p>
      <w:pPr>
        <w:ind w:right="360" w:firstLine="398"/>
        <w:spacing w:after="0" w:line="260"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Diluted net income per share is computed using the weighted average shares of common stock outstanding during the period and potentially dilutive common shares, including the effect of restricted stock units, performance share awards, and stock options using the treasury stock method.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Pension Plans</w:t>
      </w:r>
    </w:p>
    <w:p>
      <w:pPr>
        <w:spacing w:after="0" w:line="246" w:lineRule="exact"/>
        <w:rPr>
          <w:sz w:val="20"/>
          <w:szCs w:val="20"/>
          <w:color w:val="auto"/>
        </w:rPr>
      </w:pPr>
    </w:p>
    <w:p>
      <w:pPr>
        <w:ind w:right="140" w:firstLine="398"/>
        <w:spacing w:after="0" w:line="253" w:lineRule="auto"/>
        <w:rPr>
          <w:sz w:val="20"/>
          <w:szCs w:val="20"/>
          <w:color w:val="auto"/>
        </w:rPr>
      </w:pPr>
      <w:r>
        <w:rPr>
          <w:rFonts w:ascii="Times New Roman" w:cs="Times New Roman" w:eastAsia="Times New Roman" w:hAnsi="Times New Roman"/>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209"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(loss). Certain events, such as changes in the employee base, plan amendments, and changes in actuarial assumptions may result in a change in the defined benefit obligation and the corresponding change to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in Fiscal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46"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Autodesk provided the new disclosures required by ASU 2023-09 beginning with its annual financial statements for the fiscal year ending January 31, 2026.</w:t>
      </w:r>
    </w:p>
    <w:p>
      <w:pPr>
        <w:spacing w:after="0" w:line="213" w:lineRule="exact"/>
        <w:rPr>
          <w:sz w:val="20"/>
          <w:szCs w:val="20"/>
          <w:color w:val="auto"/>
        </w:rPr>
      </w:pPr>
    </w:p>
    <w:p>
      <w:pPr>
        <w:ind w:right="80" w:firstLine="39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Autodesk adopted the annual disclosures of ASU 2023-07 for our fiscal year ended January 31, 2025 and adopted for interim periods beginning February 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 not yet adopted</w:t>
      </w:r>
    </w:p>
    <w:p>
      <w:pPr>
        <w:spacing w:after="0" w:line="246" w:lineRule="exact"/>
        <w:rPr>
          <w:sz w:val="20"/>
          <w:szCs w:val="20"/>
          <w:color w:val="auto"/>
        </w:rPr>
      </w:pPr>
    </w:p>
    <w:p>
      <w:pPr>
        <w:ind w:firstLine="398"/>
        <w:spacing w:after="0" w:line="263" w:lineRule="auto"/>
        <w:rPr>
          <w:sz w:val="20"/>
          <w:szCs w:val="20"/>
          <w:color w:val="auto"/>
        </w:rPr>
      </w:pPr>
      <w:r>
        <w:rPr>
          <w:rFonts w:ascii="Times New Roman" w:cs="Times New Roman" w:eastAsia="Times New Roman" w:hAnsi="Times New Roman"/>
          <w:sz w:val="17"/>
          <w:szCs w:val="17"/>
          <w:color w:val="auto"/>
        </w:rPr>
        <w:t>In September 2025, the FASB issued ASU No. 2025-06, “Intangibles-Goodwill and Other-Internal-Use Software (Subtopic 350-40)” (“ASU 2025-06”), which amends certain aspects of the accounting for and disclosure of software costs under Subtopic 350-40. ASU 2025-06 eliminates accounting consideration of software development “stages”. Cost capitalization will now begin solely when (1) management has authorized and committed to funding the software project, and (2) it is probable the project will be completed and the software used to perform its intended function (the probable-to-complete threshold). In evaluating the probable-to-complete recognition threshold, an entity is required to consider whether there is significant uncertainty associated with the development activities of the software. ASU 2025-06 specifies that the disclosures in Subtopic 360-10, Property, Plant, and Equipment—Overall, are required for all capitalized internal-use software costs, regardless of how those costs are presented in the financial statements. The amendments in ASU 2205-06 supersede the website development costs guidance and incorporate the recognition requirements for website-specific development costs from Subtopic 350-50 into Subtopic 350-40. ASU 2025-06 is effective for Autodesk’s fiscal year beginning February 1, 2028, and interim periods within that fiscal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adoption is permitted. Autodesk is currently evaluating the effect of adopting ASU 2025-06 on its consolidated financial statements.</w:t>
      </w:r>
    </w:p>
    <w:p>
      <w:pPr>
        <w:spacing w:after="0" w:line="225" w:lineRule="exact"/>
        <w:rPr>
          <w:sz w:val="20"/>
          <w:szCs w:val="20"/>
          <w:color w:val="auto"/>
        </w:rPr>
      </w:pPr>
    </w:p>
    <w:p>
      <w:pPr>
        <w:ind w:right="20" w:firstLine="398"/>
        <w:spacing w:after="0" w:line="269"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w:t>
      </w:r>
    </w:p>
    <w:p>
      <w:pPr>
        <w:spacing w:after="0" w:line="198" w:lineRule="exact"/>
        <w:rPr>
          <w:sz w:val="20"/>
          <w:szCs w:val="20"/>
          <w:color w:val="auto"/>
        </w:rPr>
      </w:pPr>
    </w:p>
    <w:p>
      <w:pPr>
        <w:ind w:right="380" w:firstLine="398"/>
        <w:spacing w:after="0" w:line="274" w:lineRule="auto"/>
        <w:rPr>
          <w:sz w:val="20"/>
          <w:szCs w:val="20"/>
          <w:color w:val="auto"/>
        </w:rPr>
      </w:pPr>
      <w:r>
        <w:rPr>
          <w:rFonts w:ascii="Times New Roman" w:cs="Times New Roman" w:eastAsia="Times New Roman" w:hAnsi="Times New Roman"/>
          <w:sz w:val="18"/>
          <w:szCs w:val="18"/>
          <w:color w:val="auto"/>
        </w:rPr>
        <w:t>There have been no other recent accounting pronouncements during the fiscal year ended January 31, 2026, that may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Disaggregation</w:t>
      </w:r>
    </w:p>
    <w:p>
      <w:pPr>
        <w:spacing w:after="0" w:line="246"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EBAs, (2) fees for maintenance purchased with software licenses, and (3) consulting and other products and services. The three categories are presented as line items on Autodesk’s Consolidated Statements of Operations.</w:t>
      </w:r>
    </w:p>
    <w:p>
      <w:pPr>
        <w:spacing w:after="0" w:line="203" w:lineRule="exact"/>
        <w:rPr>
          <w:sz w:val="20"/>
          <w:szCs w:val="20"/>
          <w:color w:val="auto"/>
        </w:rPr>
      </w:pPr>
    </w:p>
    <w:p>
      <w:pPr>
        <w:ind w:right="160" w:firstLine="398"/>
        <w:spacing w:after="0" w:line="274"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640" w:type="dxa"/>
            <w:vAlign w:val="bottom"/>
          </w:tcPr>
          <w:p>
            <w:pPr>
              <w:spacing w:after="0"/>
              <w:rPr>
                <w:sz w:val="16"/>
                <w:szCs w:val="16"/>
                <w:color w:val="auto"/>
              </w:rPr>
            </w:pPr>
          </w:p>
        </w:tc>
      </w:tr>
      <w:tr>
        <w:trPr>
          <w:trHeight w:val="24"/>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Construction and Operations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w:t>
            </w:r>
          </w:p>
        </w:tc>
      </w:tr>
      <w:tr>
        <w:trPr>
          <w:trHeight w:val="21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4"/>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r>
      <w:tr>
        <w:trPr>
          <w:trHeight w:val="210"/>
        </w:trPr>
        <w:tc>
          <w:tcPr>
            <w:tcW w:w="8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r>
      <w:tr>
        <w:trPr>
          <w:trHeight w:val="21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1"/>
        </w:trPr>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w:t>
            </w:r>
          </w:p>
        </w:tc>
      </w:tr>
      <w:tr>
        <w:trPr>
          <w:trHeight w:val="214"/>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3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ind w:right="380" w:firstLine="398"/>
        <w:spacing w:after="0" w:line="304" w:lineRule="auto"/>
        <w:rPr>
          <w:sz w:val="20"/>
          <w:szCs w:val="20"/>
          <w:color w:val="auto"/>
        </w:rPr>
      </w:pPr>
      <w:r>
        <w:rPr>
          <w:rFonts w:ascii="Times New Roman" w:cs="Times New Roman" w:eastAsia="Times New Roman" w:hAnsi="Times New Roman"/>
          <w:sz w:val="17"/>
          <w:szCs w:val="17"/>
          <w:color w:val="auto"/>
        </w:rPr>
        <w:t>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w:t>
      </w:r>
    </w:p>
    <w:p>
      <w:pPr>
        <w:spacing w:after="0" w:line="22" w:lineRule="exact"/>
        <w:rPr>
          <w:sz w:val="20"/>
          <w:szCs w:val="20"/>
          <w:color w:val="auto"/>
        </w:rPr>
      </w:pPr>
    </w:p>
    <w:p>
      <w:pPr>
        <w:ind w:right="160" w:firstLine="398"/>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January 31, 2026, Autodesk had remaining performance obligations of $8.30 billion, which represents the total transaction price allocated to remaining performance obligations, which are generally recognized over the next three years. We expect to recognize $5.48 billion or 66% of our remaining performance obligations as revenue during the next 12 months. We expect to recognize the remaining $2.82 billion or 34% of our remaining performance obligations as revenue thereafter.</w:t>
      </w:r>
    </w:p>
    <w:p>
      <w:pPr>
        <w:spacing w:after="0" w:line="208" w:lineRule="exact"/>
        <w:rPr>
          <w:sz w:val="20"/>
          <w:szCs w:val="20"/>
          <w:color w:val="auto"/>
        </w:rPr>
      </w:pPr>
    </w:p>
    <w:p>
      <w:pPr>
        <w:ind w:right="420" w:firstLine="398"/>
        <w:spacing w:after="0" w:line="274"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46" w:lineRule="exact"/>
        <w:rPr>
          <w:sz w:val="20"/>
          <w:szCs w:val="20"/>
          <w:color w:val="auto"/>
        </w:rPr>
      </w:pPr>
    </w:p>
    <w:p>
      <w:pPr>
        <w:ind w:right="40" w:firstLine="398"/>
        <w:spacing w:after="0" w:line="282" w:lineRule="auto"/>
        <w:rPr>
          <w:sz w:val="20"/>
          <w:szCs w:val="20"/>
          <w:color w:val="auto"/>
        </w:rPr>
      </w:pPr>
      <w:r>
        <w:rPr>
          <w:rFonts w:ascii="Times New Roman" w:cs="Times New Roman" w:eastAsia="Times New Roman" w:hAnsi="Times New Roman"/>
          <w:sz w:val="17"/>
          <w:szCs w:val="17"/>
          <w:color w:val="auto"/>
        </w:rPr>
        <w:t>We receive payments from customers based on a billing schedule as established in our contracts. Contract assets relate to performance completed in advance of scheduled billings. Contract assets were not material as of January 31, 2026 and 2025. Deferred revenue relates to billings in advance of performance under the contract. The primary changes in our contract assets and deferred revenues are due to our performance under the contracts and billings.</w:t>
      </w:r>
    </w:p>
    <w:p>
      <w:pPr>
        <w:spacing w:after="0" w:line="186" w:lineRule="exact"/>
        <w:rPr>
          <w:sz w:val="20"/>
          <w:szCs w:val="20"/>
          <w:color w:val="auto"/>
        </w:rPr>
      </w:pPr>
    </w:p>
    <w:p>
      <w:pPr>
        <w:ind w:right="100" w:firstLine="398"/>
        <w:spacing w:after="0" w:line="260" w:lineRule="auto"/>
        <w:rPr>
          <w:sz w:val="20"/>
          <w:szCs w:val="20"/>
          <w:color w:val="auto"/>
        </w:rPr>
      </w:pPr>
      <w:r>
        <w:rPr>
          <w:rFonts w:ascii="Times New Roman" w:cs="Times New Roman" w:eastAsia="Times New Roman" w:hAnsi="Times New Roman"/>
          <w:sz w:val="18"/>
          <w:szCs w:val="18"/>
          <w:color w:val="auto"/>
        </w:rPr>
        <w:t>Revenue recognized during the fiscal years ended January 31, 2026 and 2025, that was included in the deferred revenue balances at January 31, 2025 and 2024, was $3.78 billion and $3.49 billion, respectively. The satisfaction of performance obligations typically lags behind billings under revenue contracts from customers.</w:t>
      </w:r>
    </w:p>
    <w:p>
      <w:pPr>
        <w:spacing w:after="0" w:line="174" w:lineRule="exact"/>
        <w:rPr>
          <w:sz w:val="20"/>
          <w:szCs w:val="20"/>
          <w:color w:val="auto"/>
        </w:rPr>
      </w:pPr>
    </w:p>
    <w:p>
      <w:pPr>
        <w:ind w:left="360" w:hanging="354"/>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as of January 31,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24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74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(2)</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Commercial paper</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0"/>
        </w:trPr>
        <w:tc>
          <w:tcPr>
            <w:tcW w:w="6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U.S. government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6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Asset backed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Certificates of deposit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6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(4)</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4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 (5)</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6"/>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corporate debt securities.</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mortgage-backed securities and agency discount notes.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and sovereign government bonds.</w:t>
      </w:r>
    </w:p>
    <w:p>
      <w:pPr>
        <w:spacing w:after="0" w:line="10" w:lineRule="exact"/>
        <w:rPr>
          <w:rFonts w:ascii="Times New Roman" w:cs="Times New Roman" w:eastAsia="Times New Roman" w:hAnsi="Times New Roman"/>
          <w:sz w:val="16"/>
          <w:szCs w:val="16"/>
          <w:color w:val="auto"/>
        </w:rPr>
      </w:pPr>
    </w:p>
    <w:p>
      <w:pPr>
        <w:ind w:left="400" w:right="120" w:hanging="394"/>
        <w:spacing w:after="0" w:line="254" w:lineRule="auto"/>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$14 million was classified as current and $123 million was classified as non-current. Included in “Prepaid expenses and other current assets”, “Long-term other assets”, “Accrued compensation”, and “Long-term other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74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3"/>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 (5)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3"/>
        </w:trPr>
        <w:tc>
          <w:tcPr>
            <w:tcW w:w="7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agency mortgage-backed securities, mortgage-backed securities, and US treasury bonds.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collateralized mortgage obligations and supranational bonds.</w:t>
      </w:r>
    </w:p>
    <w:p>
      <w:pPr>
        <w:spacing w:after="0" w:line="10" w:lineRule="exact"/>
        <w:rPr>
          <w:rFonts w:ascii="Times New Roman" w:cs="Times New Roman" w:eastAsia="Times New Roman" w:hAnsi="Times New Roman"/>
          <w:sz w:val="16"/>
          <w:szCs w:val="16"/>
          <w:color w:val="auto"/>
        </w:rPr>
      </w:pPr>
    </w:p>
    <w:p>
      <w:pPr>
        <w:ind w:left="400" w:right="120" w:hanging="394"/>
        <w:spacing w:after="0" w:line="254" w:lineRule="auto"/>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$12 million was classified as current and $106 million was classified as non-current. Included in “Prepaid expenses and other current assets”, “Long-term other assets”, “Accrued compensation”, and “Long-term other liabilities,” in the accompanying Consolidated Balance Sheets.</w:t>
      </w:r>
    </w:p>
    <w:p>
      <w:pPr>
        <w:spacing w:after="0" w:line="203" w:lineRule="exact"/>
        <w:rPr>
          <w:sz w:val="20"/>
          <w:szCs w:val="20"/>
          <w:color w:val="auto"/>
        </w:rPr>
      </w:pPr>
    </w:p>
    <w:p>
      <w:pPr>
        <w:ind w:right="360" w:firstLine="398"/>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fair values of investments classified as marketable debt securities by contractual maturity date as of January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8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6"/>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8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60" w:firstLine="398"/>
        <w:spacing w:after="0" w:line="260" w:lineRule="auto"/>
        <w:rPr>
          <w:sz w:val="20"/>
          <w:szCs w:val="20"/>
          <w:color w:val="auto"/>
        </w:rPr>
      </w:pPr>
      <w:r>
        <w:rPr>
          <w:rFonts w:ascii="Times New Roman" w:cs="Times New Roman" w:eastAsia="Times New Roman" w:hAnsi="Times New Roman"/>
          <w:sz w:val="18"/>
          <w:szCs w:val="18"/>
          <w:color w:val="auto"/>
        </w:rPr>
        <w:t>As of both January 31, 2026 and 2025,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fiscal 2026.</w:t>
      </w:r>
    </w:p>
    <w:p>
      <w:pPr>
        <w:spacing w:after="0" w:line="203" w:lineRule="exact"/>
        <w:rPr>
          <w:sz w:val="20"/>
          <w:szCs w:val="20"/>
          <w:color w:val="auto"/>
        </w:rPr>
      </w:pPr>
    </w:p>
    <w:p>
      <w:pPr>
        <w:ind w:right="420" w:firstLine="398"/>
        <w:spacing w:after="0" w:line="274"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as of both January 31, 2026 and 2025. There were no write offs of accrued interest receivables for both fiscal 2026 and 2025.</w:t>
      </w:r>
    </w:p>
    <w:p>
      <w:pPr>
        <w:spacing w:after="0" w:line="244" w:lineRule="exact"/>
        <w:rPr>
          <w:sz w:val="20"/>
          <w:szCs w:val="20"/>
          <w:color w:val="auto"/>
        </w:rPr>
      </w:pPr>
    </w:p>
    <w:p>
      <w:pPr>
        <w:ind w:right="60" w:firstLine="398"/>
        <w:spacing w:after="0" w:line="260" w:lineRule="auto"/>
        <w:rPr>
          <w:sz w:val="20"/>
          <w:szCs w:val="20"/>
          <w:color w:val="auto"/>
        </w:rPr>
      </w:pPr>
      <w:r>
        <w:rPr>
          <w:rFonts w:ascii="Times New Roman" w:cs="Times New Roman" w:eastAsia="Times New Roman" w:hAnsi="Times New Roman"/>
          <w:sz w:val="18"/>
          <w:szCs w:val="18"/>
          <w:color w:val="auto"/>
        </w:rPr>
        <w:t>There were no material realized gain or loss for the sales or redemptions of debt securities during fiscal 2026, 2025, and 2024. Realized gains and losses from the sale or redemption of marketable securities are recorded in “Interest and other income, net” on the Company’s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investments in equity securities</w:t>
      </w:r>
    </w:p>
    <w:p>
      <w:pPr>
        <w:spacing w:after="0" w:line="220"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As of January 31, 2026 and 2025, Autodesk had $346 million and $168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09" w:lineRule="exact"/>
        <w:rPr>
          <w:sz w:val="20"/>
          <w:szCs w:val="20"/>
          <w:color w:val="auto"/>
        </w:rPr>
      </w:pPr>
    </w:p>
    <w:p>
      <w:pPr>
        <w:ind w:right="800" w:firstLine="398"/>
        <w:spacing w:after="0" w:line="259"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investments in equity securities with no readily determined fair values measured using the measurement alternative are included in Interest and Other Income (Expense), net on the Company’s Consolidated Statements of Operations. These adjustments were as follows:</w:t>
      </w: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6"/>
        </w:trPr>
        <w:tc>
          <w:tcPr>
            <w:tcW w:w="6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1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5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83"/>
              <w:spacing w:after="0"/>
              <w:rPr>
                <w:sz w:val="20"/>
                <w:szCs w:val="20"/>
                <w:color w:val="auto"/>
              </w:rPr>
            </w:pPr>
            <w:r>
              <w:rPr>
                <w:rFonts w:ascii="Times New Roman" w:cs="Times New Roman" w:eastAsia="Times New Roman" w:hAnsi="Times New Roman"/>
                <w:sz w:val="16"/>
                <w:szCs w:val="16"/>
                <w:color w:val="auto"/>
                <w:w w:val="97"/>
              </w:rPr>
              <w:t>(28)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8"/>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adjustments</w:t>
            </w:r>
          </w:p>
        </w:tc>
        <w:tc>
          <w:tcPr>
            <w:tcW w:w="5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6"/>
                <w:szCs w:val="16"/>
                <w:color w:val="auto"/>
                <w:w w:val="97"/>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Autodesk does not consider the remaining investments to be impaired as of January 31,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w:t>
      </w:r>
    </w:p>
    <w:p>
      <w:pPr>
        <w:spacing w:after="0" w:line="246" w:lineRule="exact"/>
        <w:rPr>
          <w:sz w:val="20"/>
          <w:szCs w:val="20"/>
          <w:color w:val="auto"/>
        </w:rPr>
      </w:pPr>
    </w:p>
    <w:p>
      <w:pPr>
        <w:jc w:val="both"/>
        <w:ind w:right="380" w:firstLine="398"/>
        <w:spacing w:after="0" w:line="260"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 the Company's financial instruments measured at fair value on a recurring basis by significant investment category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14"/>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4"/>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(2)</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Short-term</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4"/>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4"/>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(3)</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4"/>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4"/>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Agency bonds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(4)</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36"/>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Mutual funds (5)</w:t>
            </w:r>
          </w:p>
        </w:tc>
        <w:tc>
          <w:tcPr>
            <w:tcW w:w="22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5"/>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3"/>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corporate debt securities.</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mortgage-backed securities and agency discount notes.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and sovereign government bonds.</w:t>
      </w:r>
    </w:p>
    <w:p>
      <w:pPr>
        <w:spacing w:after="0" w:line="10" w:lineRule="exact"/>
        <w:rPr>
          <w:rFonts w:ascii="Times New Roman" w:cs="Times New Roman" w:eastAsia="Times New Roman" w:hAnsi="Times New Roman"/>
          <w:sz w:val="16"/>
          <w:szCs w:val="16"/>
          <w:color w:val="auto"/>
        </w:rPr>
      </w:pPr>
    </w:p>
    <w:p>
      <w:pPr>
        <w:ind w:left="400" w:right="220" w:hanging="394"/>
        <w:spacing w:after="0" w:line="248" w:lineRule="auto"/>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Consolidated Balance Sheets.</w:t>
      </w: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Consolidated Balance Sheets.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0"/>
        </w:trPr>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618</w:t>
            </w:r>
          </w:p>
        </w:tc>
      </w:tr>
      <w:tr>
        <w:trPr>
          <w:trHeight w:val="214"/>
        </w:trPr>
        <w:tc>
          <w:tcPr>
            <w:tcW w:w="7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7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72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Funds (5)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7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1,442</w:t>
            </w: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agency mortgage-backed securities, mortgage-backed securities, and US treasury bonds.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collateralized mortgage obligations and supranational bonds.</w:t>
      </w:r>
    </w:p>
    <w:p>
      <w:pPr>
        <w:spacing w:after="0" w:line="10" w:lineRule="exact"/>
        <w:rPr>
          <w:rFonts w:ascii="Times New Roman" w:cs="Times New Roman" w:eastAsia="Times New Roman" w:hAnsi="Times New Roman"/>
          <w:sz w:val="16"/>
          <w:szCs w:val="16"/>
          <w:color w:val="auto"/>
        </w:rPr>
      </w:pPr>
    </w:p>
    <w:p>
      <w:pPr>
        <w:ind w:left="400" w:right="380" w:hanging="394"/>
        <w:spacing w:after="0" w:line="248" w:lineRule="auto"/>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Consolidated Balance Sheets.</w:t>
      </w: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Consolidated Balance Sheets.</w:t>
      </w:r>
    </w:p>
    <w:p>
      <w:pPr>
        <w:spacing w:after="0" w:line="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60" w:hanging="354"/>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Plans</w:t>
      </w:r>
    </w:p>
    <w:p>
      <w:pPr>
        <w:spacing w:after="0" w:line="233" w:lineRule="exact"/>
        <w:rPr>
          <w:sz w:val="20"/>
          <w:szCs w:val="20"/>
          <w:color w:val="auto"/>
        </w:rPr>
      </w:pPr>
    </w:p>
    <w:p>
      <w:pPr>
        <w:ind w:right="40" w:firstLine="398"/>
        <w:spacing w:after="0" w:line="232" w:lineRule="auto"/>
        <w:rPr>
          <w:sz w:val="20"/>
          <w:szCs w:val="20"/>
          <w:color w:val="auto"/>
        </w:rPr>
      </w:pPr>
      <w:r>
        <w:rPr>
          <w:rFonts w:ascii="Times New Roman" w:cs="Times New Roman" w:eastAsia="Times New Roman" w:hAnsi="Times New Roman"/>
          <w:sz w:val="18"/>
          <w:szCs w:val="18"/>
          <w:color w:val="auto"/>
        </w:rPr>
        <w:t>The 2022 Equity Incentive Plan (the “2022 Plan”) was approved by Autodesk’s stockholders and became effective on June 16, 2022 and amended and restated on June 18, 2025. The 2022 Plan replaced the 2012 Employee Stock Plan, as amended, and the 2012 Outside Directors’ Stock Plan, as amended (collectively, the “Prior Plans”), and no further equity awards may be granted under the Prior Plans. The 2022 Plan reserves up to 44 million shares. The 2022 Plan permits the grant of stock options, restricted stock units, and restricted stock awards to employees and non-employee members of the Board of Directors. Each restricted stock unit or restricted stock award granted will be counted against the shares authorized for issuance under the 2022 Plan as 2.08 shares. If a granted option, restricted stock unit, or restricted stock award expires or becomes unexercisable for any reason, the unpurchased or forfeited shares that were granted may be returned to the 2022 Plan and may become available for future grant under the 2022 Plan. As of January 31, 2026, 22 million shares subject to restricted stock units and restricted stock awards have been granted under the 2022 Plan. Restricted stock units that were granted under the 2022 Plan vest over one to four years from the date of grant. The 2022 Plan will expire on March 17, 2032. At January 31, 2026, approximately 24 million shares were available for future issuance under the 2022 Plan.</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sections summarize activity under Autodesk’s stock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restricted stock activity for the fiscal year ended January 31, 2026,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Unreleased Restricted Stock Units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92"/>
        </w:trPr>
        <w:tc>
          <w:tcPr>
            <w:tcW w:w="67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at January 31, 2025</w:t>
            </w:r>
          </w:p>
        </w:tc>
        <w:tc>
          <w:tcPr>
            <w:tcW w:w="2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229.09</w:t>
            </w: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2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265.58</w:t>
            </w: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225.56</w:t>
            </w: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236.92</w:t>
            </w: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2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275.23</w:t>
            </w:r>
          </w:p>
        </w:tc>
      </w:tr>
      <w:tr>
        <w:trPr>
          <w:trHeight w:val="20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at January 31, 2026</w:t>
            </w:r>
          </w:p>
        </w:tc>
        <w:tc>
          <w:tcPr>
            <w:tcW w:w="2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4,477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255.39</w:t>
            </w:r>
          </w:p>
        </w:tc>
      </w:tr>
      <w:tr>
        <w:trPr>
          <w:trHeight w:val="20"/>
        </w:trPr>
        <w:tc>
          <w:tcPr>
            <w:tcW w:w="67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400" w:right="340" w:hanging="394"/>
        <w:spacing w:after="0" w:line="253" w:lineRule="auto"/>
        <w:tabs>
          <w:tab w:leader="none" w:pos="4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2025 performance period. The performance stock units were attained at rates ranging from 95% to 108% of the target award.</w:t>
      </w:r>
    </w:p>
    <w:p>
      <w:pPr>
        <w:spacing w:after="0" w:line="216" w:lineRule="exact"/>
        <w:rPr>
          <w:sz w:val="20"/>
          <w:szCs w:val="20"/>
          <w:color w:val="auto"/>
        </w:rPr>
      </w:pPr>
    </w:p>
    <w:p>
      <w:pPr>
        <w:jc w:val="both"/>
        <w:ind w:right="200" w:firstLine="398"/>
        <w:spacing w:after="0" w:line="260" w:lineRule="auto"/>
        <w:rPr>
          <w:sz w:val="20"/>
          <w:szCs w:val="20"/>
          <w:color w:val="auto"/>
        </w:rPr>
      </w:pPr>
      <w:r>
        <w:rPr>
          <w:rFonts w:ascii="Times New Roman" w:cs="Times New Roman" w:eastAsia="Times New Roman" w:hAnsi="Times New Roman"/>
          <w:sz w:val="18"/>
          <w:szCs w:val="18"/>
          <w:color w:val="auto"/>
        </w:rPr>
        <w:t>For the restricted stock granted during fiscal years ended January 31, 2026, 2025, and 2024, the weighted average grant date fair values were $265.58, $245.32, and $200.53, respectively. The fair value of the shares vested during fiscal years ended January 31, 2026, 2025, and 2024 were $871 million, $785 million, and $580 million, respectively.</w:t>
      </w:r>
    </w:p>
    <w:p>
      <w:pPr>
        <w:spacing w:after="0" w:line="203" w:lineRule="exact"/>
        <w:rPr>
          <w:sz w:val="20"/>
          <w:szCs w:val="20"/>
          <w:color w:val="auto"/>
        </w:rPr>
      </w:pPr>
    </w:p>
    <w:p>
      <w:pPr>
        <w:jc w:val="both"/>
        <w:ind w:right="200" w:firstLine="398"/>
        <w:spacing w:after="0" w:line="282" w:lineRule="auto"/>
        <w:rPr>
          <w:sz w:val="20"/>
          <w:szCs w:val="20"/>
          <w:color w:val="auto"/>
        </w:rPr>
      </w:pPr>
      <w:r>
        <w:rPr>
          <w:rFonts w:ascii="Times New Roman" w:cs="Times New Roman" w:eastAsia="Times New Roman" w:hAnsi="Times New Roman"/>
          <w:sz w:val="17"/>
          <w:szCs w:val="17"/>
          <w:color w:val="auto"/>
        </w:rPr>
        <w:t>During the fiscal year ended January 31, 2026, Autodesk granted 3 million restricted stock units. Restricted stock units vest over periods ranging from one to four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w:t>
      </w:r>
    </w:p>
    <w:p>
      <w:pPr>
        <w:spacing w:after="0" w:line="186" w:lineRule="exact"/>
        <w:rPr>
          <w:sz w:val="20"/>
          <w:szCs w:val="20"/>
          <w:color w:val="auto"/>
        </w:rPr>
      </w:pPr>
    </w:p>
    <w:p>
      <w:pPr>
        <w:ind w:right="100" w:firstLine="398"/>
        <w:spacing w:after="0" w:line="255"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$596 million, $584 million, and $580 million during fiscal years ended January 31, 2026, 2025, and 2024, respectively. As of January 31, 2026, total compensation cost not yet recognized of $737 million related to unvested awards is expected to be recognized over a weighted average period of 1.80 years. At January 31, 2026, the number of restricted stock units granted but unvested was 4 million.</w:t>
      </w:r>
    </w:p>
    <w:p>
      <w:pPr>
        <w:spacing w:after="0" w:line="208" w:lineRule="exact"/>
        <w:rPr>
          <w:sz w:val="20"/>
          <w:szCs w:val="20"/>
          <w:color w:val="auto"/>
        </w:rPr>
      </w:pPr>
    </w:p>
    <w:p>
      <w:pPr>
        <w:ind w:right="120" w:firstLine="398"/>
        <w:spacing w:after="0" w:line="251" w:lineRule="auto"/>
        <w:rPr>
          <w:sz w:val="20"/>
          <w:szCs w:val="20"/>
          <w:color w:val="auto"/>
        </w:rPr>
      </w:pPr>
      <w:r>
        <w:rPr>
          <w:rFonts w:ascii="Times New Roman" w:cs="Times New Roman" w:eastAsia="Times New Roman" w:hAnsi="Times New Roman"/>
          <w:sz w:val="18"/>
          <w:szCs w:val="18"/>
          <w:color w:val="auto"/>
        </w:rPr>
        <w:t>During the fiscal year ended January 31, 2026, Autodesk granted 332 thousand performance stock units for which the ultimate number of shares earned is determined based on the achievement of performance criteria at the end of the stated performance and service period. The performance criteria for the majority of the performance stock units are primarily based on revenue and non-GAAP operating income less stock-based compensation expense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40" w:right="240" w:hanging="316"/>
        <w:spacing w:after="0" w:line="260"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2026 as well as one-year Relative TSR (covering year one) or vest following year three depending the achievement of the performance criteria for fiscal 2026 as well as a 3-year Relative TSR (covering years one, two and three).</w:t>
      </w:r>
    </w:p>
    <w:p>
      <w:pPr>
        <w:spacing w:after="0" w:line="202"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fiscal 2027 as well as 2-year Relative TSR (covering years one and two) or vest following year three depending the achievement of the performance criteria for fiscal 2027 as well as a 3-year Relative TSR (covering years one, two and three).</w:t>
      </w:r>
    </w:p>
    <w:p>
      <w:pPr>
        <w:spacing w:after="0" w:line="202" w:lineRule="exact"/>
        <w:rPr>
          <w:rFonts w:ascii="Times New Roman" w:cs="Times New Roman" w:eastAsia="Times New Roman" w:hAnsi="Times New Roman"/>
          <w:sz w:val="18"/>
          <w:szCs w:val="18"/>
          <w:color w:val="auto"/>
        </w:rPr>
      </w:pPr>
    </w:p>
    <w:p>
      <w:pPr>
        <w:jc w:val="both"/>
        <w:ind w:left="640" w:right="100" w:hanging="316"/>
        <w:spacing w:after="0" w:line="253"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fiscal 2028 as well as 3-year Relative TSR (covering years one, two and three) or vest following year three depending the achievement of the performance criteria for fiscal 2028 as well as a 3-year Relative TSR (covering years one, two and three).</w:t>
      </w:r>
    </w:p>
    <w:p>
      <w:pPr>
        <w:spacing w:after="0" w:line="1" w:lineRule="exact"/>
        <w:rPr>
          <w:sz w:val="20"/>
          <w:szCs w:val="20"/>
          <w:color w:val="auto"/>
        </w:rPr>
      </w:pPr>
    </w:p>
    <w:p>
      <w:pPr>
        <w:ind w:right="340" w:firstLine="398"/>
        <w:spacing w:after="0" w:line="23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fiscal year ended January 31, 2026, was based on revenue and free cash flow goals adopted by the Compensation and Human Resource Committee.</w:t>
      </w:r>
    </w:p>
    <w:p>
      <w:pPr>
        <w:spacing w:after="0" w:line="220" w:lineRule="exact"/>
        <w:rPr>
          <w:sz w:val="20"/>
          <w:szCs w:val="20"/>
          <w:color w:val="auto"/>
        </w:rPr>
      </w:pPr>
    </w:p>
    <w:p>
      <w:pPr>
        <w:ind w:right="260" w:firstLine="398"/>
        <w:spacing w:after="0" w:line="304" w:lineRule="auto"/>
        <w:rPr>
          <w:sz w:val="20"/>
          <w:szCs w:val="20"/>
          <w:color w:val="auto"/>
        </w:rPr>
      </w:pPr>
      <w:r>
        <w:rPr>
          <w:rFonts w:ascii="Times New Roman" w:cs="Times New Roman" w:eastAsia="Times New Roman" w:hAnsi="Times New Roman"/>
          <w:sz w:val="17"/>
          <w:szCs w:val="17"/>
          <w:color w:val="auto"/>
        </w:rPr>
        <w:t>Performance stock units are not considered outstanding stock at the time of grant, as the holders of these units are not entitled to any of the rights of a stockholder, including voting rights. The fair value of the performance stock units is expensed using the accelerated attribution over the vesting period.</w:t>
      </w:r>
    </w:p>
    <w:p>
      <w:pPr>
        <w:spacing w:after="0" w:line="168"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$77 million, $57 million, and $42 million during fiscal years ended January 31, 2026, 2025, and 2024, respectively. As of January 31, 2026, total compensation cost not yet recognized of $24 million related to unvested performance stock units, is expected to be recognized over a weighted average period of 1.14 years. At January 31, 2026, the number of performance stock units granted but unvested was 567 thousand.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Expense</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fiscal 2026, 2025, and 2024,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39"/>
        </w:trPr>
        <w:tc>
          <w:tcPr>
            <w:tcW w:w="670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color w:val="auto"/>
              </w:rPr>
              <w:t>Stock-based compensation expense related to stock awards and Employee Qualified Stock Purchase</w:t>
            </w:r>
          </w:p>
        </w:tc>
        <w:tc>
          <w:tcPr>
            <w:tcW w:w="1000" w:type="dxa"/>
            <w:vAlign w:val="bottom"/>
            <w:vMerge w:val="restart"/>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2"/>
                <w:szCs w:val="12"/>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2"/>
                <w:szCs w:val="12"/>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191"/>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 ("ESPP") purchases</w:t>
            </w:r>
          </w:p>
        </w:tc>
        <w:tc>
          <w:tcPr>
            <w:tcW w:w="10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80" w:firstLine="398"/>
        <w:spacing w:after="0" w:line="274" w:lineRule="auto"/>
        <w:rPr>
          <w:sz w:val="20"/>
          <w:szCs w:val="20"/>
          <w:color w:val="auto"/>
        </w:rPr>
      </w:pPr>
      <w:r>
        <w:rPr>
          <w:rFonts w:ascii="Times New Roman" w:cs="Times New Roman" w:eastAsia="Times New Roman" w:hAnsi="Times New Roman"/>
          <w:sz w:val="18"/>
          <w:szCs w:val="18"/>
          <w:color w:val="auto"/>
        </w:rPr>
        <w:t>For the fiscal years ended January 31, 2026, 2025, and 2024, the Company recognized tax benefits on total stock-based compensation expense of $121 million, $118 million, and $117 million, respectively, in the income tax provision in the Consolidated Statements of Operations.</w:t>
      </w:r>
    </w:p>
    <w:p>
      <w:pPr>
        <w:spacing w:after="0" w:line="191" w:lineRule="exact"/>
        <w:rPr>
          <w:sz w:val="20"/>
          <w:szCs w:val="20"/>
          <w:color w:val="auto"/>
        </w:rPr>
      </w:pPr>
    </w:p>
    <w:p>
      <w:pPr>
        <w:ind w:right="240" w:firstLine="398"/>
        <w:spacing w:after="0" w:line="274" w:lineRule="auto"/>
        <w:rPr>
          <w:sz w:val="20"/>
          <w:szCs w:val="20"/>
          <w:color w:val="auto"/>
        </w:rPr>
      </w:pPr>
      <w:r>
        <w:rPr>
          <w:rFonts w:ascii="Times New Roman" w:cs="Times New Roman" w:eastAsia="Times New Roman" w:hAnsi="Times New Roman"/>
          <w:sz w:val="18"/>
          <w:szCs w:val="18"/>
          <w:color w:val="auto"/>
        </w:rPr>
        <w:t>For the fiscal years ended January 31, 2026, 2025, and 2024, the realized tax benefit related to awards vested or exercised during the period was $150 million, $148 million, and $112 million, respectively. The amounts do not include any indirect tax effects related to stock-based compensation.</w:t>
      </w:r>
    </w:p>
    <w:p>
      <w:pPr>
        <w:spacing w:after="0" w:line="164" w:lineRule="exact"/>
        <w:rPr>
          <w:sz w:val="20"/>
          <w:szCs w:val="20"/>
          <w:color w:val="auto"/>
        </w:rPr>
      </w:pPr>
    </w:p>
    <w:p>
      <w:pPr>
        <w:ind w:right="280" w:firstLine="398"/>
        <w:spacing w:after="0" w:line="274" w:lineRule="auto"/>
        <w:rPr>
          <w:sz w:val="20"/>
          <w:szCs w:val="20"/>
          <w:color w:val="auto"/>
        </w:rPr>
      </w:pPr>
      <w:r>
        <w:rPr>
          <w:rFonts w:ascii="Times New Roman" w:cs="Times New Roman" w:eastAsia="Times New Roman" w:hAnsi="Times New Roman"/>
          <w:sz w:val="18"/>
          <w:szCs w:val="18"/>
          <w:color w:val="auto"/>
        </w:rPr>
        <w:t>During fiscal years ended January 31, 2026, Autodesk recorded $54 million in stock-based compensation expense reflecting a cumulative adjustment since fiscal 1999 related to the Company’s ESPP. The differences were not material to any periods presented.</w:t>
      </w:r>
    </w:p>
    <w:p>
      <w:pPr>
        <w:spacing w:after="0" w:line="191" w:lineRule="exact"/>
        <w:rPr>
          <w:sz w:val="20"/>
          <w:szCs w:val="20"/>
          <w:color w:val="auto"/>
        </w:rPr>
      </w:pPr>
    </w:p>
    <w:p>
      <w:pPr>
        <w:ind w:right="300" w:firstLine="398"/>
        <w:spacing w:after="0" w:line="274" w:lineRule="auto"/>
        <w:rPr>
          <w:sz w:val="20"/>
          <w:szCs w:val="20"/>
          <w:color w:val="auto"/>
        </w:rPr>
      </w:pPr>
      <w:r>
        <w:rPr>
          <w:rFonts w:ascii="Times New Roman" w:cs="Times New Roman" w:eastAsia="Times New Roman" w:hAnsi="Times New Roman"/>
          <w:sz w:val="18"/>
          <w:szCs w:val="18"/>
          <w:color w:val="auto"/>
        </w:rPr>
        <w:t>Autodesk measures stock-based compensation cost at the grant date fair value of the award, and recognizes expense ratably over the requisite service period, which is generally the vesting period. Autodesk determines the grant date fair value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its stock-based payment awards for grants of employee stock purchases related to the employee stock purchase plan using the Black-Scholes-Merton (“BSM”) option-pricing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when awards are granted and adjusted as needed. Stock-based compensation cost for restricted stock is measured on the closing fair market value of our common stock on the date of grant. Autodesk uses the following assumptions to estimate the fair value of stock-based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600" w:type="dxa"/>
            <w:vAlign w:val="bottom"/>
          </w:tcPr>
          <w:p>
            <w:pPr>
              <w:spacing w:after="0"/>
              <w:rPr>
                <w:sz w:val="16"/>
                <w:szCs w:val="16"/>
                <w:color w:val="auto"/>
              </w:rPr>
            </w:pPr>
          </w:p>
        </w:tc>
        <w:tc>
          <w:tcPr>
            <w:tcW w:w="2260" w:type="dxa"/>
            <w:vAlign w:val="bottom"/>
            <w:gridSpan w:val="3"/>
          </w:tcPr>
          <w:p>
            <w:pPr>
              <w:jc w:val="center"/>
              <w:ind w:right="522"/>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January 31, 2026</w:t>
            </w:r>
          </w:p>
        </w:tc>
        <w:tc>
          <w:tcPr>
            <w:tcW w:w="2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600" w:type="dxa"/>
            <w:vAlign w:val="bottom"/>
          </w:tcPr>
          <w:p>
            <w:pPr>
              <w:spacing w:after="0"/>
              <w:rPr>
                <w:sz w:val="17"/>
                <w:szCs w:val="17"/>
                <w:color w:val="auto"/>
              </w:rPr>
            </w:pPr>
          </w:p>
        </w:tc>
        <w:tc>
          <w:tcPr>
            <w:tcW w:w="2260" w:type="dxa"/>
            <w:vAlign w:val="bottom"/>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40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5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56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3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6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30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- 33.4%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28.3 - 29.6%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29.4 - 31.4%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28.7 - 34.5%</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- 42.5%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29.4 - 42.4%</w:t>
            </w: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N/A</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4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- 4.1%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3.6 - 4.3%</w:t>
            </w:r>
          </w:p>
        </w:tc>
        <w:tc>
          <w:tcPr>
            <w:tcW w:w="100" w:type="dxa"/>
            <w:vAlign w:val="bottom"/>
          </w:tcPr>
          <w:p>
            <w:pPr>
              <w:spacing w:after="0"/>
              <w:rPr>
                <w:sz w:val="18"/>
                <w:szCs w:val="18"/>
                <w:color w:val="auto"/>
              </w:rPr>
            </w:pPr>
          </w:p>
        </w:tc>
        <w:tc>
          <w:tcPr>
            <w:tcW w:w="14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3.6 - 5.4%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- 4.7%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4.3 - 5.5%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4"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Autodesk did not pay cash dividends in fiscal 2026, 2025, or 2024 and does not anticipate paying any cash dividends in the foreseeable future. Consequently, an expected dividend yield of zero is used in the BSM option pricing model and the Monte Carlo simulation model. The risk-free interest rate used in the BSM option pricing model and the Monte Carlo simulation model for stock-based awards is the historical yield on U.S. Treasury securities with equivalent remaining lives. Autodesk recognizes expense only for the stock-based awards that ultimately vest. Autodesk accounts for forfeitures of stock-based awards as those forfeitures occur.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Qualified Stock Purchase Plan (“ESPP”)</w:t>
      </w:r>
    </w:p>
    <w:p>
      <w:pPr>
        <w:spacing w:after="0" w:line="246"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Under Autodesk’s ESPP, which was approved by stockholders in 1998, as amended and restated,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208" w:lineRule="exact"/>
        <w:rPr>
          <w:sz w:val="20"/>
          <w:szCs w:val="20"/>
          <w:color w:val="auto"/>
        </w:rPr>
      </w:pPr>
    </w:p>
    <w:p>
      <w:pPr>
        <w:ind w:right="220" w:firstLine="398"/>
        <w:spacing w:after="0" w:line="274" w:lineRule="auto"/>
        <w:rPr>
          <w:sz w:val="20"/>
          <w:szCs w:val="20"/>
          <w:color w:val="auto"/>
        </w:rPr>
      </w:pPr>
      <w:r>
        <w:rPr>
          <w:rFonts w:ascii="Times New Roman" w:cs="Times New Roman" w:eastAsia="Times New Roman" w:hAnsi="Times New Roman"/>
          <w:sz w:val="18"/>
          <w:szCs w:val="18"/>
          <w:color w:val="auto"/>
        </w:rPr>
        <w:t>At January 31, 2026, a total of 3 million shares were available for future issuance. Under the ESPP, the Company issues shares on the first trading day following March 31 and September 30 of each fiscal year. The ESPP does not have an expiration date.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ESPP activity for the fiscal years ended January 31, 2026, 2025, and 2024 was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02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00" w:type="dxa"/>
            <w:vAlign w:val="bottom"/>
            <w:tcBorders>
              <w:top w:val="single" w:sz="8" w:color="auto"/>
              <w:bottom w:val="single" w:sz="8" w:color="auto"/>
            </w:tcBorders>
          </w:tcPr>
          <w:p>
            <w:pPr>
              <w:spacing w:after="0"/>
              <w:rPr>
                <w:sz w:val="17"/>
                <w:szCs w:val="17"/>
                <w:color w:val="auto"/>
              </w:rPr>
            </w:pPr>
          </w:p>
        </w:tc>
      </w:tr>
      <w:tr>
        <w:trPr>
          <w:trHeight w:val="192"/>
        </w:trPr>
        <w:tc>
          <w:tcPr>
            <w:tcW w:w="70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791</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80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219.42</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165.89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163.91</w:t>
            </w: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awards granted under the ESPP</w:t>
            </w:r>
          </w:p>
        </w:tc>
        <w:tc>
          <w:tcPr>
            <w:tcW w:w="8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520" w:firstLine="398"/>
        <w:spacing w:after="0" w:line="274" w:lineRule="auto"/>
        <w:rPr>
          <w:sz w:val="20"/>
          <w:szCs w:val="20"/>
          <w:color w:val="auto"/>
        </w:rPr>
      </w:pPr>
      <w:r>
        <w:rPr>
          <w:rFonts w:ascii="Times New Roman" w:cs="Times New Roman" w:eastAsia="Times New Roman" w:hAnsi="Times New Roman"/>
          <w:sz w:val="18"/>
          <w:szCs w:val="18"/>
          <w:color w:val="auto"/>
        </w:rPr>
        <w:t>Autodesk recorded $115 million, $41 million, and $63 million of compensation expense associated with the ESPP in fiscal 2026, 2025, and 2024, respectively.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Equity Compensation Plan Information</w:t>
      </w:r>
    </w:p>
    <w:p>
      <w:pPr>
        <w:spacing w:after="0" w:line="246" w:lineRule="exact"/>
        <w:rPr>
          <w:sz w:val="20"/>
          <w:szCs w:val="20"/>
          <w:color w:val="auto"/>
        </w:rPr>
      </w:pPr>
    </w:p>
    <w:p>
      <w:pPr>
        <w:ind w:right="180" w:firstLine="39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awards granted to employees and directors, as well as the number of securities remaining available for future issuance under these plans as of January 31,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upon exercise or vesting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74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 and 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 (in millions) (1)</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CEEFF"/>
          </w:tcPr>
          <w:p>
            <w:pPr>
              <w:spacing w:after="0"/>
              <w:rPr>
                <w:sz w:val="17"/>
                <w:szCs w:val="17"/>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jc w:val="right"/>
              <w:ind w:right="2943"/>
              <w:spacing w:after="0"/>
              <w:rPr>
                <w:sz w:val="20"/>
                <w:szCs w:val="20"/>
                <w:color w:val="auto"/>
              </w:rPr>
            </w:pPr>
            <w:r>
              <w:rPr>
                <w:rFonts w:ascii="Times New Roman" w:cs="Times New Roman" w:eastAsia="Times New Roman" w:hAnsi="Times New Roman"/>
                <w:sz w:val="18"/>
                <w:szCs w:val="18"/>
                <w:color w:val="auto"/>
                <w:w w:val="97"/>
              </w:rPr>
              <w:t>____________________</w:t>
            </w: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80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0" w:hanging="394"/>
        <w:spacing w:after="0"/>
        <w:tabs>
          <w:tab w:leader="none" w:pos="4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this amount are 3 million securities available for future issuance under Autodesk’s ESPP.</w:t>
      </w:r>
    </w:p>
    <w:p>
      <w:pPr>
        <w:spacing w:after="0" w:line="2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Income Taxes</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federal</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state</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foreign</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Domestic and foreign pretax income from continuing operations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406</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730</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pretax income</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60" w:firstLine="398"/>
        <w:spacing w:after="0" w:line="274" w:lineRule="auto"/>
        <w:rPr>
          <w:sz w:val="20"/>
          <w:szCs w:val="20"/>
          <w:color w:val="auto"/>
        </w:rPr>
      </w:pPr>
      <w:r>
        <w:rPr>
          <w:rFonts w:ascii="Times New Roman" w:cs="Times New Roman" w:eastAsia="Times New Roman" w:hAnsi="Times New Roman"/>
          <w:sz w:val="18"/>
          <w:szCs w:val="18"/>
          <w:color w:val="auto"/>
        </w:rPr>
        <w:t>For the year ended January 31, 2026, the differences between the U.S. statutory rate and the aggregate income tax provision, presented in accordance with the guidance in ASU 2023-09, are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Fiscal year ended January 31, 2026</w:t>
            </w:r>
          </w:p>
        </w:tc>
        <w:tc>
          <w:tcPr>
            <w:tcW w:w="540" w:type="dxa"/>
            <w:vAlign w:val="bottom"/>
            <w:tcBorders>
              <w:bottom w:val="single" w:sz="8" w:color="auto"/>
            </w:tcBorders>
          </w:tcPr>
          <w:p>
            <w:pPr>
              <w:spacing w:after="0"/>
              <w:rPr>
                <w:sz w:val="18"/>
                <w:szCs w:val="18"/>
                <w:color w:val="auto"/>
              </w:rPr>
            </w:pPr>
          </w:p>
        </w:tc>
      </w:tr>
      <w:tr>
        <w:trPr>
          <w:trHeight w:val="20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Australia</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0"/>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Brazil</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Withholding taxes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4"/>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Ireland</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Statutory income tax rate differential</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0"/>
        </w:trPr>
        <w:tc>
          <w:tcPr>
            <w:tcW w:w="7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withholding taxes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4"/>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controlled foreign corporation tested income</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0"/>
        </w:trPr>
        <w:tc>
          <w:tcPr>
            <w:tcW w:w="7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effects on cross-border tax laws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7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tax credits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effect of non-deductible stock-based compensation</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0"/>
        </w:trPr>
        <w:tc>
          <w:tcPr>
            <w:tcW w:w="7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nontaxable or non-deductible items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compensation excess benefits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adjustments</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(1)</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400" w:hanging="394"/>
        <w:spacing w:after="0"/>
        <w:tabs>
          <w:tab w:leader="none" w:pos="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21" w:lineRule="exact"/>
        <w:rPr>
          <w:sz w:val="20"/>
          <w:szCs w:val="20"/>
          <w:color w:val="auto"/>
        </w:rPr>
      </w:pPr>
    </w:p>
    <w:p>
      <w:pPr>
        <w:ind w:right="160" w:firstLine="398"/>
        <w:spacing w:after="0" w:line="274" w:lineRule="auto"/>
        <w:rPr>
          <w:sz w:val="20"/>
          <w:szCs w:val="20"/>
          <w:color w:val="auto"/>
        </w:rPr>
      </w:pPr>
      <w:r>
        <w:rPr>
          <w:rFonts w:ascii="Times New Roman" w:cs="Times New Roman" w:eastAsia="Times New Roman" w:hAnsi="Times New Roman"/>
          <w:sz w:val="18"/>
          <w:szCs w:val="18"/>
          <w:color w:val="auto"/>
        </w:rPr>
        <w:t>For fiscal 2026, state taxes in Illinois, New Jersey, New York, and Pennsylvania comprised greater than 50% of the taxes presented in the State income tax category.</w:t>
      </w:r>
    </w:p>
    <w:p>
      <w:pPr>
        <w:spacing w:after="0" w:line="191" w:lineRule="exact"/>
        <w:rPr>
          <w:sz w:val="20"/>
          <w:szCs w:val="20"/>
          <w:color w:val="auto"/>
        </w:rPr>
      </w:pPr>
    </w:p>
    <w:p>
      <w:pPr>
        <w:ind w:right="100" w:firstLine="398"/>
        <w:spacing w:after="0" w:line="274" w:lineRule="auto"/>
        <w:rPr>
          <w:sz w:val="20"/>
          <w:szCs w:val="20"/>
          <w:color w:val="auto"/>
        </w:rPr>
      </w:pPr>
      <w:r>
        <w:rPr>
          <w:rFonts w:ascii="Times New Roman" w:cs="Times New Roman" w:eastAsia="Times New Roman" w:hAnsi="Times New Roman"/>
          <w:sz w:val="18"/>
          <w:szCs w:val="18"/>
          <w:color w:val="auto"/>
        </w:rPr>
        <w:t>For fiscal 2025 and fiscal 2024, the differences between the U.S. statutory rate and the aggregate income tax provision are presented in accordance with the guidance prior to the adoption of ASU 2023-09.</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Fiscal year ended January 31,</w:t>
            </w:r>
          </w:p>
        </w:tc>
        <w:tc>
          <w:tcPr>
            <w:tcW w:w="440" w:type="dxa"/>
            <w:vAlign w:val="bottom"/>
            <w:tcBorders>
              <w:bottom w:val="single" w:sz="8" w:color="auto"/>
            </w:tcBorders>
          </w:tcPr>
          <w:p>
            <w:pPr>
              <w:spacing w:after="0"/>
              <w:rPr>
                <w:sz w:val="18"/>
                <w:szCs w:val="18"/>
                <w:color w:val="auto"/>
              </w:rPr>
            </w:pPr>
          </w:p>
        </w:tc>
      </w:tr>
      <w:tr>
        <w:trPr>
          <w:trHeight w:val="20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Borders>
              <w:bottom w:val="single" w:sz="8" w:color="auto"/>
            </w:tcBorders>
          </w:tcPr>
          <w:p>
            <w:pPr>
              <w:spacing w:after="0"/>
              <w:rPr>
                <w:sz w:val="17"/>
                <w:szCs w:val="17"/>
                <w:color w:val="auto"/>
              </w:rPr>
            </w:pPr>
          </w:p>
        </w:tc>
      </w:tr>
      <w:tr>
        <w:trPr>
          <w:trHeight w:val="20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provision(benefit) at U.S. Federal statutory rate</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 benefit, net of the U.S. federal benefit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taxed at rate different from the U.S. statutory rate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 adjustment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nondeductible stock-based compensation</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windfall/shortfall</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 benefit</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Closure of income tax audits and changes in uncertain tax positions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officer compensation in excess of $1M</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intangible low-taxed income, foreign derived intangible income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integration</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2"/>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Significant components of Autodesk’s deferred tax assets and liabilities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 carryforwards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accruals not currently deductible for tax</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research and development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loss carryforwards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427</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technology</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1,512</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1,381</w:t>
            </w: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Indefinite lived intangibles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 on foreign earnings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primarily on acquired intangibles and valuation allowances on deferred tax assets. Autodesk regularly assesses the need for a valuation allowance against its deferred tax assets. In making that assessment, Autodesk evaluates whether it is more likely than not that some or all of the deferred tax assets will not be realized based on all available positive and negative evidence.</w:t>
      </w:r>
    </w:p>
    <w:p>
      <w:pPr>
        <w:spacing w:after="0" w:line="209" w:lineRule="exact"/>
        <w:rPr>
          <w:sz w:val="20"/>
          <w:szCs w:val="20"/>
          <w:color w:val="auto"/>
        </w:rPr>
      </w:pPr>
    </w:p>
    <w:p>
      <w:pPr>
        <w:ind w:right="120" w:firstLine="398"/>
        <w:spacing w:after="0" w:line="260" w:lineRule="auto"/>
        <w:rPr>
          <w:sz w:val="20"/>
          <w:szCs w:val="20"/>
          <w:color w:val="auto"/>
        </w:rPr>
      </w:pPr>
      <w:r>
        <w:rPr>
          <w:rFonts w:ascii="Times New Roman" w:cs="Times New Roman" w:eastAsia="Times New Roman" w:hAnsi="Times New Roman"/>
          <w:sz w:val="18"/>
          <w:szCs w:val="18"/>
          <w:color w:val="auto"/>
        </w:rPr>
        <w:t>Autodesk believes it will generate sufficient future taxable income in appropriate tax jurisdictions to realize its deferred tax assets for which a valuation allowance has not been recorded. Deferred tax assets are measured using enacted tax rates expected to apply to taxable income in the years in which those temporary differences are expected to reverse.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The Company continues to retain a valuation allowance against New Zealand, California, Massachusetts and Michigan deferred tax assets and deferred tax assets relating to capital losses or assets that will convert into a capital loss upon reversal in Australia and U.S., as the Company does not have sufficient income of the appropriate character to benefit these deferred tax assets. In fiscal 2026, a valuation allowance was established in Australia on deferred tax assets that will convert to capital loss upon reversal. The Company also released its valuation allowance in Portugal based on positive evidence supporting the realization of its deferred tax assets in fiscal 2026.</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elected to recognize any potential NCTI obligations as an expense in the period it is incurred.</w:t>
      </w:r>
    </w:p>
    <w:p>
      <w:pPr>
        <w:spacing w:after="0" w:line="244"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As of January 31, 2026, Autodesk had $1.33 billion of cumulative U.S. federal tax loss carryforwards and $812 million of cumulative U.S. state tax loss carryforwards, which may be available to reduce future income tax liabilities in federal and state jurisdictions. The U.S. federal losses generated beginning in fiscal 2019 are carried forward indefinitely. The U.S. state tax loss carryforward will expire beginning fiscal 2025 through fiscal 2046. In addition to U.S. federal and state tax loss carryforwards, Norway, New Zealand and other foreign jurisdictions incurred tax losses totaling $22 million, which may be available to reduce future income tax liabilities. Our Norway and New Zealand losses of $13 million and $7 million, respectively, have an indefinite expiration period. New Zealand losses have a full valuation allowance against them on our balance sheet as the Company has determined it is more likely than not that these losses will not be utilized.</w:t>
      </w:r>
    </w:p>
    <w:p>
      <w:pPr>
        <w:spacing w:after="0" w:line="215"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As of January 31, 2026, Autodesk had $38 million of cumulative U.S. federal research tax credit carryforwards, $143 million of cumulative California state research tax credit carryforwards, $18 million of cumulative Massachusetts state research tax credit carryforwards, and $38 million of cumulative Canadian federal research tax credit carryforwards, which may be available to reduce future income tax liabilities in the respective jurisdictions. The federal research tax credit carryforward will expire beginning of fiscal 2046, the state research tax credit carryforwards in California and Massachusetts may reduce future California and Massachusetts income tax liabilities indefinitely in those respective states, and the Canadian research tax credit carryforwards will expire beginning fiscal 2033 through fiscal 2046. Autodesk also has $52 million of cumulative U.S. federal foreign tax credit carryforwards, which may be available to reduce future U.S. tax liabilities. These foreign tax credits will expire beginning fiscal 2032 through fiscal 2036. As discussed above, the California and Massachusetts cumulative assets have full valuation allowance against them on our balance sheet as the Company has determined it is more likely than not that these losses and credits will not be utilized.</w:t>
      </w:r>
    </w:p>
    <w:p>
      <w:pPr>
        <w:spacing w:after="0" w:line="216" w:lineRule="exact"/>
        <w:rPr>
          <w:sz w:val="20"/>
          <w:szCs w:val="20"/>
          <w:color w:val="auto"/>
        </w:rPr>
      </w:pPr>
    </w:p>
    <w:p>
      <w:pPr>
        <w:jc w:val="both"/>
        <w:ind w:right="280" w:firstLine="398"/>
        <w:spacing w:after="0" w:line="260" w:lineRule="auto"/>
        <w:rPr>
          <w:sz w:val="20"/>
          <w:szCs w:val="20"/>
          <w:color w:val="auto"/>
        </w:rPr>
      </w:pPr>
      <w:r>
        <w:rPr>
          <w:rFonts w:ascii="Times New Roman" w:cs="Times New Roman" w:eastAsia="Times New Roman" w:hAnsi="Times New Roman"/>
          <w:sz w:val="18"/>
          <w:szCs w:val="18"/>
          <w:color w:val="auto"/>
        </w:rPr>
        <w:t>Utilization of net operating losses and tax credits may be subject to an annual limitation due to ownership change limitations provided in the IRS and similar state provisions. This annual limitation may result in the expiration of net operating losses and credits before utilization. No ownership change has occurred through the balance sheet date that would result in permanent losses of the U.S. federal and state tax attributes.</w:t>
      </w:r>
    </w:p>
    <w:p>
      <w:pPr>
        <w:spacing w:after="0" w:line="203" w:lineRule="exact"/>
        <w:rPr>
          <w:sz w:val="20"/>
          <w:szCs w:val="20"/>
          <w:color w:val="auto"/>
        </w:rPr>
      </w:pPr>
    </w:p>
    <w:p>
      <w:pPr>
        <w:jc w:val="both"/>
        <w:ind w:right="60" w:firstLine="398"/>
        <w:spacing w:after="0" w:line="260" w:lineRule="auto"/>
        <w:rPr>
          <w:sz w:val="20"/>
          <w:szCs w:val="20"/>
          <w:color w:val="auto"/>
        </w:rPr>
      </w:pPr>
      <w:r>
        <w:rPr>
          <w:rFonts w:ascii="Times New Roman" w:cs="Times New Roman" w:eastAsia="Times New Roman" w:hAnsi="Times New Roman"/>
          <w:sz w:val="18"/>
          <w:szCs w:val="18"/>
          <w:color w:val="auto"/>
        </w:rPr>
        <w:t>As of January 31, 2026, the Company had $307 million of gross unrecognized tax benefits, of which $50 million would reduce our valuation allowance, if recognized. The remaining $257 million would impact the effective tax rate. The amount of unrecognized tax benefits that will decrease in the next twelve months due to statute lapses is $162 million.</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gross unrecognized tax benefits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unrecognized tax benefits at the beginning of the fiscal year</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for tax positions of prior years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Decreases for tax positions of prior years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for tax positions related to the current year</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Decreases relating to settlements with taxing authorities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as a result of lapse of the statute of limitations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unrecognized tax benefits at the end of the fiscal year</w:t>
            </w:r>
          </w:p>
        </w:tc>
        <w:tc>
          <w:tcPr>
            <w:tcW w:w="1000" w:type="dxa"/>
            <w:vAlign w:val="bottom"/>
            <w:tcBorders>
              <w:top w:val="single" w:sz="8" w:color="auto"/>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right="220" w:firstLine="398"/>
        <w:spacing w:after="0" w:line="255" w:lineRule="auto"/>
        <w:rPr>
          <w:sz w:val="20"/>
          <w:szCs w:val="20"/>
          <w:color w:val="auto"/>
        </w:rPr>
      </w:pPr>
      <w:r>
        <w:rPr>
          <w:rFonts w:ascii="Times New Roman" w:cs="Times New Roman" w:eastAsia="Times New Roman" w:hAnsi="Times New Roman"/>
          <w:sz w:val="18"/>
          <w:szCs w:val="18"/>
          <w:color w:val="auto"/>
        </w:rPr>
        <w:t>It is the Company’s continuing practice to recognize interest and/or penalties related to income tax matters in income tax expense. Autodesk had $20 million, $15 million, and $7 million, net of tax benefit, accrued for interest and penalties related to unrecognized tax benefits as of January 31, 2026, 2025, and 2024, respectively. There was $4 million, $9 million, and $2 million of net expense for interest and penalties related to tax matters recorded through the Consolidated Statements of Operations for fiscal 2026, fiscal 2025, and fiscal 2024,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As of fiscal 2026, tax years 2023 through 2026 remain subject to examination by the relevant tax authorities. Although tax years prior to 2023 are generally closed, tax authorities may review and adjust net operating loss carryforwards, tax credit carryforwards, and other tax attributes generated in closed years to the extent such attributes are utilized in an open tax year.</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Autodesk files tax returns in multiple foreign taxing jurisdictions with open tax years ranging from fiscal 2005 to 2026.</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taxes paid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Fiscal year ended January 31,</w:t>
            </w:r>
          </w:p>
        </w:tc>
      </w:tr>
      <w:tr>
        <w:trPr>
          <w:trHeight w:val="206"/>
        </w:trPr>
        <w:tc>
          <w:tcPr>
            <w:tcW w:w="80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1380"/>
              <w:spacing w:after="0"/>
              <w:rPr>
                <w:sz w:val="20"/>
                <w:szCs w:val="20"/>
                <w:color w:val="auto"/>
              </w:rPr>
            </w:pPr>
            <w:r>
              <w:rPr>
                <w:rFonts w:ascii="Times New Roman" w:cs="Times New Roman" w:eastAsia="Times New Roman" w:hAnsi="Times New Roman"/>
                <w:sz w:val="16"/>
                <w:szCs w:val="16"/>
                <w:color w:val="auto"/>
              </w:rPr>
              <w:t>2026</w:t>
            </w: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3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Brazil</w:t>
            </w:r>
          </w:p>
        </w:tc>
        <w:tc>
          <w:tcPr>
            <w:tcW w:w="3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Ireland</w:t>
            </w:r>
          </w:p>
        </w:tc>
        <w:tc>
          <w:tcPr>
            <w:tcW w:w="38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3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3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taxes paid</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2"/>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60" w:hanging="354"/>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46" w:lineRule="exact"/>
        <w:rPr>
          <w:sz w:val="20"/>
          <w:szCs w:val="20"/>
          <w:color w:val="auto"/>
        </w:rPr>
      </w:pPr>
    </w:p>
    <w:p>
      <w:pPr>
        <w:ind w:right="180" w:firstLine="398"/>
        <w:spacing w:after="0" w:line="260" w:lineRule="auto"/>
        <w:rPr>
          <w:sz w:val="20"/>
          <w:szCs w:val="20"/>
          <w:color w:val="auto"/>
        </w:rPr>
      </w:pPr>
      <w:r>
        <w:rPr>
          <w:rFonts w:ascii="Times New Roman" w:cs="Times New Roman" w:eastAsia="Times New Roman" w:hAnsi="Times New Roman"/>
          <w:sz w:val="18"/>
          <w:szCs w:val="18"/>
          <w:color w:val="auto"/>
        </w:rPr>
        <w:t>The results of operations for the following acquisitions are included in the accompanying Consolidated Statements of Operations since their respective acquisition dates. Pro forma results of operations have not been presented because the effects of these acquisitions were not material to Autodesk’s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2026 Acquisitions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fiscal year ended January 31, 2026, Autodesk did not complete any business combinations.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Acquisitions</w:t>
      </w:r>
    </w:p>
    <w:p>
      <w:pPr>
        <w:spacing w:after="0" w:line="233" w:lineRule="exact"/>
        <w:rPr>
          <w:sz w:val="20"/>
          <w:szCs w:val="20"/>
          <w:color w:val="auto"/>
        </w:rPr>
      </w:pPr>
    </w:p>
    <w:p>
      <w:pPr>
        <w:ind w:right="140" w:firstLine="398"/>
        <w:spacing w:after="0" w:line="244" w:lineRule="auto"/>
        <w:rPr>
          <w:sz w:val="20"/>
          <w:szCs w:val="20"/>
          <w:color w:val="auto"/>
        </w:rPr>
      </w:pPr>
      <w:r>
        <w:rPr>
          <w:rFonts w:ascii="Times New Roman" w:cs="Times New Roman" w:eastAsia="Times New Roman" w:hAnsi="Times New Roman"/>
          <w:sz w:val="18"/>
          <w:szCs w:val="18"/>
          <w:color w:val="auto"/>
        </w:rPr>
        <w:t>On May 20, 2024, Autodesk acquired 100% of Aether Media, Inc. (“Aether”), a provider of a cloud-based artificial intelligence pipeline for creating computer-generated 3D characters into live-action scenes, for total consideration of $131 million in cash. Of the total consideration transferred, $122 million was considered purchase consideration.</w:t>
      </w:r>
    </w:p>
    <w:p>
      <w:pPr>
        <w:spacing w:after="0" w:line="191" w:lineRule="exact"/>
        <w:rPr>
          <w:sz w:val="20"/>
          <w:szCs w:val="20"/>
          <w:color w:val="auto"/>
        </w:rPr>
      </w:pPr>
    </w:p>
    <w:p>
      <w:pPr>
        <w:ind w:right="440" w:firstLine="398"/>
        <w:spacing w:after="0" w:line="259" w:lineRule="auto"/>
        <w:rPr>
          <w:sz w:val="20"/>
          <w:szCs w:val="20"/>
          <w:color w:val="auto"/>
        </w:rPr>
      </w:pPr>
      <w:r>
        <w:rPr>
          <w:rFonts w:ascii="Times New Roman" w:cs="Times New Roman" w:eastAsia="Times New Roman" w:hAnsi="Times New Roman"/>
          <w:sz w:val="18"/>
          <w:szCs w:val="18"/>
          <w:color w:val="auto"/>
        </w:rPr>
        <w:t>On March 15, 2024, Autodesk acquired 100% of the PIX business of X2X, LLC (“PIX”), a production management solution for secure review and content collaboration in the media and entertainment industry for total consideration of $266 million in cash.</w:t>
      </w:r>
    </w:p>
    <w:p>
      <w:pPr>
        <w:spacing w:after="0" w:line="190" w:lineRule="exact"/>
        <w:rPr>
          <w:sz w:val="20"/>
          <w:szCs w:val="20"/>
          <w:color w:val="auto"/>
        </w:rPr>
      </w:pPr>
    </w:p>
    <w:p>
      <w:pPr>
        <w:jc w:val="both"/>
        <w:ind w:right="140" w:firstLine="398"/>
        <w:spacing w:after="0" w:line="244" w:lineRule="auto"/>
        <w:rPr>
          <w:sz w:val="20"/>
          <w:szCs w:val="20"/>
          <w:color w:val="auto"/>
        </w:rPr>
      </w:pPr>
      <w:r>
        <w:rPr>
          <w:rFonts w:ascii="Times New Roman" w:cs="Times New Roman" w:eastAsia="Times New Roman" w:hAnsi="Times New Roman"/>
          <w:sz w:val="18"/>
          <w:szCs w:val="18"/>
          <w:color w:val="auto"/>
        </w:rPr>
        <w:t>On February 20, 2024, Autodesk acquired 100% of the outstanding stock of Payapps Limited (“Payapps”), a leading cloud-based software platform for managing construction-related payments, for total consideration of $387 million in cash. Of the total consideration transferred, $381 million was considered purchase consideration.</w:t>
      </w:r>
    </w:p>
    <w:p>
      <w:pPr>
        <w:spacing w:after="0" w:line="204" w:lineRule="exact"/>
        <w:rPr>
          <w:sz w:val="20"/>
          <w:szCs w:val="20"/>
          <w:color w:val="auto"/>
        </w:rPr>
      </w:pPr>
    </w:p>
    <w:p>
      <w:pPr>
        <w:ind w:right="280" w:firstLine="438"/>
        <w:spacing w:after="0" w:line="244" w:lineRule="auto"/>
        <w:rPr>
          <w:sz w:val="20"/>
          <w:szCs w:val="20"/>
          <w:color w:val="auto"/>
        </w:rPr>
      </w:pPr>
      <w:r>
        <w:rPr>
          <w:rFonts w:ascii="Times New Roman" w:cs="Times New Roman" w:eastAsia="Times New Roman" w:hAnsi="Times New Roman"/>
          <w:sz w:val="18"/>
          <w:szCs w:val="18"/>
          <w:color w:val="auto"/>
        </w:rPr>
        <w:t>The results of operations for fiscal 2025 acquisitions were included in the accompanying Consolidated Statement of Operations from the dates of the respective acquisitions. Goodwill of $164 million and $185 million is expected to be deductible for U.S. income tax purposes for Payapps and PIX, respectively. No goodwill is deductible for U.S. income tax purposes for Aether.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Acquisitions</w:t>
      </w:r>
    </w:p>
    <w:p>
      <w:pPr>
        <w:spacing w:after="0" w:line="246" w:lineRule="exact"/>
        <w:rPr>
          <w:sz w:val="20"/>
          <w:szCs w:val="20"/>
          <w:color w:val="auto"/>
        </w:rPr>
      </w:pPr>
    </w:p>
    <w:p>
      <w:pPr>
        <w:ind w:right="280" w:firstLine="398"/>
        <w:spacing w:after="0" w:line="274" w:lineRule="auto"/>
        <w:rPr>
          <w:sz w:val="20"/>
          <w:szCs w:val="20"/>
          <w:color w:val="auto"/>
        </w:rPr>
      </w:pPr>
      <w:r>
        <w:rPr>
          <w:rFonts w:ascii="Times New Roman" w:cs="Times New Roman" w:eastAsia="Times New Roman" w:hAnsi="Times New Roman"/>
          <w:sz w:val="18"/>
          <w:szCs w:val="18"/>
          <w:color w:val="auto"/>
        </w:rPr>
        <w:t>During the fiscal year ended January 31, 2024, Autodesk completed three business combinations. The acquisition-date fair value of the consideration transferred totaled $85 million in cash. Of the total consideration transferred, $71 million was considered purchase consideration.</w:t>
      </w:r>
    </w:p>
    <w:p>
      <w:pPr>
        <w:spacing w:after="0" w:line="191" w:lineRule="exact"/>
        <w:rPr>
          <w:sz w:val="20"/>
          <w:szCs w:val="20"/>
          <w:color w:val="auto"/>
        </w:rPr>
      </w:pPr>
    </w:p>
    <w:p>
      <w:pPr>
        <w:ind w:right="320" w:firstLine="398"/>
        <w:spacing w:after="0" w:line="274" w:lineRule="auto"/>
        <w:rPr>
          <w:sz w:val="20"/>
          <w:szCs w:val="20"/>
          <w:color w:val="auto"/>
        </w:rPr>
      </w:pPr>
      <w:r>
        <w:rPr>
          <w:rFonts w:ascii="Times New Roman" w:cs="Times New Roman" w:eastAsia="Times New Roman" w:hAnsi="Times New Roman"/>
          <w:sz w:val="18"/>
          <w:szCs w:val="18"/>
          <w:color w:val="auto"/>
        </w:rPr>
        <w:t>The results of operations for fiscal 2024 acquisitions were included in the accompanying Consolidated Statement of Operations from the dates of the respective acquisitions. Goodwill of $34 million is deductible for U.S. income tax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right="8820" w:hanging="434"/>
        <w:spacing w:after="0" w:line="554" w:lineRule="auto"/>
        <w:tabs>
          <w:tab w:leader="none" w:pos="35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i w:val="1"/>
          <w:iCs w:val="1"/>
          <w:u w:val="single" w:color="auto"/>
          <w:color w:val="auto"/>
        </w:rPr>
        <w:t>Accounts Receivable, Net</w:t>
      </w:r>
    </w:p>
    <w:p>
      <w:pPr>
        <w:spacing w:after="0" w:line="1"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consisted of the following as of January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1,086</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 returns reserve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Partner programs and other obligations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Allowances for credit losses on trade receivables and contract assets were not material as of January 31, 2026 and 2025.</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 Net</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and related accumulated amortization at January 31, 2026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and related accumulated amortization at January 31, 2025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20" w:firstLine="398"/>
        <w:spacing w:after="0" w:line="274" w:lineRule="auto"/>
        <w:rPr>
          <w:sz w:val="20"/>
          <w:szCs w:val="20"/>
          <w:color w:val="auto"/>
        </w:rPr>
      </w:pPr>
      <w:r>
        <w:rPr>
          <w:rFonts w:ascii="Times New Roman" w:cs="Times New Roman" w:eastAsia="Times New Roman" w:hAnsi="Times New Roman"/>
          <w:sz w:val="18"/>
          <w:szCs w:val="18"/>
          <w:color w:val="auto"/>
        </w:rPr>
        <w:t>The majority of Autodesk’s intangible assets are amortized to expense over the estimated economic life, which ranges from 3 to 15 years. Amortization expense for intangible assets was $150 million in fiscal 2026, $134 million in fiscal 2025, and $89 million in fiscal 2024.</w:t>
      </w:r>
    </w:p>
    <w:p>
      <w:pPr>
        <w:spacing w:after="0" w:line="191" w:lineRule="exact"/>
        <w:rPr>
          <w:sz w:val="20"/>
          <w:szCs w:val="20"/>
          <w:color w:val="auto"/>
        </w:rPr>
      </w:pPr>
    </w:p>
    <w:p>
      <w:pPr>
        <w:ind w:right="280" w:firstLine="398"/>
        <w:spacing w:after="0" w:line="265" w:lineRule="auto"/>
        <w:rPr>
          <w:sz w:val="20"/>
          <w:szCs w:val="20"/>
          <w:color w:val="auto"/>
        </w:rPr>
      </w:pPr>
      <w:r>
        <w:rPr>
          <w:rFonts w:ascii="Times New Roman" w:cs="Times New Roman" w:eastAsia="Times New Roman" w:hAnsi="Times New Roman"/>
          <w:sz w:val="18"/>
          <w:szCs w:val="18"/>
          <w:color w:val="auto"/>
        </w:rPr>
        <w:t>The weighted average amortization period for intangible assets during fiscal 2026 was 7.0 years. Expected future amortization expense for intangible assets for each of the fiscal years ended thereafter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4"/>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0"/>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31"/>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Computer Equipment, Software, Furniture, and Leasehold Improvements, Net</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Computer equipment, software, furniture, leasehold improvements, and the related accumulated depreciation at January 31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r>
      <w:tr>
        <w:trPr>
          <w:trHeight w:val="208"/>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40" w:firstLine="398"/>
        <w:spacing w:after="0" w:line="274" w:lineRule="auto"/>
        <w:rPr>
          <w:sz w:val="20"/>
          <w:szCs w:val="20"/>
          <w:color w:val="auto"/>
        </w:rPr>
      </w:pPr>
      <w:r>
        <w:rPr>
          <w:rFonts w:ascii="Times New Roman" w:cs="Times New Roman" w:eastAsia="Times New Roman" w:hAnsi="Times New Roman"/>
          <w:sz w:val="18"/>
          <w:szCs w:val="18"/>
          <w:color w:val="auto"/>
        </w:rPr>
        <w:t>Depreciation expense was $43 million in fiscal 2026, $43 million in fiscal 2025, and $47 million in fiscal 2024. Impairment losses were not material in fiscal years ended January 31, 2026, 2025, and 2024.</w:t>
      </w:r>
    </w:p>
    <w:p>
      <w:pPr>
        <w:spacing w:after="0" w:line="191" w:lineRule="exact"/>
        <w:rPr>
          <w:sz w:val="20"/>
          <w:szCs w:val="20"/>
          <w:color w:val="auto"/>
        </w:rPr>
      </w:pPr>
    </w:p>
    <w:p>
      <w:pPr>
        <w:ind w:right="260" w:firstLine="398"/>
        <w:spacing w:after="0" w:line="255" w:lineRule="auto"/>
        <w:rPr>
          <w:sz w:val="20"/>
          <w:szCs w:val="20"/>
          <w:color w:val="auto"/>
        </w:rPr>
      </w:pPr>
      <w:r>
        <w:rPr>
          <w:rFonts w:ascii="Times New Roman" w:cs="Times New Roman" w:eastAsia="Times New Roman" w:hAnsi="Times New Roman"/>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 Autodesk had no material capitalized internal use software development costs at January 31, 2026 and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as of January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beginning of the year (1)</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year</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 and measurement period adjustments (2)</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end of the year (1)</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 w:lineRule="exact"/>
        <w:rPr>
          <w:sz w:val="20"/>
          <w:szCs w:val="20"/>
          <w:color w:val="auto"/>
        </w:rPr>
      </w:pPr>
    </w:p>
    <w:p>
      <w:pPr>
        <w:ind w:left="400" w:hanging="394"/>
        <w:spacing w:after="0"/>
        <w:tabs>
          <w:tab w:leader="none" w:pos="4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impairment losses as of both January 31, 2026 and 2025, were $149 million</w:t>
      </w:r>
      <w:r>
        <w:rPr>
          <w:rFonts w:ascii="Times New Roman" w:cs="Times New Roman" w:eastAsia="Times New Roman" w:hAnsi="Times New Roman"/>
          <w:sz w:val="17"/>
          <w:szCs w:val="17"/>
          <w:color w:val="auto"/>
        </w:rPr>
        <w:t>.</w:t>
      </w:r>
    </w:p>
    <w:p>
      <w:pPr>
        <w:spacing w:after="0" w:line="16"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reflect revisions made to the Company's preliminary determination of estimated fair value of assets and liabilities assumed.</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Autodesk did not recognize any goodwill impairment losses during the fiscal years ended January 31, 2026, 2025 and 2024.</w:t>
      </w:r>
    </w:p>
    <w:p>
      <w:pPr>
        <w:spacing w:after="0" w:line="242" w:lineRule="exact"/>
        <w:rPr>
          <w:sz w:val="20"/>
          <w:szCs w:val="20"/>
          <w:color w:val="auto"/>
        </w:rPr>
      </w:pPr>
    </w:p>
    <w:p>
      <w:pPr>
        <w:ind w:left="360" w:hanging="354"/>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Arrangements</w:t>
      </w:r>
    </w:p>
    <w:p>
      <w:pPr>
        <w:spacing w:after="0" w:line="246" w:lineRule="exact"/>
        <w:rPr>
          <w:sz w:val="20"/>
          <w:szCs w:val="20"/>
          <w:color w:val="auto"/>
        </w:rPr>
      </w:pPr>
    </w:p>
    <w:p>
      <w:pPr>
        <w:ind w:firstLine="398"/>
        <w:spacing w:after="0" w:line="264" w:lineRule="auto"/>
        <w:rPr>
          <w:sz w:val="20"/>
          <w:szCs w:val="20"/>
          <w:color w:val="auto"/>
        </w:rPr>
      </w:pPr>
      <w:r>
        <w:rPr>
          <w:rFonts w:ascii="Times New Roman" w:cs="Times New Roman" w:eastAsia="Times New Roman" w:hAnsi="Times New Roman"/>
          <w:sz w:val="17"/>
          <w:szCs w:val="17"/>
          <w:color w:val="auto"/>
        </w:rPr>
        <w:t>In May 2025, the Company terminated its previous credit agreement and entered into a new Credit Agreement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2025 Credit Agreement requires the Company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At January 31, 2026, Autodesk was in compliance with the 2025 Credit Agreement covenants. Revolving loans under the 2025 Credit Agreement will bear interest, at the Company’s option, at either (i) a per annum rate equal to the Base Rate (as defined in the 2025 Credit Agreement) or (ii) a per annum rate equal to the rate at which dollar deposits are offered in the Secured Overnight Financing Rate, plus a margin of between 0.575% and 1.000%, depending on the Company’s Public Debt Rating. The Company is also obligated to pay to each lender a facility fee on 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January 31, 2026, Autodesk had no outstanding borrowings under the 2025 Credit Agreement.</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outstanding borrowings as of January 31, 2026,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960" w:type="dxa"/>
            <w:vAlign w:val="bottom"/>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120" w:type="dxa"/>
            <w:vAlign w:val="bottom"/>
          </w:tcPr>
          <w:p>
            <w:pPr>
              <w:spacing w:after="0"/>
              <w:rPr>
                <w:sz w:val="16"/>
                <w:szCs w:val="16"/>
                <w:color w:val="auto"/>
              </w:rPr>
            </w:pPr>
          </w:p>
        </w:tc>
        <w:tc>
          <w:tcPr>
            <w:tcW w:w="19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20" w:type="dxa"/>
            <w:vAlign w:val="bottom"/>
          </w:tcPr>
          <w:p>
            <w:pPr>
              <w:spacing w:after="0"/>
              <w:rPr>
                <w:sz w:val="16"/>
                <w:szCs w:val="16"/>
                <w:color w:val="auto"/>
              </w:rPr>
            </w:pPr>
          </w:p>
        </w:tc>
        <w:tc>
          <w:tcPr>
            <w:tcW w:w="1540" w:type="dxa"/>
            <w:vAlign w:val="bottom"/>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w w:val="98"/>
              </w:rPr>
              <w:t>Fair value</w:t>
            </w:r>
          </w:p>
        </w:tc>
      </w:tr>
      <w:tr>
        <w:trPr>
          <w:trHeight w:val="24"/>
        </w:trPr>
        <w:tc>
          <w:tcPr>
            <w:tcW w:w="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5.30%</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June 15, 2035 (1)</w:t>
            </w:r>
          </w:p>
        </w:tc>
        <w:tc>
          <w:tcPr>
            <w:tcW w:w="29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June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514</w:t>
            </w:r>
          </w:p>
        </w:tc>
      </w:tr>
      <w:tr>
        <w:trPr>
          <w:trHeight w:val="210"/>
        </w:trPr>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2.40%</w:t>
            </w: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December 15, 2031</w:t>
            </w:r>
          </w:p>
        </w:tc>
        <w:tc>
          <w:tcPr>
            <w:tcW w:w="2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October 2021</w:t>
            </w:r>
          </w:p>
        </w:tc>
        <w:tc>
          <w:tcPr>
            <w:tcW w:w="120" w:type="dxa"/>
            <w:vAlign w:val="bottom"/>
          </w:tcPr>
          <w:p>
            <w:pPr>
              <w:spacing w:after="0"/>
              <w:rPr>
                <w:sz w:val="18"/>
                <w:szCs w:val="18"/>
                <w:color w:val="auto"/>
              </w:rPr>
            </w:pPr>
          </w:p>
        </w:tc>
        <w:tc>
          <w:tcPr>
            <w:tcW w:w="1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889</w:t>
            </w:r>
          </w:p>
        </w:tc>
      </w:tr>
      <w:tr>
        <w:trPr>
          <w:trHeight w:val="214"/>
        </w:trPr>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2.85%</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January 15, 2030</w:t>
            </w:r>
          </w:p>
        </w:tc>
        <w:tc>
          <w:tcPr>
            <w:tcW w:w="29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January 2020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473</w:t>
            </w:r>
          </w:p>
        </w:tc>
      </w:tr>
      <w:tr>
        <w:trPr>
          <w:trHeight w:val="210"/>
        </w:trPr>
        <w:tc>
          <w:tcPr>
            <w:tcW w:w="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3.50%</w:t>
            </w:r>
          </w:p>
        </w:tc>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Notes due June 15, 2027</w:t>
            </w:r>
          </w:p>
        </w:tc>
        <w:tc>
          <w:tcPr>
            <w:tcW w:w="296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June 2017</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496</w:t>
            </w:r>
          </w:p>
        </w:tc>
      </w:tr>
      <w:tr>
        <w:trPr>
          <w:trHeight w:val="208"/>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unamortized debt discount and issuance costs (2)</w:t>
            </w:r>
          </w:p>
        </w:tc>
        <w:tc>
          <w:tcPr>
            <w:tcW w:w="2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r>
      <w:tr>
        <w:trPr>
          <w:trHeight w:val="233"/>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notes payable, net</w:t>
            </w: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 w:lineRule="exact"/>
        <w:rPr>
          <w:sz w:val="20"/>
          <w:szCs w:val="20"/>
          <w:color w:val="auto"/>
        </w:rPr>
      </w:pPr>
    </w:p>
    <w:p>
      <w:pPr>
        <w:ind w:left="400" w:right="180" w:hanging="394"/>
        <w:spacing w:after="0" w:line="252" w:lineRule="auto"/>
        <w:tabs>
          <w:tab w:leader="none" w:pos="4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proceeds of the senior notes was used for the repayment of $300 million of 4.375% notes due June 15, 2025, and the remainder is available for general corporate purposes.</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the debt discount and issuance costs are being amortized to interest expense over the term of the senior notes using the effective interest method.</w:t>
      </w:r>
    </w:p>
    <w:p>
      <w:pPr>
        <w:spacing w:after="0" w:line="218"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The 2025 Notes, 2021 Notes, 2020 Notes, and the 2017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liens,to enter into certain sale and leaseback transactions and to consolidate or merge with, or convey, transfer, or lease all or substantially all of its assets, subject to important qualifications and exceptions.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January 31, 2026, were as follows: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4"/>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4"/>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3"/>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46"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Autodesk has operating leases for real estate and certain equipment. Leases have remaining lease terms of less than 1 year to 64 years, some of which include options to extend the lease with renewal terms ranging from 1 year to 5 years and some of which include options to terminate the leases within less than 1 year to 4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Consolidated Statements of Cash Flows with the exception of “Lease-related asset impairments” which is presented in “Adjustments to reconcile net income to net cash provided by operating activities”.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fiscal years ended January 31, 2026, 2025, and 2024, Autodesk recorded total operating lease right-of-use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assets impairment charges of $12 million, nil and $9 million, respectively.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The operating lease right-of-use assets and other lease-related assets charges are included in “Restructuring, other exit costs, and facility reductions” in the Company’s Consolidated Statements of Operations.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January 31, 2026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rPr>
              <w:t>Cost of subscription and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Cost of other</w:t>
            </w:r>
          </w:p>
        </w:tc>
        <w:tc>
          <w:tcPr>
            <w:tcW w:w="1080" w:type="dxa"/>
            <w:vAlign w:val="bottom"/>
            <w:gridSpan w:val="2"/>
          </w:tcPr>
          <w:p>
            <w:pPr>
              <w:jc w:val="center"/>
              <w:ind w:left="23"/>
              <w:spacing w:after="0" w:line="128"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20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26"/>
              <w:spacing w:after="0" w:line="128"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maintenance revenue</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6</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2</w:t>
            </w:r>
          </w:p>
        </w:tc>
        <w:tc>
          <w:tcPr>
            <w:tcW w:w="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1</w:t>
            </w:r>
          </w:p>
        </w:tc>
        <w:tc>
          <w:tcPr>
            <w:tcW w:w="180" w:type="dxa"/>
            <w:vAlign w:val="bottom"/>
          </w:tcPr>
          <w:p>
            <w:pPr>
              <w:spacing w:after="0"/>
              <w:rPr>
                <w:sz w:val="18"/>
                <w:szCs w:val="18"/>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 January 31, 2025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Cost of subscription and</w:t>
            </w:r>
          </w:p>
        </w:tc>
        <w:tc>
          <w:tcPr>
            <w:tcW w:w="180" w:type="dxa"/>
            <w:vAlign w:val="bottom"/>
          </w:tcPr>
          <w:p>
            <w:pPr>
              <w:spacing w:after="0"/>
              <w:rPr>
                <w:sz w:val="11"/>
                <w:szCs w:val="11"/>
                <w:color w:val="auto"/>
              </w:rPr>
            </w:pPr>
          </w:p>
        </w:tc>
        <w:tc>
          <w:tcPr>
            <w:tcW w:w="126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4"/>
                <w:szCs w:val="14"/>
                <w:b w:val="1"/>
                <w:bCs w:val="1"/>
                <w:color w:val="auto"/>
              </w:rPr>
              <w:t>Cost of other</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1160" w:type="dxa"/>
            <w:vAlign w:val="bottom"/>
            <w:gridSpan w:val="3"/>
          </w:tcPr>
          <w:p>
            <w:pPr>
              <w:jc w:val="right"/>
              <w:ind w:right="43"/>
              <w:spacing w:after="0" w:line="128"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1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160" w:type="dxa"/>
            <w:vAlign w:val="bottom"/>
          </w:tcPr>
          <w:p>
            <w:pPr>
              <w:spacing w:after="0"/>
              <w:rPr>
                <w:sz w:val="11"/>
                <w:szCs w:val="11"/>
                <w:color w:val="auto"/>
              </w:rPr>
            </w:pPr>
          </w:p>
        </w:tc>
        <w:tc>
          <w:tcPr>
            <w:tcW w:w="720" w:type="dxa"/>
            <w:vAlign w:val="bottom"/>
            <w:gridSpan w:val="2"/>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maintenance revenue</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50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w:t>
            </w:r>
          </w:p>
        </w:tc>
        <w:tc>
          <w:tcPr>
            <w:tcW w:w="86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96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2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6</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391"/>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Fiscal Year Ended January 31, 2024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2"/>
          </w:tcPr>
          <w:p>
            <w:pPr>
              <w:jc w:val="right"/>
              <w:ind w:right="188"/>
              <w:spacing w:after="0" w:line="126" w:lineRule="exact"/>
              <w:rPr>
                <w:sz w:val="20"/>
                <w:szCs w:val="20"/>
                <w:color w:val="auto"/>
              </w:rPr>
            </w:pPr>
            <w:r>
              <w:rPr>
                <w:rFonts w:ascii="Times New Roman" w:cs="Times New Roman" w:eastAsia="Times New Roman" w:hAnsi="Times New Roman"/>
                <w:sz w:val="14"/>
                <w:szCs w:val="14"/>
                <w:b w:val="1"/>
                <w:bCs w:val="1"/>
                <w:color w:val="auto"/>
              </w:rPr>
              <w:t>Cost of subscription and</w:t>
            </w:r>
          </w:p>
        </w:tc>
        <w:tc>
          <w:tcPr>
            <w:tcW w:w="160" w:type="dxa"/>
            <w:vAlign w:val="bottom"/>
          </w:tcPr>
          <w:p>
            <w:pPr>
              <w:spacing w:after="0"/>
              <w:rPr>
                <w:sz w:val="10"/>
                <w:szCs w:val="10"/>
                <w:color w:val="auto"/>
              </w:rPr>
            </w:pPr>
          </w:p>
        </w:tc>
        <w:tc>
          <w:tcPr>
            <w:tcW w:w="11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Cost of other</w:t>
            </w:r>
          </w:p>
        </w:tc>
        <w:tc>
          <w:tcPr>
            <w:tcW w:w="108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1060" w:type="dxa"/>
            <w:vAlign w:val="bottom"/>
            <w:gridSpan w:val="2"/>
          </w:tcPr>
          <w:p>
            <w:pPr>
              <w:jc w:val="right"/>
              <w:ind w:right="45"/>
              <w:spacing w:after="0" w:line="126"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126"/>
              <w:spacing w:after="0" w:line="126" w:lineRule="exact"/>
              <w:rPr>
                <w:sz w:val="20"/>
                <w:szCs w:val="20"/>
                <w:color w:val="auto"/>
              </w:rPr>
            </w:pPr>
            <w:r>
              <w:rPr>
                <w:rFonts w:ascii="Times New Roman" w:cs="Times New Roman" w:eastAsia="Times New Roman" w:hAnsi="Times New Roman"/>
                <w:sz w:val="14"/>
                <w:szCs w:val="14"/>
                <w:b w:val="1"/>
                <w:bCs w:val="1"/>
                <w:color w:val="auto"/>
                <w:w w:val="99"/>
              </w:rPr>
              <w:t>General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 revenue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8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6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60" w:type="dxa"/>
            <w:vAlign w:val="bottom"/>
          </w:tcPr>
          <w:p>
            <w:pPr>
              <w:spacing w:after="0"/>
              <w:rPr>
                <w:sz w:val="16"/>
                <w:szCs w:val="16"/>
                <w:color w:val="auto"/>
              </w:rPr>
            </w:pPr>
          </w:p>
        </w:tc>
        <w:tc>
          <w:tcPr>
            <w:tcW w:w="110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28 $</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264"/>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left="264"/>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13"/>
                <w:szCs w:val="13"/>
                <w:color w:val="auto"/>
              </w:rPr>
            </w:pPr>
          </w:p>
        </w:tc>
        <w:tc>
          <w:tcPr>
            <w:tcW w:w="130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80" w:type="dxa"/>
            <w:vAlign w:val="bottom"/>
          </w:tcPr>
          <w:p>
            <w:pPr>
              <w:spacing w:after="0"/>
              <w:rPr>
                <w:sz w:val="13"/>
                <w:szCs w:val="13"/>
                <w:color w:val="auto"/>
              </w:rPr>
            </w:pP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r>
      <w:tr>
        <w:trPr>
          <w:trHeight w:val="186"/>
        </w:trPr>
        <w:tc>
          <w:tcPr>
            <w:tcW w:w="6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Pr>
          <w:p>
            <w:pPr>
              <w:spacing w:after="0"/>
              <w:rPr>
                <w:sz w:val="16"/>
                <w:szCs w:val="16"/>
                <w:color w:val="auto"/>
              </w:rPr>
            </w:pPr>
          </w:p>
        </w:tc>
        <w:tc>
          <w:tcPr>
            <w:tcW w:w="13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Pr>
          <w:p>
            <w:pPr>
              <w:spacing w:after="0"/>
              <w:rPr>
                <w:sz w:val="16"/>
                <w:szCs w:val="16"/>
                <w:color w:val="auto"/>
              </w:rPr>
            </w:pPr>
          </w:p>
        </w:tc>
        <w:tc>
          <w:tcPr>
            <w:tcW w:w="12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right-of-use assets</w:t>
            </w: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93"/>
        </w:trPr>
        <w:tc>
          <w:tcPr>
            <w:tcW w:w="6280" w:type="dxa"/>
            <w:vAlign w:val="bottom"/>
          </w:tcPr>
          <w:p>
            <w:pPr>
              <w:jc w:val="right"/>
              <w:ind w:right="4777"/>
              <w:spacing w:after="0"/>
              <w:rPr>
                <w:sz w:val="20"/>
                <w:szCs w:val="20"/>
                <w:color w:val="auto"/>
              </w:rPr>
            </w:pPr>
            <w:r>
              <w:rPr>
                <w:rFonts w:ascii="Times New Roman" w:cs="Times New Roman" w:eastAsia="Times New Roman" w:hAnsi="Times New Roman"/>
                <w:sz w:val="18"/>
                <w:szCs w:val="18"/>
                <w:color w:val="auto"/>
              </w:rPr>
              <w:t>_______________</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right="160" w:firstLine="6"/>
        <w:spacing w:after="0" w:line="271" w:lineRule="auto"/>
        <w:tabs>
          <w:tab w:leader="none" w:pos="22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$13 million, and $16 million in variable lease payments not included in “Operating lease liabilities” and “Long-term operating lease liabilities” on the Consolidated Balance Sheet for fiscal years ended January 31, 2026, 2025, and 2024, respectively.</w:t>
      </w:r>
    </w:p>
    <w:p>
      <w:pPr>
        <w:spacing w:after="0" w:line="189" w:lineRule="exact"/>
        <w:rPr>
          <w:sz w:val="20"/>
          <w:szCs w:val="20"/>
          <w:color w:val="auto"/>
        </w:rPr>
      </w:pPr>
    </w:p>
    <w:p>
      <w:pPr>
        <w:ind w:right="480" w:firstLine="398"/>
        <w:spacing w:after="0" w:line="274"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5.3 years and 5.8 years at January 31, 2026 and 2025, respectively. The weighted average discount rate was 3.42% and 2.90% at January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8"/>
        </w:trPr>
        <w:tc>
          <w:tcPr>
            <w:tcW w:w="8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124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bl>
    <w:p>
      <w:pPr>
        <w:spacing w:after="0" w:line="154" w:lineRule="exact"/>
        <w:rPr>
          <w:sz w:val="20"/>
          <w:szCs w:val="20"/>
          <w:color w:val="auto"/>
        </w:rPr>
      </w:pPr>
    </w:p>
    <w:p>
      <w:pPr>
        <w:jc w:val="both"/>
        <w:ind w:firstLine="398"/>
        <w:spacing w:after="0" w:line="274"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$55 million. Autodesk expects to receive sublease income payments of approximately $45 million for fiscal 2027 through fiscal 2031 and $10 million thereafter.</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January 31, 2026, Autodesk had no material operating lease minimum lease payments for executed leases that have not yet commenced.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339" w:lineRule="exact"/>
        <w:rPr>
          <w:sz w:val="20"/>
          <w:szCs w:val="20"/>
          <w:color w:val="auto"/>
        </w:rPr>
      </w:pPr>
    </w:p>
    <w:p>
      <w:pPr>
        <w:ind w:right="180" w:firstLine="398"/>
        <w:spacing w:after="0" w:line="265"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Consolidated Statements of Operations were as follows for the fiscal years ended January 31, 2026, 2025, and 2024,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5"/>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gain (loss) recognized in accumulated other comprehensive loss, net of tax, (effective portion)</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(41)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Times New Roman" w:cs="Times New Roman" w:eastAsia="Times New Roman" w:hAnsi="Times New Roman"/>
                <w:sz w:val="16"/>
                <w:szCs w:val="16"/>
                <w:i w:val="1"/>
                <w:iCs w:val="1"/>
                <w:color w:val="auto"/>
              </w:rPr>
              <w:t>Amount and location of gain (loss) reclassified from accumulated other comprehensive loss into income (effective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5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portion)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9"/>
              </w:rPr>
              <w:t>57</w:t>
            </w:r>
          </w:p>
        </w:tc>
        <w:tc>
          <w:tcPr>
            <w:tcW w:w="0" w:type="dxa"/>
            <w:vAlign w:val="bottom"/>
          </w:tcPr>
          <w:p>
            <w:pPr>
              <w:spacing w:after="0"/>
              <w:rPr>
                <w:sz w:val="1"/>
                <w:szCs w:val="1"/>
                <w:color w:val="auto"/>
              </w:rPr>
            </w:pPr>
          </w:p>
        </w:tc>
      </w:tr>
      <w:tr>
        <w:trPr>
          <w:trHeight w:val="210"/>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w w:val="99"/>
              </w:rPr>
              <w:t>57</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260" w:firstLine="398"/>
        <w:spacing w:after="0" w:line="281" w:lineRule="auto"/>
        <w:rPr>
          <w:sz w:val="20"/>
          <w:szCs w:val="20"/>
          <w:color w:val="auto"/>
        </w:rPr>
      </w:pPr>
      <w:r>
        <w:rPr>
          <w:rFonts w:ascii="Times New Roman" w:cs="Times New Roman" w:eastAsia="Times New Roman" w:hAnsi="Times New Roman"/>
          <w:sz w:val="17"/>
          <w:szCs w:val="17"/>
          <w:color w:val="auto"/>
        </w:rPr>
        <w:t>The amount and location of gain (loss) recognized in net income of derivatives not designated as hedging instruments on Autodesk’s Consolidated Statements of Operations were as follows for the fiscal years ended January 31, 2026, 2025, and 2024, (amounts presented include any income tax effects):</w:t>
      </w: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 January 31,</w:t>
            </w:r>
          </w:p>
        </w:tc>
        <w:tc>
          <w:tcPr>
            <w:tcW w:w="820" w:type="dxa"/>
            <w:vAlign w:val="bottom"/>
          </w:tcPr>
          <w:p>
            <w:pPr>
              <w:spacing w:after="0"/>
              <w:rPr>
                <w:sz w:val="16"/>
                <w:szCs w:val="16"/>
                <w:color w:val="auto"/>
              </w:rPr>
            </w:pPr>
          </w:p>
        </w:tc>
      </w:tr>
      <w:tr>
        <w:trPr>
          <w:trHeight w:val="24"/>
        </w:trPr>
        <w:tc>
          <w:tcPr>
            <w:tcW w:w="7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8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Note 3, “Financial Instruments” for the fair values of derivative instruments in Autodesk’s Consolidated Balance Sheets as of January 31, 2026,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 designated as cash flow hedges</w:t>
      </w:r>
    </w:p>
    <w:p>
      <w:pPr>
        <w:spacing w:after="0" w:line="246"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notional amounts of these contracts are presented net settled and were $2.06 billion at January 31, 2026, and $1.52 billion at January 31, 2025. Outstanding contracts are recognized as either assets or liabilities on the Company’s Consolidated Balance Sheets at fair value. The gains and losses on these hedges are included in “Accumulated other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comprehensive loss” and are reclassified into earnings at the time the forecasted revenue or expense is recognized. The majority of the net loss of $17 million remaining in “Accumulated other comprehensive loss” as of January 31, 2026, is expected to be recognized into earnings within the next 24 months. Derivative contracts and related gain (loss) are presented within “Net cash provided by operating activities” in the Company’s Consolidated Statements of Cash Flow.</w:t>
      </w:r>
    </w:p>
    <w:p>
      <w:pPr>
        <w:spacing w:after="0" w:line="208"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In the event the underlying forecasted transaction does not occur, or it becomes probable that it will not occur, Autodesk reclassifies and discloses the gain or loss on the related cash flow hedge from “Accumulated other comprehensive loss” to “Interest and other income, net” in the Company’s Consolidated Financial Statements at that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 not designated as hedging instruments</w:t>
      </w:r>
    </w:p>
    <w:p>
      <w:pPr>
        <w:spacing w:after="0" w:line="246" w:lineRule="exact"/>
        <w:rPr>
          <w:sz w:val="20"/>
          <w:szCs w:val="20"/>
          <w:color w:val="auto"/>
        </w:rPr>
      </w:pPr>
    </w:p>
    <w:p>
      <w:pPr>
        <w:ind w:right="300" w:firstLine="398"/>
        <w:spacing w:after="0" w:line="260"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$858 million at January 31, 2026, and $1.14 billion at January 31, 2025.</w:t>
      </w:r>
    </w:p>
    <w:p>
      <w:pPr>
        <w:spacing w:after="0" w:line="203"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These forward contracts are marked-to-market at the end of each fiscal quarter with gains and losses recognized as “Interest and other income,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 other exit costs, and facility reductions</w:t>
      </w:r>
    </w:p>
    <w:p>
      <w:pPr>
        <w:spacing w:after="0" w:line="246" w:lineRule="exact"/>
        <w:rPr>
          <w:sz w:val="20"/>
          <w:szCs w:val="20"/>
          <w:color w:val="auto"/>
        </w:rPr>
      </w:pPr>
    </w:p>
    <w:p>
      <w:pPr>
        <w:ind w:right="60" w:firstLine="398"/>
        <w:spacing w:after="0" w:line="251" w:lineRule="auto"/>
        <w:rPr>
          <w:sz w:val="20"/>
          <w:szCs w:val="20"/>
          <w:color w:val="auto"/>
        </w:rPr>
      </w:pPr>
      <w:r>
        <w:rPr>
          <w:rFonts w:ascii="Times New Roman" w:cs="Times New Roman" w:eastAsia="Times New Roman" w:hAnsi="Times New Roman"/>
          <w:sz w:val="18"/>
          <w:szCs w:val="18"/>
          <w:color w:val="auto"/>
        </w:rPr>
        <w:t>During the fourth fiscal quarter ended January 31, 2026, Autodesk initiated a restructuring plan (“January 2026 Plan”) that represents the culmination of Autodesk’s sales and marketing optimization program. The January 2026 Plan also reallocates resources in certain other functions to accelerate Autodesk’s strategic priorities. The January 2026 Plan includes a reduction in force that will result in the aggregate termination of approximately 7% of the Company’s workforce, or approximately 1,000 employees, and facility reductions. Total pre-tax restructuring charges are estimated to be approximately $135 million to $160 million (inclusive of $100 million accrued as of January 31, 2026). Autodesk expects to complete the January 2026 Plan by the end of its fourth quarter of fiscal 2027 (ending January 31, 2027).</w:t>
      </w:r>
    </w:p>
    <w:p>
      <w:pPr>
        <w:spacing w:after="0" w:line="213" w:lineRule="exact"/>
        <w:rPr>
          <w:sz w:val="20"/>
          <w:szCs w:val="20"/>
          <w:color w:val="auto"/>
        </w:rPr>
      </w:pPr>
    </w:p>
    <w:p>
      <w:pPr>
        <w:ind w:right="60" w:firstLine="398"/>
        <w:spacing w:after="0" w:line="282" w:lineRule="auto"/>
        <w:rPr>
          <w:sz w:val="20"/>
          <w:szCs w:val="20"/>
          <w:color w:val="auto"/>
        </w:rPr>
      </w:pPr>
      <w:r>
        <w:rPr>
          <w:rFonts w:ascii="Times New Roman" w:cs="Times New Roman" w:eastAsia="Times New Roman" w:hAnsi="Times New Roman"/>
          <w:sz w:val="17"/>
          <w:szCs w:val="17"/>
          <w:color w:val="auto"/>
        </w:rPr>
        <w:t>During fiscal 2026, Autodesk initiated a restructuring plan (“2026 Plan”) to support Autodesk's initiatives to optimize its go-to-market organization and, at the same time, to reallocate resources to Autodesk’s strategic priorities of investments in cloud, platform and artificial intelligence. With this restructuring plan, Autodesk is realigning roles to maximize talent investments and to distribute critical expertise globally. The 2026 Plan is substantially complete.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restructuring and other exit costs liability as of January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January 31, 2025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Additions (3)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Balances, January 31, 2026</w:t>
            </w:r>
          </w:p>
        </w:tc>
      </w:tr>
      <w:tr>
        <w:trPr>
          <w:trHeight w:val="19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January 2026 Plan</w:t>
            </w:r>
          </w:p>
        </w:tc>
        <w:tc>
          <w:tcPr>
            <w:tcW w:w="1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terminations costs (1)</w:t>
            </w:r>
          </w:p>
        </w:tc>
        <w:tc>
          <w:tcPr>
            <w:tcW w:w="1960" w:type="dxa"/>
            <w:vAlign w:val="bottom"/>
            <w:shd w:val="clear" w:color="auto" w:fill="CCEEFF"/>
          </w:tcPr>
          <w:p>
            <w:pPr>
              <w:jc w:val="right"/>
              <w:ind w:right="17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exit costs (2)</w:t>
            </w:r>
          </w:p>
        </w:tc>
        <w:tc>
          <w:tcPr>
            <w:tcW w:w="19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2026 Plan</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terminations costs (1)</w:t>
            </w:r>
          </w:p>
        </w:tc>
        <w:tc>
          <w:tcPr>
            <w:tcW w:w="196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exit costs (2)</w:t>
            </w:r>
          </w:p>
        </w:tc>
        <w:tc>
          <w:tcPr>
            <w:tcW w:w="1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1960" w:type="dxa"/>
            <w:vAlign w:val="bottom"/>
            <w:tcBorders>
              <w:top w:val="single" w:sz="8" w:color="auto"/>
              <w:bottom w:val="single" w:sz="8" w:color="auto"/>
            </w:tcBorders>
          </w:tcPr>
          <w:p>
            <w:pPr>
              <w:jc w:val="right"/>
              <w:ind w:right="178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4" w:lineRule="exact"/>
        <w:rPr>
          <w:sz w:val="20"/>
          <w:szCs w:val="20"/>
          <w:color w:val="auto"/>
        </w:rPr>
      </w:pPr>
    </w:p>
    <w:p>
      <w:pPr>
        <w:ind w:left="240" w:hanging="234"/>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Consolidated Balance Sheets under “Accrued compensation."</w:t>
      </w:r>
    </w:p>
    <w:p>
      <w:pPr>
        <w:spacing w:after="0" w:line="10"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Consolidated Balance Sheets under “Accounts payable."</w:t>
      </w:r>
    </w:p>
    <w:p>
      <w:pPr>
        <w:spacing w:after="0" w:line="1"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Consolidated Statements of Operations under “Restructuring, other exit costs, and facility reductions”.</w:t>
      </w:r>
    </w:p>
    <w:p>
      <w:pPr>
        <w:spacing w:after="0" w:line="231"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During the fiscal year ended January 31, 2026, Autodesk recorded $12 million in lease-related assets impairments and $7 million in impairment charges to computer equipment, software, furniture, and leasehold improvements for facility reductions related to the 2026 Plan. These costs are included in “Restructuring, other exit costs, and facility reductions”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40" w:hanging="434"/>
        <w:spacing w:after="0"/>
        <w:tabs>
          <w:tab w:leader="none" w:pos="4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Commitments</w:t>
      </w:r>
    </w:p>
    <w:p>
      <w:pPr>
        <w:spacing w:after="0" w:line="246"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Autodesk enters into various purchase commitments for goods or services. These purchase commitments primarily result from contracts entered into for the acquisition of cloud services, marketing, and commitments related to our investment agreements with limited liability partnership funds.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non-cancellable purchase commitments as of January 31, 2026, were as follows:</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
        </w:trPr>
        <w:tc>
          <w:tcPr>
            <w:tcW w:w="9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0"/>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4"/>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0"/>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2032-2034</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3"/>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398"/>
        <w:spacing w:after="0" w:line="255" w:lineRule="auto"/>
        <w:rPr>
          <w:sz w:val="20"/>
          <w:szCs w:val="20"/>
          <w:color w:val="auto"/>
        </w:rPr>
      </w:pPr>
      <w:r>
        <w:rPr>
          <w:rFonts w:ascii="Times New Roman" w:cs="Times New Roman" w:eastAsia="Times New Roman" w:hAnsi="Times New Roman"/>
          <w:sz w:val="18"/>
          <w:szCs w:val="18"/>
          <w:color w:val="auto"/>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$21 million in fiscal 2026, $23 million in fiscal 2025, and $21 million in fiscal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Guarantees and Indemnifications</w:t>
      </w:r>
    </w:p>
    <w:p>
      <w:pPr>
        <w:spacing w:after="0" w:line="246"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9" w:lineRule="exact"/>
        <w:rPr>
          <w:sz w:val="20"/>
          <w:szCs w:val="20"/>
          <w:color w:val="auto"/>
        </w:rPr>
      </w:pPr>
    </w:p>
    <w:p>
      <w:pPr>
        <w:ind w:right="120" w:firstLine="398"/>
        <w:spacing w:after="0" w:line="255"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8" w:lineRule="exact"/>
        <w:rPr>
          <w:sz w:val="20"/>
          <w:szCs w:val="20"/>
          <w:color w:val="auto"/>
        </w:rPr>
      </w:pPr>
    </w:p>
    <w:p>
      <w:pPr>
        <w:ind w:right="80" w:firstLine="398"/>
        <w:spacing w:after="0" w:line="253"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246" w:lineRule="exact"/>
        <w:rPr>
          <w:sz w:val="20"/>
          <w:szCs w:val="20"/>
          <w:color w:val="auto"/>
        </w:rPr>
      </w:pPr>
    </w:p>
    <w:p>
      <w:pPr>
        <w:ind w:right="20" w:firstLine="398"/>
        <w:spacing w:after="0" w:line="249" w:lineRule="auto"/>
        <w:rPr>
          <w:sz w:val="20"/>
          <w:szCs w:val="20"/>
          <w:color w:val="auto"/>
        </w:rPr>
      </w:pPr>
      <w:r>
        <w:rPr>
          <w:rFonts w:ascii="Times New Roman" w:cs="Times New Roman" w:eastAsia="Times New Roman" w:hAnsi="Times New Roman"/>
          <w:sz w:val="18"/>
          <w:szCs w:val="18"/>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this filing and the rules and regulations applicable to the preparation of the Company’s financial statements, any such amount is either immaterial or it is not possible to provide an estimated amount of any such potential loss.</w:t>
      </w:r>
    </w:p>
    <w:p>
      <w:pPr>
        <w:spacing w:after="0" w:line="177" w:lineRule="exact"/>
        <w:rPr>
          <w:sz w:val="20"/>
          <w:szCs w:val="20"/>
          <w:color w:val="auto"/>
        </w:rPr>
      </w:pPr>
    </w:p>
    <w:p>
      <w:pPr>
        <w:ind w:right="20" w:firstLine="398"/>
        <w:spacing w:after="0" w:line="237"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spacing w:after="0" w:line="220"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color w:val="auto"/>
        </w:rPr>
        <w:t>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purported to be brought on behalf of those who purchased or otherwise acquired the Company’s securities between February 23, 2023 and April 16, 2024, and sought unspecified damages and other relief. On November 25, 2024, defendants filed a motion to dismiss the complaint. On July 18, 2025, the Court granted defendants’ motion to dismiss with leave to amend.</w:t>
      </w:r>
    </w:p>
    <w:p>
      <w:pPr>
        <w:spacing w:after="0" w:line="212"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On August 8, 2025, plaintiffs filed an amended complaint, which purported to assert claims under Sections 10(b) and 20(a) of the Exchange Act, and Rule 10b-5 promulgated thereunder. Defendants’ motion to dismiss the amended complaint was filed on August 29, 2025. On January 26, 2026, the Court granted defendants’ motion to dismiss the amended compliant with prejudice. On February 12, 2026, the Court entered judgment. Plaintiffs have thirty days from entry of judgment to file a notice of appeal. At this stage, the Company cannot reasonably estimate the amount of any possible financial loss that could result from this matter.</w:t>
      </w:r>
    </w:p>
    <w:p>
      <w:pPr>
        <w:spacing w:after="0" w:line="207" w:lineRule="exact"/>
        <w:rPr>
          <w:sz w:val="20"/>
          <w:szCs w:val="20"/>
          <w:color w:val="auto"/>
        </w:rPr>
      </w:pPr>
    </w:p>
    <w:p>
      <w:pPr>
        <w:ind w:left="440" w:hanging="434"/>
        <w:spacing w:after="0"/>
        <w:tabs>
          <w:tab w:leader="none" w:pos="4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Program</w:t>
      </w:r>
    </w:p>
    <w:p>
      <w:pPr>
        <w:spacing w:after="0" w:line="246" w:lineRule="exact"/>
        <w:rPr>
          <w:sz w:val="20"/>
          <w:szCs w:val="20"/>
          <w:color w:val="auto"/>
        </w:rPr>
      </w:pPr>
    </w:p>
    <w:p>
      <w:pPr>
        <w:ind w:right="140" w:firstLine="398"/>
        <w:spacing w:after="0" w:line="253" w:lineRule="auto"/>
        <w:rPr>
          <w:sz w:val="20"/>
          <w:szCs w:val="20"/>
          <w:color w:val="auto"/>
        </w:rPr>
      </w:pPr>
      <w:r>
        <w:rPr>
          <w:rFonts w:ascii="Times New Roman" w:cs="Times New Roman" w:eastAsia="Times New Roman" w:hAnsi="Times New Roman"/>
          <w:sz w:val="18"/>
          <w:szCs w:val="18"/>
          <w:color w:val="auto"/>
        </w:rPr>
        <w:t>Autodesk has stock repurchase programs that are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5 million shares in fiscal 2026 at an average repurchase price of $290.38 per share, 3 million shares in fiscal 2025 at an average repurchase price of $278.86 per share, and 4 million shares in fiscal 2024 at an average repurchase price of $201.54 per share.</w:t>
      </w:r>
    </w:p>
    <w:p>
      <w:pPr>
        <w:spacing w:after="0" w:line="209"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At January 31, 2026, $2.48 billion and $5 billion remained available for repurchase under the November 2022 and November 2024 repurchase programs approved by the Board of Directors, respectively.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cash requirements to retire outstanding debt, economic and market conditions, stock price, and legal and regulatory requirements.</w:t>
      </w:r>
    </w:p>
    <w:p>
      <w:pPr>
        <w:spacing w:after="0" w:line="207" w:lineRule="exact"/>
        <w:rPr>
          <w:sz w:val="20"/>
          <w:szCs w:val="20"/>
          <w:color w:val="auto"/>
        </w:rPr>
      </w:pPr>
    </w:p>
    <w:p>
      <w:pPr>
        <w:ind w:left="400" w:hanging="394"/>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and Other Income (Expense), net</w:t>
      </w:r>
    </w:p>
    <w:p>
      <w:pPr>
        <w:spacing w:after="0" w:line="24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other income, net,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currency</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strategic investments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40" w:hanging="434"/>
        <w:spacing w:after="0"/>
        <w:tabs>
          <w:tab w:leader="none" w:pos="4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3"/>
          </w:tcPr>
          <w:p>
            <w:pPr>
              <w:jc w:val="right"/>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2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Sale</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(gain) loss reclassified from accumulated other comprehensive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Pre-tax (gain) loss reclassified from accumulated other comprehensive income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300" w:firstLine="398"/>
        <w:spacing w:after="0" w:line="260"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net.” Refer to Note 10, “Derivative Instruments” for the amount and location of reclassifications related to derivative instruments. Reclassifications of the defined benefit pension components of net periodic benefit cost are included in “Interest and other income, net.”</w:t>
      </w:r>
    </w:p>
    <w:p>
      <w:pPr>
        <w:spacing w:after="0" w:line="201" w:lineRule="exact"/>
        <w:rPr>
          <w:sz w:val="20"/>
          <w:szCs w:val="20"/>
          <w:color w:val="auto"/>
        </w:rPr>
      </w:pPr>
    </w:p>
    <w:p>
      <w:pPr>
        <w:ind w:left="440" w:hanging="434"/>
        <w:spacing w:after="0"/>
        <w:tabs>
          <w:tab w:leader="none" w:pos="4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6" w:lineRule="exact"/>
        <w:rPr>
          <w:sz w:val="20"/>
          <w:szCs w:val="20"/>
          <w:color w:val="auto"/>
        </w:rPr>
      </w:pPr>
    </w:p>
    <w:p>
      <w:pPr>
        <w:ind w:right="140" w:firstLine="398"/>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Diluted net income per share is computed using the weighted average number of shares of common stock outstanding during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Denominator:</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Weighted average shares for basic net income per share</w:t>
            </w:r>
          </w:p>
        </w:tc>
        <w:tc>
          <w:tcPr>
            <w:tcW w:w="94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Weighted average shares for dilutive net income per share</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80" w:firstLine="398"/>
        <w:spacing w:after="0" w:line="282" w:lineRule="auto"/>
        <w:rPr>
          <w:sz w:val="20"/>
          <w:szCs w:val="20"/>
          <w:color w:val="auto"/>
        </w:rPr>
      </w:pPr>
      <w:r>
        <w:rPr>
          <w:rFonts w:ascii="Times New Roman" w:cs="Times New Roman" w:eastAsia="Times New Roman" w:hAnsi="Times New Roman"/>
          <w:sz w:val="17"/>
          <w:szCs w:val="17"/>
          <w:color w:val="auto"/>
        </w:rPr>
        <w:t>The computation of diluted net income per share does not include shares that are anti-dilutive under the treasury stock method because their exercise prices are higher than the average market value of Autodesk’s stock during the fiscal year. The effect of 67 thousand, 92 thousand, and 297 thousand anti-dilutive shares were excluded from the computation of diluted net income per share for the fiscal years ended January 31,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40" w:hanging="434"/>
        <w:spacing w:after="0"/>
        <w:tabs>
          <w:tab w:leader="none" w:pos="4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46" w:lineRule="exact"/>
        <w:rPr>
          <w:sz w:val="20"/>
          <w:szCs w:val="20"/>
          <w:color w:val="auto"/>
        </w:rPr>
      </w:pPr>
    </w:p>
    <w:p>
      <w:pPr>
        <w:ind w:right="40" w:firstLine="398"/>
        <w:spacing w:after="0" w:line="250" w:lineRule="auto"/>
        <w:rPr>
          <w:sz w:val="20"/>
          <w:szCs w:val="20"/>
          <w:color w:val="auto"/>
        </w:rPr>
      </w:pPr>
      <w:r>
        <w:rPr>
          <w:rFonts w:ascii="Times New Roman" w:cs="Times New Roman" w:eastAsia="Times New Roman" w:hAnsi="Times New Roman"/>
          <w:sz w:val="18"/>
          <w:szCs w:val="18"/>
          <w:color w:val="auto"/>
        </w:rPr>
        <w:t>Autodesk operates in one operating and reportable segment, the Company as a whole. The chief operating decision maker (“CODM”) assesses performance and decides how to allocate resources based on consolidated net income as reported on the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The measure of Autodesk’s segment assets is reported on the Consolidated Balance Sheets as total assets. Autodesk determined that the Company’s Chief Executive Officer, serves as the CODM.</w:t>
      </w:r>
    </w:p>
    <w:p>
      <w:pPr>
        <w:spacing w:after="0" w:line="212"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about Autodesk’s reported segment total net revenue, segment profit, and significant segment expenses: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8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subscription and maintenance revenue (2)</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other revenue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sales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(2)</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transaction model (3)</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31"/>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income</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400" w:hanging="394"/>
        <w:spacing w:after="0"/>
        <w:tabs>
          <w:tab w:leader="none" w:pos="4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4"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of new transaction model and stock-based compensation are excluded from this line and presented separately within this table.</w:t>
      </w:r>
    </w:p>
    <w:p>
      <w:pPr>
        <w:spacing w:after="0" w:line="1"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transaction model costs include sales incentives to solution providers, transaction fees, and internal operating costs.</w:t>
      </w:r>
    </w:p>
    <w:p>
      <w:pPr>
        <w:spacing w:after="0" w:line="23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presents information about Autodesk’s other segment disclosures: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significant non-cash items include stock-based compensation. See disclosure in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assets: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8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0"/>
        </w:trPr>
        <w:tc>
          <w:tcPr>
            <w:tcW w:w="83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0"/>
        </w:trPr>
        <w:tc>
          <w:tcPr>
            <w:tcW w:w="8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60" w:type="dxa"/>
            <w:vAlign w:val="bottom"/>
          </w:tcPr>
          <w:p>
            <w:pPr>
              <w:spacing w:after="0"/>
              <w:rPr>
                <w:sz w:val="18"/>
                <w:szCs w:val="18"/>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2"/>
        </w:trPr>
        <w:tc>
          <w:tcPr>
            <w:tcW w:w="8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440" w:hanging="434"/>
        <w:spacing w:after="0"/>
        <w:tabs>
          <w:tab w:leader="none" w:pos="4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Benefit Plans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Pretax Savings Plan</w:t>
      </w:r>
    </w:p>
    <w:p>
      <w:pPr>
        <w:spacing w:after="0" w:line="246"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$26 million in fiscal 2026, $27 million in fiscal 2025, and $26 million in fiscal 2024. Autodesk does not allow participants to invest in Autodesk common stock through the 401(k)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Pension Plans</w:t>
      </w:r>
    </w:p>
    <w:p>
      <w:pPr>
        <w:spacing w:after="0" w:line="246"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Autodesk provides certain defined benefit pension plans to employees located in countries outside of the United States,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spacing w:after="0" w:line="203"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The projected benefit obligation was $85 million and $78 million as of January 31, 2026, and January 31, 2025, respectively. The accumulated benefit obligation was $75 million and $70 million as of January 31, 2026, and January 31, 2025, respectively. The related fair value of plan assets was $84 million and $74 million as of January 31, 2026, and January 31, 2025,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 party.</w:t>
      </w:r>
    </w:p>
    <w:p>
      <w:pPr>
        <w:spacing w:after="0" w:line="213" w:lineRule="exact"/>
        <w:rPr>
          <w:sz w:val="20"/>
          <w:szCs w:val="20"/>
          <w:color w:val="auto"/>
        </w:rPr>
      </w:pPr>
    </w:p>
    <w:p>
      <w:pPr>
        <w:ind w:right="280" w:firstLine="398"/>
        <w:spacing w:after="0" w:line="260" w:lineRule="auto"/>
        <w:rPr>
          <w:sz w:val="20"/>
          <w:szCs w:val="20"/>
          <w:color w:val="auto"/>
        </w:rPr>
      </w:pPr>
      <w:r>
        <w:rPr>
          <w:rFonts w:ascii="Times New Roman" w:cs="Times New Roman" w:eastAsia="Times New Roman" w:hAnsi="Times New Roman"/>
          <w:sz w:val="18"/>
          <w:szCs w:val="18"/>
          <w:color w:val="auto"/>
        </w:rPr>
        <w:t>Autodesk recognized an aggregate pension liability for the funded status of $10 million and $9 million in “Long-term other liabilities” on the Consolidated Balance Sheet as of January 31, 2026, and January 31, 2025, respectively. Our total net periodic pension plan cost was $3 million, $3 million and $2 million for fiscal years 2026, 2025, and 2024,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Our expected funding for the plans during fiscal 2027 is approximately $5 million.</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2"/>
        </w:trPr>
        <w:tc>
          <w:tcPr>
            <w:tcW w:w="9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Estimated benefit payments over the next 10 fiscal years are as follows: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1"/>
        </w:trPr>
        <w:tc>
          <w:tcPr>
            <w:tcW w:w="2500" w:type="dxa"/>
            <w:vAlign w:val="bottom"/>
            <w:tcBorders>
              <w:bottom w:val="single" w:sz="8" w:color="CCEEFF"/>
            </w:tcBorders>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Pension Benefits</w:t>
            </w: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6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2032-2036</w:t>
            </w:r>
          </w:p>
        </w:tc>
        <w:tc>
          <w:tcPr>
            <w:tcW w:w="6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4"/>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Contribution Plans</w:t>
      </w:r>
    </w:p>
    <w:p>
      <w:pPr>
        <w:spacing w:after="0" w:line="246" w:lineRule="exact"/>
        <w:rPr>
          <w:sz w:val="20"/>
          <w:szCs w:val="20"/>
          <w:color w:val="auto"/>
        </w:rPr>
      </w:pPr>
    </w:p>
    <w:p>
      <w:pPr>
        <w:ind w:firstLine="398"/>
        <w:spacing w:after="0" w:line="260" w:lineRule="auto"/>
        <w:rPr>
          <w:sz w:val="20"/>
          <w:szCs w:val="20"/>
          <w:color w:val="auto"/>
        </w:rPr>
      </w:pPr>
      <w:r>
        <w:rPr>
          <w:rFonts w:ascii="Times New Roman" w:cs="Times New Roman" w:eastAsia="Times New Roman" w:hAnsi="Times New Roman"/>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$50 million in fiscal 2026, $47 million in fiscal 2025, and $43 million in fiscal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Balance Plans</w:t>
      </w:r>
    </w:p>
    <w:p>
      <w:pPr>
        <w:spacing w:after="0" w:line="246" w:lineRule="exact"/>
        <w:rPr>
          <w:sz w:val="20"/>
          <w:szCs w:val="20"/>
          <w:color w:val="auto"/>
        </w:rPr>
      </w:pPr>
    </w:p>
    <w:p>
      <w:pPr>
        <w:ind w:right="240" w:firstLine="398"/>
        <w:spacing w:after="0" w:line="260" w:lineRule="auto"/>
        <w:rPr>
          <w:sz w:val="20"/>
          <w:szCs w:val="20"/>
          <w:color w:val="auto"/>
        </w:rPr>
      </w:pPr>
      <w:r>
        <w:rPr>
          <w:rFonts w:ascii="Times New Roman" w:cs="Times New Roman" w:eastAsia="Times New Roman" w:hAnsi="Times New Roman"/>
          <w:sz w:val="18"/>
          <w:szCs w:val="18"/>
          <w:color w:val="auto"/>
        </w:rPr>
        <w:t>Autodesk provides a cash balance plan that ensures the risks of disability, death, and longevity, in which the vested pension capital is reinvested and provides a 100% capital and interest guarantee. The weighted-average guaranteed interest crediting rate for cash balance plans was 1%, 1%, and 1% for mandatory retirement savings and 0.5%, 0.5%, and 0.3% for supplementary retirement savings for fiscal 2026, 2025, and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Plans</w:t>
      </w:r>
    </w:p>
    <w:p>
      <w:pPr>
        <w:spacing w:after="0" w:line="246" w:lineRule="exact"/>
        <w:rPr>
          <w:sz w:val="20"/>
          <w:szCs w:val="20"/>
          <w:color w:val="auto"/>
        </w:rPr>
      </w:pPr>
    </w:p>
    <w:p>
      <w:pPr>
        <w:ind w:right="240" w:firstLine="398"/>
        <w:spacing w:after="0" w:line="260" w:lineRule="auto"/>
        <w:rPr>
          <w:sz w:val="20"/>
          <w:szCs w:val="20"/>
          <w:color w:val="auto"/>
        </w:rPr>
      </w:pPr>
      <w:r>
        <w:rPr>
          <w:rFonts w:ascii="Times New Roman" w:cs="Times New Roman" w:eastAsia="Times New Roman" w:hAnsi="Times New Roman"/>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“Balance Sheet Components,”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Autodesk,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6"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Autodesk, Inc. (the Company) as of January 31, 2026 and 2025, the related consolidated statements of operations, comprehensive income, stockholders’ equity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2025, and the results of its operations and its cash flows for each of the three years in the period ended January 31, 2026, in conformity with U.S. generally accepted accounting principles.</w:t>
      </w:r>
    </w:p>
    <w:p>
      <w:pPr>
        <w:spacing w:after="0" w:line="116" w:lineRule="exact"/>
        <w:rPr>
          <w:sz w:val="20"/>
          <w:szCs w:val="20"/>
          <w:color w:val="auto"/>
        </w:rPr>
      </w:pPr>
    </w:p>
    <w:p>
      <w:pPr>
        <w:ind w:right="80" w:firstLine="398"/>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3, 2026, expressed an unqualified opinion thereon.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jc w:val="both"/>
        <w:ind w:right="20" w:firstLine="398"/>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right="80" w:firstLine="398"/>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6"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 xml:space="preserve">Description of the </w:t>
      </w:r>
      <w:r>
        <w:rPr>
          <w:rFonts w:ascii="Times New Roman" w:cs="Times New Roman" w:eastAsia="Times New Roman" w:hAnsi="Times New Roman"/>
          <w:sz w:val="17"/>
          <w:szCs w:val="17"/>
          <w:color w:val="auto"/>
        </w:rPr>
        <w:t>As discussed in Note 1 to the consolidated financial statements, the Company enters into contracts with its customers that may include</w:t>
      </w:r>
    </w:p>
    <w:p>
      <w:pPr>
        <w:ind w:left="420"/>
        <w:spacing w:after="0"/>
        <w:tabs>
          <w:tab w:leader="none" w:pos="1720" w:val="left"/>
        </w:tabs>
        <w:rPr>
          <w:sz w:val="20"/>
          <w:szCs w:val="20"/>
          <w:color w:val="auto"/>
        </w:rPr>
      </w:pPr>
      <w:r>
        <w:rPr>
          <w:rFonts w:ascii="Times New Roman" w:cs="Times New Roman" w:eastAsia="Times New Roman" w:hAnsi="Times New Roman"/>
          <w:sz w:val="17"/>
          <w:szCs w:val="17"/>
          <w:i w:val="1"/>
          <w:iCs w:val="1"/>
          <w:color w:val="auto"/>
        </w:rPr>
        <w:t>Matter</w:t>
      </w:r>
      <w:r>
        <w:rPr>
          <w:sz w:val="20"/>
          <w:szCs w:val="20"/>
          <w:color w:val="auto"/>
        </w:rPr>
        <w:tab/>
      </w:r>
      <w:r>
        <w:rPr>
          <w:rFonts w:ascii="Times New Roman" w:cs="Times New Roman" w:eastAsia="Times New Roman" w:hAnsi="Times New Roman"/>
          <w:sz w:val="17"/>
          <w:szCs w:val="17"/>
          <w:color w:val="auto"/>
        </w:rPr>
        <w:t>promises to transfer term-based product subscriptions, cloud service offerings, and support services. Revenue is recognized when contro</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line="233" w:lineRule="auto"/>
        <w:rPr>
          <w:sz w:val="20"/>
          <w:szCs w:val="20"/>
          <w:color w:val="auto"/>
        </w:rPr>
      </w:pPr>
      <w:r>
        <w:rPr>
          <w:rFonts w:ascii="Times New Roman" w:cs="Times New Roman" w:eastAsia="Times New Roman" w:hAnsi="Times New Roman"/>
          <w:sz w:val="17"/>
          <w:szCs w:val="17"/>
          <w:i w:val="1"/>
          <w:iCs w:val="1"/>
          <w:color w:val="auto"/>
        </w:rPr>
        <w:t>How We Addressed the</w:t>
      </w:r>
    </w:p>
    <w:p>
      <w:pPr>
        <w:spacing w:after="0" w:line="1" w:lineRule="exact"/>
        <w:rPr>
          <w:sz w:val="20"/>
          <w:szCs w:val="20"/>
          <w:color w:val="auto"/>
        </w:rPr>
      </w:pPr>
    </w:p>
    <w:p>
      <w:pPr>
        <w:ind w:left="420"/>
        <w:spacing w:after="0" w:line="222" w:lineRule="auto"/>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ind w:right="340"/>
        <w:spacing w:after="0" w:line="230" w:lineRule="auto"/>
        <w:rPr>
          <w:sz w:val="20"/>
          <w:szCs w:val="20"/>
          <w:color w:val="auto"/>
        </w:rPr>
      </w:pPr>
      <w:r>
        <w:rPr>
          <w:rFonts w:ascii="Times New Roman" w:cs="Times New Roman" w:eastAsia="Times New Roman" w:hAnsi="Times New Roman"/>
          <w:sz w:val="18"/>
          <w:szCs w:val="18"/>
          <w:color w:val="auto"/>
        </w:rPr>
        <w:t>of the Company's offerings is transferred to its customers, in an amount that reflects the consideration expected in exchange for the products and services.</w:t>
      </w:r>
    </w:p>
    <w:p>
      <w:pPr>
        <w:spacing w:after="0" w:line="19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Auditing the Company’s revenue recognition was challenging and complex due to the effort required to analyze the accounting treatmen for the Company’s various product and service offerings in accordance with ASC 606, Revenue from Contracts with Customers. This involved assessing the impact of terms and conditions in contracts with customers to determine whether products and services are considered distinct performance obligations and the related timing of revenue recognition.</w:t>
      </w:r>
    </w:p>
    <w:p>
      <w:pPr>
        <w:spacing w:after="0" w:line="115"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internal controls over the Company's identification and evaluation of distinct performance obligations and the determination of the timing of revenue recognition.</w:t>
      </w:r>
    </w:p>
    <w:p>
      <w:pPr>
        <w:spacing w:after="0" w:line="18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7"/>
          <w:szCs w:val="17"/>
          <w:color w:val="auto"/>
        </w:rPr>
        <w:t>Among other procedures, to evaluate management’s identification and evaluation of the distinct performance obligations and timing of revenue recognition, we read executed contracts for a sample of sales transactions to understand the contract, identify the promised products and services in the contract, and identify the distinct performance obligations and related timing of revenue recognition.</w:t>
      </w:r>
    </w:p>
    <w:p>
      <w:pPr>
        <w:spacing w:after="0" w:line="200" w:lineRule="exact"/>
        <w:rPr>
          <w:sz w:val="20"/>
          <w:szCs w:val="20"/>
          <w:color w:val="auto"/>
        </w:rPr>
      </w:pPr>
    </w:p>
    <w:p>
      <w:pPr>
        <w:sectPr>
          <w:pgSz w:w="11900" w:h="16838" w:orient="portrait"/>
          <w:cols w:equalWidth="0" w:num="2">
            <w:col w:w="1420" w:space="320"/>
            <w:col w:w="9600"/>
          </w:cols>
          <w:pgMar w:left="320" w:top="121" w:right="239"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Autodesk,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33" w:lineRule="exact"/>
        <w:rPr>
          <w:sz w:val="20"/>
          <w:szCs w:val="20"/>
          <w:color w:val="auto"/>
        </w:rPr>
      </w:pPr>
    </w:p>
    <w:p>
      <w:pPr>
        <w:jc w:val="both"/>
        <w:ind w:firstLine="398"/>
        <w:spacing w:after="0"/>
        <w:rPr>
          <w:sz w:val="20"/>
          <w:szCs w:val="20"/>
          <w:color w:val="auto"/>
        </w:rPr>
      </w:pPr>
      <w:r>
        <w:rPr>
          <w:rFonts w:ascii="Times New Roman" w:cs="Times New Roman" w:eastAsia="Times New Roman" w:hAnsi="Times New Roman"/>
          <w:sz w:val="18"/>
          <w:szCs w:val="18"/>
          <w:color w:val="auto"/>
        </w:rPr>
        <w:t>We have audited Autodesk, Inc.’s internal control over financial reporting as of January 31, 2026, based on criteria established in Internal Control— 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2026, based on the COSO criteria.</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2026 and 2025, the related consolidated statements of operations, comprehensive income, stockholders’ equity and cash flows for each of the three years in the period ended January 31, 2026, and the related notes, and our report dated March 3, 2026, expressed an unqualified opinion thereon.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3" w:lineRule="exact"/>
        <w:rPr>
          <w:sz w:val="20"/>
          <w:szCs w:val="20"/>
          <w:color w:val="auto"/>
        </w:rPr>
      </w:pPr>
    </w:p>
    <w:p>
      <w:pPr>
        <w:jc w:val="both"/>
        <w:ind w:firstLine="398"/>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33"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6" w:lineRule="exact"/>
        <w:rPr>
          <w:sz w:val="20"/>
          <w:szCs w:val="20"/>
          <w:color w:val="auto"/>
        </w:rPr>
      </w:pPr>
    </w:p>
    <w:p>
      <w:pPr>
        <w:ind w:right="80" w:firstLine="398"/>
        <w:spacing w:after="0" w:line="272"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spacing w:after="0" w:line="1" w:lineRule="exact"/>
        <w:rPr>
          <w:sz w:val="20"/>
          <w:szCs w:val="20"/>
          <w:color w:val="auto"/>
        </w:rPr>
      </w:pPr>
    </w:p>
    <w:p>
      <w:pPr>
        <w:ind w:right="40" w:firstLine="6"/>
        <w:spacing w:after="0" w:line="247" w:lineRule="auto"/>
        <w:tabs>
          <w:tab w:leader="none" w:pos="2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6"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2026.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Our management has concluded that, as of January 31, 2026,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Part II, Item 8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6" w:lineRule="exact"/>
        <w:rPr>
          <w:sz w:val="20"/>
          <w:szCs w:val="20"/>
          <w:color w:val="auto"/>
        </w:rPr>
      </w:pPr>
    </w:p>
    <w:p>
      <w:pPr>
        <w:ind w:right="340" w:firstLine="398"/>
        <w:spacing w:after="0" w:line="26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during the three months ended January 31, 2026, that have materially affected, or are reasonably likely to materially affect, our internal control over financial reporting.</w:t>
      </w:r>
    </w:p>
    <w:p>
      <w:pPr>
        <w:spacing w:after="0" w:line="2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6" w:lineRule="exact"/>
        <w:rPr>
          <w:sz w:val="20"/>
          <w:szCs w:val="20"/>
          <w:color w:val="auto"/>
        </w:rPr>
      </w:pPr>
    </w:p>
    <w:p>
      <w:pPr>
        <w:ind w:right="40" w:firstLine="398"/>
        <w:spacing w:after="0" w:line="274" w:lineRule="auto"/>
        <w:rPr>
          <w:sz w:val="20"/>
          <w:szCs w:val="20"/>
          <w:color w:val="auto"/>
        </w:rPr>
      </w:pPr>
      <w:r>
        <w:rPr>
          <w:rFonts w:ascii="Times New Roman" w:cs="Times New Roman" w:eastAsia="Times New Roman" w:hAnsi="Times New Roman"/>
          <w:sz w:val="18"/>
          <w:szCs w:val="18"/>
          <w:color w:val="auto"/>
        </w:rPr>
        <w:t>During our fiscal quarter ended January 31, 2026, no officers or directors, as defined in Rule 16a-1(f), adopted and/or terminated a “Rule 10b5-1 trading arrangement” or a "non-10b5-1 trading arrangement” as defined in Regulation S-K Item 408.</w:t>
      </w:r>
    </w:p>
    <w:p>
      <w:pPr>
        <w:spacing w:after="0" w:line="18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6"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20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46"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“Proposal One: Election of Directors,” “Security Ownership of Certain Beneficial Owners and Management,” “Governance and our Board of Directors,” and “Corporate Governance Guidelines” in our Proxy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sets forth certain information as of March 3, 2026, regarding our executive officers.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tcPr>
          <w:p>
            <w:pPr>
              <w:spacing w:after="0"/>
              <w:rPr>
                <w:sz w:val="13"/>
                <w:szCs w:val="1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7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40"/>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Anagnost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7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2"/>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Janesh Moorjani</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7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2"/>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 M. Blum</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7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tc>
      </w:tr>
      <w:tr>
        <w:trPr>
          <w:trHeight w:val="212"/>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Ruth Ann Keene</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7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Executive Vice President, Corporate Affairs, Chief Legal Officer &amp; Corporate Secretary</w:t>
            </w:r>
          </w:p>
        </w:tc>
      </w:tr>
      <w:tr>
        <w:trPr>
          <w:trHeight w:val="212"/>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Rebecca Pearce</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7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Chief People Officer</w:t>
            </w:r>
          </w:p>
        </w:tc>
      </w:tr>
    </w:tbl>
    <w:p>
      <w:pPr>
        <w:spacing w:after="0" w:line="303" w:lineRule="exact"/>
        <w:rPr>
          <w:sz w:val="20"/>
          <w:szCs w:val="20"/>
          <w:color w:val="auto"/>
        </w:rPr>
      </w:pPr>
    </w:p>
    <w:p>
      <w:pPr>
        <w:ind w:firstLine="39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Andrew Anagnost </w:t>
      </w:r>
      <w:r>
        <w:rPr>
          <w:rFonts w:ascii="Times New Roman" w:cs="Times New Roman" w:eastAsia="Times New Roman" w:hAnsi="Times New Roman"/>
          <w:sz w:val="18"/>
          <w:szCs w:val="18"/>
          <w:color w:val="auto"/>
        </w:rPr>
        <w:t>joined Autodesk in September 1997 and has served as President and Chief Executive Officer since June 2017. He also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Interim Chief Financial Officer from January 2021 to March 2021. Dr. Anagnost 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212"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Janesh Moorjani </w:t>
      </w:r>
      <w:r>
        <w:rPr>
          <w:rFonts w:ascii="Times New Roman" w:cs="Times New Roman" w:eastAsia="Times New Roman" w:hAnsi="Times New Roman"/>
          <w:sz w:val="18"/>
          <w:szCs w:val="18"/>
          <w:color w:val="auto"/>
        </w:rPr>
        <w:t>joined Autodesk as Executive Vice President and Chief Financial Officer in December 2024. Mr. Moorjani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Elastic NV (“Elastic”), a software company for search-powered solutions, since August 2017 and assumed the additional responsibilities of Chief Operations Officer in May 2022. Prior to joining Elastic, Mr. Moorjani served in various executive and senior leadership, finance and sales positions at Infoblox, VMware, Cisco, PTC, and Goldman Sachs. Mr. Moorjani holds a Bachelor of Commerce degree from the University of Mumbai and an M.B.A. from the Wharton School of the University of Pennsylvania.</w:t>
      </w:r>
    </w:p>
    <w:p>
      <w:pPr>
        <w:spacing w:after="0" w:line="209"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Steven M. Blum </w:t>
      </w:r>
      <w:r>
        <w:rPr>
          <w:rFonts w:ascii="Times New Roman" w:cs="Times New Roman" w:eastAsia="Times New Roman" w:hAnsi="Times New Roman"/>
          <w:sz w:val="18"/>
          <w:szCs w:val="18"/>
          <w:color w:val="auto"/>
        </w:rPr>
        <w:t>joined Autodesk in January 2003 and has served as Executive Vice President and Chief Operating Officer since November 1, 2022.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Executive Vice President and Chief Revenue Officer from December 2020 through January 2022 and as Vice President and Chief Revenue Officer from August 2020 to December 2020. Mr. Blum served as Executive Vice President, Worldwide Field Operations from December 2020 to November 2021 and as Senior Vice President, Worldwide Field Operations from September 2017 to December 2020. Mr. 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212" w:lineRule="exact"/>
        <w:rPr>
          <w:sz w:val="20"/>
          <w:szCs w:val="20"/>
          <w:color w:val="auto"/>
        </w:rPr>
      </w:pPr>
    </w:p>
    <w:p>
      <w:pPr>
        <w:ind w:right="320" w:firstLine="39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Ruth Ann Keene </w:t>
      </w:r>
      <w:r>
        <w:rPr>
          <w:rFonts w:ascii="Times New Roman" w:cs="Times New Roman" w:eastAsia="Times New Roman" w:hAnsi="Times New Roman"/>
          <w:sz w:val="18"/>
          <w:szCs w:val="18"/>
          <w:color w:val="auto"/>
        </w:rPr>
        <w:t>joined Autodesk in January 2022 and has served as Executive Vice President, Corporate Affairs, Chief Legal Officer &amp;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since May 2022. Ms. Keene previously served as Senior Vice President, Chief Legal Officer, General Counsel &amp; Corporate Secretary of Unity Technologies (“Unity”) from September 2016 to January 2022. Prior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to joining Unity, Ms. Keene served as Vice President, Assistant General Counsel and Assistant Secretary of Autodesk from 2012 to 2016, and had served in various legal positions at Autodesk since August 2005. Before joining Autodesk, Ms. Keene was a technology transactions attorney at Morrison &amp; Foerster, LLP.</w:t>
      </w:r>
    </w:p>
    <w:p>
      <w:pPr>
        <w:spacing w:after="0" w:line="201" w:lineRule="exact"/>
        <w:rPr>
          <w:sz w:val="20"/>
          <w:szCs w:val="20"/>
          <w:color w:val="auto"/>
        </w:rPr>
      </w:pPr>
    </w:p>
    <w:p>
      <w:pPr>
        <w:ind w:firstLine="39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Rebecca Pearce </w:t>
      </w:r>
      <w:r>
        <w:rPr>
          <w:rFonts w:ascii="Times New Roman" w:cs="Times New Roman" w:eastAsia="Times New Roman" w:hAnsi="Times New Roman"/>
          <w:sz w:val="18"/>
          <w:szCs w:val="18"/>
          <w:color w:val="auto"/>
        </w:rPr>
        <w:t>joined Autodesk in October 2015 and has served as Executive Vice President, Chief People Officer since January 2022. Ms. Pearce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Vice President, People &amp; Places from June 2020 to December 2021 and as Senior HR Director - Digital Platforms and Corporate Functions from September 2018 through May 2020. Ms. Pearce served as HR Director Global Territory Sales from February 2018 to September 2018 and as Asia Pacific and Japan HR Director from October 2015 through January 2018. Prior to joining Autodesk, Ms. Pearce was the HR Director Global Operations, R&amp;D and Engineering for Dyson Limited from December 2011 to September 2015. Ms. Pearce also previously held leadership positions at Microsoft Corporation, including most recently as the Asia Pacific HR Leader for Microsoft Consumer and Online.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is no family relationship among any of our directors or executive officers.</w:t>
      </w:r>
    </w:p>
    <w:p>
      <w:pPr>
        <w:spacing w:after="0" w:line="24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46" w:lineRule="exact"/>
        <w:rPr>
          <w:sz w:val="20"/>
          <w:szCs w:val="20"/>
          <w:color w:val="auto"/>
        </w:rPr>
      </w:pPr>
    </w:p>
    <w:p>
      <w:pPr>
        <w:ind w:right="660" w:firstLine="39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“Governance and our Board of Directors” and “Executive Compensation” in our Proxy Statement.</w:t>
      </w:r>
    </w:p>
    <w:p>
      <w:pPr>
        <w:spacing w:after="0" w:line="189" w:lineRule="exact"/>
        <w:rPr>
          <w:sz w:val="20"/>
          <w:szCs w:val="20"/>
          <w:color w:val="auto"/>
        </w:rPr>
      </w:pPr>
    </w:p>
    <w:p>
      <w:pPr>
        <w:ind w:left="1280" w:right="200" w:hanging="1272"/>
        <w:spacing w:after="0" w:line="276"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89" w:lineRule="exact"/>
        <w:rPr>
          <w:sz w:val="20"/>
          <w:szCs w:val="20"/>
          <w:color w:val="auto"/>
        </w:rPr>
      </w:pPr>
    </w:p>
    <w:p>
      <w:pPr>
        <w:ind w:firstLine="39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“Executive Compensation—Equity Compensation Plan Information” in our Proxy Statement.</w:t>
      </w:r>
    </w:p>
    <w:p>
      <w:pPr>
        <w:spacing w:after="0" w:line="18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6" w:lineRule="exact"/>
        <w:rPr>
          <w:sz w:val="20"/>
          <w:szCs w:val="20"/>
          <w:color w:val="auto"/>
        </w:rPr>
      </w:pPr>
    </w:p>
    <w:p>
      <w:pPr>
        <w:ind w:firstLine="39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“Certain Relationships and Related Party Transactions” and “Governance and our Board of Directors —Independence of the Board” in our Proxy Statement.</w:t>
      </w:r>
    </w:p>
    <w:p>
      <w:pPr>
        <w:spacing w:after="0" w:line="18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46" w:lineRule="exact"/>
        <w:rPr>
          <w:sz w:val="20"/>
          <w:szCs w:val="20"/>
          <w:color w:val="auto"/>
        </w:rPr>
      </w:pPr>
    </w:p>
    <w:p>
      <w:pPr>
        <w:ind w:right="240" w:firstLine="39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46" w:lineRule="exact"/>
        <w:rPr>
          <w:sz w:val="20"/>
          <w:szCs w:val="20"/>
          <w:color w:val="auto"/>
        </w:rPr>
      </w:pPr>
    </w:p>
    <w:p>
      <w:pPr>
        <w:ind w:left="820" w:hanging="416"/>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1"/>
          <w:numId w:val="66"/>
        </w:numPr>
        <w:rPr>
          <w:rFonts w:ascii="Arial" w:cs="Arial" w:eastAsia="Arial" w:hAnsi="Arial"/>
          <w:sz w:val="19"/>
          <w:szCs w:val="19"/>
          <w:i w:val="1"/>
          <w:iCs w:val="1"/>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information concerning Autodesk’s financial statements, and the Report of Ernst &amp; Young LLP, Independent</w:t>
      </w:r>
    </w:p>
    <w:p>
      <w:pPr>
        <w:spacing w:after="0" w:line="2" w:lineRule="exact"/>
        <w:rPr>
          <w:rFonts w:ascii="Arial" w:cs="Arial" w:eastAsia="Arial" w:hAnsi="Arial"/>
          <w:sz w:val="19"/>
          <w:szCs w:val="19"/>
          <w:i w:val="1"/>
          <w:iCs w:val="1"/>
          <w:color w:val="auto"/>
        </w:rPr>
      </w:pPr>
    </w:p>
    <w:p>
      <w:pPr>
        <w:ind w:left="880"/>
        <w:spacing w:after="0" w:line="238" w:lineRule="auto"/>
        <w:rPr>
          <w:rFonts w:ascii="Arial" w:cs="Arial" w:eastAsia="Arial" w:hAnsi="Arial"/>
          <w:sz w:val="19"/>
          <w:szCs w:val="19"/>
          <w:i w:val="1"/>
          <w:iCs w:val="1"/>
          <w:color w:val="auto"/>
        </w:rPr>
      </w:pPr>
      <w:r>
        <w:rPr>
          <w:rFonts w:ascii="Times New Roman" w:cs="Times New Roman" w:eastAsia="Times New Roman" w:hAnsi="Times New Roman"/>
          <w:sz w:val="18"/>
          <w:szCs w:val="18"/>
          <w:color w:val="auto"/>
        </w:rPr>
        <w:t>Registered Public Accounting Firm (PCAOB ID: 42), San Francisco, California, required by this Item is incorporated by reference herein to the section of this Report in Part II, Item 8, entitled “Financial Statements and Supplementary Data.”</w:t>
      </w:r>
    </w:p>
    <w:p>
      <w:pPr>
        <w:spacing w:after="0" w:line="217" w:lineRule="exact"/>
        <w:rPr>
          <w:rFonts w:ascii="Arial" w:cs="Arial" w:eastAsia="Arial" w:hAnsi="Arial"/>
          <w:sz w:val="19"/>
          <w:szCs w:val="19"/>
          <w:i w:val="1"/>
          <w:iCs w:val="1"/>
          <w:color w:val="auto"/>
        </w:rPr>
      </w:pPr>
    </w:p>
    <w:p>
      <w:pPr>
        <w:jc w:val="both"/>
        <w:ind w:left="880" w:right="80" w:hanging="317"/>
        <w:spacing w:after="0" w:line="261" w:lineRule="auto"/>
        <w:tabs>
          <w:tab w:leader="none" w:pos="8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r>
        <w:rPr>
          <w:rFonts w:ascii="Times New Roman" w:cs="Times New Roman" w:eastAsia="Times New Roman" w:hAnsi="Times New Roman"/>
          <w:sz w:val="18"/>
          <w:szCs w:val="18"/>
          <w:color w:val="auto"/>
        </w:rPr>
        <w:t>: The Financial Statement Schedules have been omitted because they are not applicable or are not required or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present in material amounts or the information required to be set forth herein is included in the Consolidated Financial Statements or Notes thereto.</w:t>
      </w:r>
    </w:p>
    <w:p>
      <w:pPr>
        <w:spacing w:after="0" w:line="200" w:lineRule="exact"/>
        <w:rPr>
          <w:rFonts w:ascii="Times New Roman" w:cs="Times New Roman" w:eastAsia="Times New Roman" w:hAnsi="Times New Roman"/>
          <w:sz w:val="18"/>
          <w:szCs w:val="18"/>
          <w:color w:val="auto"/>
        </w:rPr>
      </w:pPr>
    </w:p>
    <w:p>
      <w:pPr>
        <w:ind w:left="880" w:right="160" w:hanging="317"/>
        <w:spacing w:after="0" w:line="276" w:lineRule="auto"/>
        <w:tabs>
          <w:tab w:leader="none" w:pos="8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Report by reference, the exhibits listed on the accompanying Index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Exhibits immediately prior to the signature page of this Form 10-K.</w:t>
      </w:r>
    </w:p>
    <w:p>
      <w:pPr>
        <w:spacing w:after="0" w:line="189" w:lineRule="exact"/>
        <w:rPr>
          <w:rFonts w:ascii="Times New Roman" w:cs="Times New Roman" w:eastAsia="Times New Roman" w:hAnsi="Times New Roman"/>
          <w:sz w:val="18"/>
          <w:szCs w:val="18"/>
          <w:color w:val="auto"/>
        </w:rPr>
      </w:pPr>
    </w:p>
    <w:p>
      <w:pPr>
        <w:ind w:left="840" w:hanging="436"/>
        <w:spacing w:after="0"/>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4" w:lineRule="exact"/>
        <w:rPr>
          <w:sz w:val="20"/>
          <w:szCs w:val="20"/>
          <w:color w:val="auto"/>
        </w:rPr>
      </w:pPr>
    </w:p>
    <w:p>
      <w:pPr>
        <w:ind w:left="880" w:right="40"/>
        <w:spacing w:after="0" w:line="274" w:lineRule="auto"/>
        <w:rPr>
          <w:sz w:val="20"/>
          <w:szCs w:val="20"/>
          <w:color w:val="auto"/>
        </w:rPr>
      </w:pPr>
      <w:r>
        <w:rPr>
          <w:rFonts w:ascii="Times New Roman" w:cs="Times New Roman" w:eastAsia="Times New Roman" w:hAnsi="Times New Roman"/>
          <w:sz w:val="18"/>
          <w:szCs w:val="18"/>
          <w:color w:val="auto"/>
        </w:rPr>
        <w:t>We have filed, or incorporated into this Report by reference, the exhibits listed on the accompanying Index to Exhibits immediately prior to the signature page of this Form 10-K.</w:t>
      </w:r>
    </w:p>
    <w:p>
      <w:pPr>
        <w:spacing w:after="0" w:line="191" w:lineRule="exact"/>
        <w:rPr>
          <w:sz w:val="20"/>
          <w:szCs w:val="20"/>
          <w:color w:val="auto"/>
        </w:rPr>
      </w:pPr>
    </w:p>
    <w:p>
      <w:pPr>
        <w:ind w:left="820" w:hanging="416"/>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 above.</w:t>
      </w:r>
    </w:p>
    <w:p>
      <w:pPr>
        <w:spacing w:after="0" w:line="21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800" w:type="dxa"/>
            <w:vAlign w:val="bottom"/>
          </w:tcPr>
          <w:p>
            <w:pPr>
              <w:spacing w:after="0"/>
              <w:rPr>
                <w:sz w:val="16"/>
                <w:szCs w:val="16"/>
                <w:color w:val="auto"/>
              </w:rPr>
            </w:pP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20" w:type="dxa"/>
            <w:vAlign w:val="bottom"/>
            <w:gridSpan w:val="3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4"/>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2"/>
        </w:trPr>
        <w:tc>
          <w:tcPr>
            <w:tcW w:w="9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w:t>
            </w:r>
          </w:p>
        </w:tc>
        <w:tc>
          <w:tcPr>
            <w:tcW w:w="4140" w:type="dxa"/>
            <w:vAlign w:val="bottom"/>
            <w:tcBorders>
              <w:bottom w:val="single" w:sz="8" w:color="0000FF"/>
            </w:tcBorders>
            <w:gridSpan w:val="20"/>
          </w:tcPr>
          <w:p>
            <w:pPr>
              <w:spacing w:after="0" w:line="172" w:lineRule="exact"/>
              <w:rPr>
                <w:rFonts w:ascii="Times New Roman" w:cs="Times New Roman" w:eastAsia="Times New Roman" w:hAnsi="Times New Roman"/>
                <w:sz w:val="16"/>
                <w:szCs w:val="16"/>
                <w:color w:val="0000FF"/>
                <w:w w:val="99"/>
              </w:rPr>
            </w:pPr>
            <w:hyperlink r:id="rId124">
              <w:r>
                <w:rPr>
                  <w:rFonts w:ascii="Times New Roman" w:cs="Times New Roman" w:eastAsia="Times New Roman" w:hAnsi="Times New Roman"/>
                  <w:sz w:val="16"/>
                  <w:szCs w:val="16"/>
                  <w:color w:val="0000FF"/>
                  <w:w w:val="99"/>
                </w:rPr>
                <w:t>Amended and Restated Certificate of Incorporation of Registrant</w:t>
              </w:r>
            </w:hyperlink>
          </w:p>
        </w:tc>
        <w:tc>
          <w:tcPr>
            <w:tcW w:w="1520" w:type="dxa"/>
            <w:vAlign w:val="bottom"/>
            <w:gridSpan w:val="23"/>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w:t>
            </w:r>
          </w:p>
        </w:tc>
        <w:tc>
          <w:tcPr>
            <w:tcW w:w="1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rPr>
              <w:t>7/18/2024</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Bylaws of Registrant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7/18/2024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Indenture dated December 13, 2012, by and between the Registrant and U.S. Bank</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60" w:type="dxa"/>
            <w:vAlign w:val="bottom"/>
            <w:tcBorders>
              <w:top w:val="single" w:sz="8" w:color="0000FF"/>
            </w:tcBorders>
            <w:gridSpan w:val="29"/>
          </w:tcPr>
          <w:p>
            <w:pPr>
              <w:spacing w:after="0" w:line="13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National Association</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First Supplemental Indenture (including Form of Notes) dated December 13, 2012, by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9"/>
          </w:tcPr>
          <w:p>
            <w:pPr>
              <w:spacing w:after="0" w:line="139" w:lineRule="exact"/>
              <w:rPr>
                <w:rFonts w:ascii="Times New Roman" w:cs="Times New Roman" w:eastAsia="Times New Roman" w:hAnsi="Times New Roman"/>
                <w:sz w:val="16"/>
                <w:szCs w:val="16"/>
                <w:color w:val="0000FF"/>
                <w:w w:val="99"/>
              </w:rPr>
            </w:pPr>
            <w:hyperlink r:id="rId127">
              <w:r>
                <w:rPr>
                  <w:rFonts w:ascii="Times New Roman" w:cs="Times New Roman" w:eastAsia="Times New Roman" w:hAnsi="Times New Roman"/>
                  <w:sz w:val="16"/>
                  <w:szCs w:val="16"/>
                  <w:color w:val="0000FF"/>
                  <w:w w:val="99"/>
                </w:rPr>
                <w:t>and between the Registrant and U.S. Bank National Association</w:t>
              </w:r>
            </w:hyperlink>
          </w:p>
        </w:tc>
        <w:tc>
          <w:tcPr>
            <w:tcW w:w="14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Third Supplemental Indenture (including Form of Notes) dated June 8, 2017, by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6/8/2017</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15"/>
          </w:tcPr>
          <w:p>
            <w:pPr>
              <w:spacing w:after="0" w:line="139"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between the Registrant and U.S. Bank National Association</w:t>
              </w:r>
            </w:hyperlink>
          </w:p>
        </w:tc>
        <w:tc>
          <w:tcPr>
            <w:tcW w:w="15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Fourth Supplemental Indenture (including Form of Notes) dated January 14, 2020, by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1/14/2020</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9"/>
          </w:tcPr>
          <w:p>
            <w:pPr>
              <w:spacing w:after="0" w:line="139"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and between the Registrant and U.S. National Bank Association</w:t>
              </w:r>
            </w:hyperlink>
          </w:p>
        </w:tc>
        <w:tc>
          <w:tcPr>
            <w:tcW w:w="13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Fifth Supplemental Indenture, dated October 7, 2021, by and between Registrant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20" w:type="dxa"/>
            <w:vAlign w:val="bottom"/>
            <w:tcBorders>
              <w:top w:val="single" w:sz="8" w:color="0000FF"/>
              <w:bottom w:val="single" w:sz="8" w:color="0000FF"/>
            </w:tcBorders>
            <w:gridSpan w:val="32"/>
          </w:tcPr>
          <w:p>
            <w:pPr>
              <w:spacing w:after="0" w:line="139" w:lineRule="exact"/>
              <w:rPr>
                <w:rFonts w:ascii="Times New Roman" w:cs="Times New Roman" w:eastAsia="Times New Roman" w:hAnsi="Times New Roman"/>
                <w:sz w:val="16"/>
                <w:szCs w:val="16"/>
                <w:color w:val="0000FF"/>
                <w:w w:val="98"/>
              </w:rPr>
            </w:pPr>
            <w:hyperlink r:id="rId130">
              <w:r>
                <w:rPr>
                  <w:rFonts w:ascii="Times New Roman" w:cs="Times New Roman" w:eastAsia="Times New Roman" w:hAnsi="Times New Roman"/>
                  <w:sz w:val="16"/>
                  <w:szCs w:val="16"/>
                  <w:color w:val="0000FF"/>
                  <w:w w:val="98"/>
                </w:rPr>
                <w:t>U.S. Bank National Association, including Form of Note for Autodesk, Inc.’s 2.400%</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00" w:type="dxa"/>
            <w:vAlign w:val="bottom"/>
            <w:gridSpan w:val="36"/>
          </w:tcPr>
          <w:p>
            <w:pPr>
              <w:spacing w:after="0" w:line="13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Notes due 2031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5660" w:type="dxa"/>
            <w:vAlign w:val="bottom"/>
            <w:gridSpan w:val="43"/>
          </w:tcPr>
          <w:p>
            <w:pPr>
              <w:spacing w:after="0" w:line="20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Sixth Supplemental Indenture, dated June 6, 2025, by and between Autodesk,</w:t>
              </w:r>
            </w:hyperlink>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06/06/2025</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5560" w:type="dxa"/>
            <w:vAlign w:val="bottom"/>
            <w:tcBorders>
              <w:top w:val="single" w:sz="8" w:color="0000FF"/>
            </w:tcBorders>
            <w:gridSpan w:val="39"/>
          </w:tcPr>
          <w:p>
            <w:pPr>
              <w:spacing w:after="0" w:line="17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 and U.S. Bank Trust Company, National Association, including Form of</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5440" w:type="dxa"/>
            <w:vAlign w:val="bottom"/>
            <w:tcBorders>
              <w:top w:val="single" w:sz="8" w:color="0000FF"/>
            </w:tcBorders>
            <w:gridSpan w:val="33"/>
          </w:tcPr>
          <w:p>
            <w:pPr>
              <w:spacing w:after="0" w:line="17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Note for Autodesk, Inc.’s 5.300% Notes due 2035</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354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Description of Registrant's Capital Stock</w:t>
              </w:r>
            </w:hyperlink>
          </w:p>
        </w:tc>
        <w:tc>
          <w:tcPr>
            <w:tcW w:w="2120" w:type="dxa"/>
            <w:vAlign w:val="bottom"/>
            <w:gridSpan w:val="30"/>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3/19/2020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38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9"/>
              </w:rPr>
            </w:pPr>
            <w:hyperlink r:id="rId133">
              <w:r>
                <w:rPr>
                  <w:rFonts w:ascii="Times New Roman" w:cs="Times New Roman" w:eastAsia="Times New Roman" w:hAnsi="Times New Roman"/>
                  <w:sz w:val="16"/>
                  <w:szCs w:val="16"/>
                  <w:color w:val="0000FF"/>
                  <w:w w:val="99"/>
                </w:rPr>
                <w:t>Description of Registrant's Performance Stock Unit Program</w:t>
              </w:r>
            </w:hyperlink>
          </w:p>
        </w:tc>
        <w:tc>
          <w:tcPr>
            <w:tcW w:w="1780" w:type="dxa"/>
            <w:vAlign w:val="bottom"/>
            <w:gridSpan w:val="27"/>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4/15/2020</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Registrant's 2012 Employee Stock Plan, as amended and restated effective as of June</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8/30/2018</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134">
              <w:r>
                <w:rPr>
                  <w:rFonts w:ascii="Times New Roman" w:cs="Times New Roman" w:eastAsia="Times New Roman" w:hAnsi="Times New Roman"/>
                  <w:sz w:val="16"/>
                  <w:szCs w:val="16"/>
                  <w:color w:val="0000FF"/>
                  <w:w w:val="96"/>
                </w:rPr>
                <w:t>12, 2018</w:t>
              </w:r>
            </w:hyperlink>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Registrant's 2012 Employee Stock Plan Form of Restricted Stock Unit Agreement, as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8/30/2016</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60" w:type="dxa"/>
            <w:vAlign w:val="bottom"/>
            <w:tcBorders>
              <w:top w:val="single" w:sz="8" w:color="0000FF"/>
            </w:tcBorders>
            <w:gridSpan w:val="34"/>
          </w:tcPr>
          <w:p>
            <w:pPr>
              <w:spacing w:after="0" w:line="13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amended and restated</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Registrant's 2012 Employee Stock Plan Form of Severance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8/30/2016</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180" w:type="dxa"/>
            <w:vAlign w:val="bottom"/>
            <w:tcBorders>
              <w:top w:val="single" w:sz="8" w:color="0000FF"/>
            </w:tcBorders>
            <w:gridSpan w:val="26"/>
          </w:tcPr>
          <w:p>
            <w:pPr>
              <w:spacing w:after="0" w:line="13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Agreement, as amended and restated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Registrant's 2012 Employee Stock Plan Form of Stock Option Agreement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3/13/2012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Registrant's 2012 Employee Stock Plan Form of Stock Option Agreement (non-U.S.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380" w:type="dxa"/>
            <w:vAlign w:val="bottom"/>
            <w:tcBorders>
              <w:top w:val="single" w:sz="8" w:color="0000FF"/>
            </w:tcBorders>
            <w:gridSpan w:val="30"/>
          </w:tcPr>
          <w:p>
            <w:pPr>
              <w:spacing w:after="0" w:line="13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Employees)</w:t>
              </w:r>
            </w:hyperlink>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PlanGrid, Inc. 2012 Equity Incentive Plan</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333-228934</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12/21/2018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Amended and Restated BuildingConnected, Inc. 2013 Stock Plan</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333-229346</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1/24/2019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Registrant's 2012 Outside Directors' Stock Plan, as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3/21/2017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Registrant's 2012 Outside Directors' Stock Plan Form of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3/13/2012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Agreement</w:t>
              </w:r>
            </w:hyperlink>
          </w:p>
        </w:tc>
        <w:tc>
          <w:tcPr>
            <w:tcW w:w="4240" w:type="dxa"/>
            <w:vAlign w:val="bottom"/>
            <w:tcBorders>
              <w:top w:val="single" w:sz="8" w:color="0000FF"/>
            </w:tcBorders>
            <w:gridSpan w:val="2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Registrant's 2012 Outside Directors' Stock Plan Form of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6/4/2019</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Agreement</w:t>
              </w:r>
            </w:hyperlink>
          </w:p>
        </w:tc>
        <w:tc>
          <w:tcPr>
            <w:tcW w:w="4240" w:type="dxa"/>
            <w:vAlign w:val="bottom"/>
            <w:tcBorders>
              <w:top w:val="single" w:sz="8" w:color="0000FF"/>
            </w:tcBorders>
            <w:gridSpan w:val="2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Registrant’s Executive Incentive Plan, as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3/23/2016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Registrant’s 2005 Non-Qualified Deferred Compensation Plan, as amended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12/8/2009</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10"/>
          </w:tcPr>
          <w:p>
            <w:pPr>
              <w:spacing w:after="0" w:line="139"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restated, effective as of January 1, 2010</w:t>
              </w:r>
            </w:hyperlink>
          </w:p>
        </w:tc>
        <w:tc>
          <w:tcPr>
            <w:tcW w:w="2480" w:type="dxa"/>
            <w:vAlign w:val="bottom"/>
            <w:tcBorders>
              <w:top w:val="single" w:sz="8" w:color="0000FF"/>
            </w:tcBorders>
            <w:gridSpan w:val="15"/>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408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9"/>
              </w:rPr>
            </w:pPr>
            <w:hyperlink r:id="rId146">
              <w:r>
                <w:rPr>
                  <w:rFonts w:ascii="Times New Roman" w:cs="Times New Roman" w:eastAsia="Times New Roman" w:hAnsi="Times New Roman"/>
                  <w:sz w:val="16"/>
                  <w:szCs w:val="16"/>
                  <w:color w:val="0000FF"/>
                  <w:w w:val="99"/>
                </w:rPr>
                <w:t>Executive Change in Control Program, as amended and restated</w:t>
              </w:r>
            </w:hyperlink>
          </w:p>
        </w:tc>
        <w:tc>
          <w:tcPr>
            <w:tcW w:w="1580" w:type="dxa"/>
            <w:vAlign w:val="bottom"/>
            <w:gridSpan w:val="25"/>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4/27/2022</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Indemnification Agreement executed by the Registrant and each of its officers</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3/31/2005</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84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6"/>
                <w:szCs w:val="16"/>
                <w:color w:val="0000FF"/>
                <w:w w:val="98"/>
              </w:rPr>
            </w:pPr>
            <w:hyperlink r:id="rId147">
              <w:r>
                <w:rPr>
                  <w:rFonts w:ascii="Times New Roman" w:cs="Times New Roman" w:eastAsia="Times New Roman" w:hAnsi="Times New Roman"/>
                  <w:sz w:val="16"/>
                  <w:szCs w:val="16"/>
                  <w:color w:val="0000FF"/>
                  <w:w w:val="98"/>
                </w:rPr>
                <w:t>and directors</w:t>
              </w:r>
            </w:hyperlink>
          </w:p>
        </w:tc>
        <w:tc>
          <w:tcPr>
            <w:tcW w:w="4760" w:type="dxa"/>
            <w:vAlign w:val="bottom"/>
            <w:tcBorders>
              <w:top w:val="single" w:sz="8" w:color="0000FF"/>
            </w:tcBorders>
            <w:gridSpan w:val="3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Form of Qualified Retirement Agreement under the Registrant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22"/>
          </w:tcPr>
          <w:p>
            <w:pPr>
              <w:spacing w:after="0" w:line="139" w:lineRule="exact"/>
              <w:rPr>
                <w:rFonts w:ascii="Times New Roman" w:cs="Times New Roman" w:eastAsia="Times New Roman" w:hAnsi="Times New Roman"/>
                <w:sz w:val="16"/>
                <w:szCs w:val="16"/>
                <w:color w:val="0000FF"/>
                <w:w w:val="99"/>
              </w:rPr>
            </w:pPr>
            <w:hyperlink r:id="rId148">
              <w:r>
                <w:rPr>
                  <w:rFonts w:ascii="Times New Roman" w:cs="Times New Roman" w:eastAsia="Times New Roman" w:hAnsi="Times New Roman"/>
                  <w:sz w:val="16"/>
                  <w:szCs w:val="16"/>
                  <w:color w:val="0000FF"/>
                  <w:w w:val="99"/>
                </w:rPr>
                <w:t>Severance Plan and Summary Plan Description dated March 25, 2021</w:t>
              </w:r>
            </w:hyperlink>
          </w:p>
        </w:tc>
        <w:tc>
          <w:tcPr>
            <w:tcW w:w="112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10.17.1*</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Employment Agreement, dated as of June 19, 2017, by and between the Registrant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6/19/2017</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620" w:type="dxa"/>
            <w:vAlign w:val="bottom"/>
            <w:tcBorders>
              <w:top w:val="single" w:sz="8" w:color="0000FF"/>
            </w:tcBorders>
            <w:gridSpan w:val="42"/>
          </w:tcPr>
          <w:p>
            <w:pPr>
              <w:spacing w:after="0" w:line="139"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Andrew Anagnost</w:t>
              </w:r>
            </w:hyperlink>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10.17.2</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First Amendment to Andrew Anagnost Employment Agreement, dated as of April 27,</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4/27/2022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20" w:type="dxa"/>
            <w:vAlign w:val="bottom"/>
            <w:tcBorders>
              <w:top w:val="single" w:sz="8" w:color="0000FF"/>
            </w:tcBorders>
            <w:gridSpan w:val="37"/>
          </w:tcPr>
          <w:p>
            <w:pPr>
              <w:spacing w:after="0" w:line="139"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2022, by and between the Registrant and Andrew Anagnost</w:t>
              </w:r>
            </w:hyperlink>
          </w:p>
        </w:tc>
        <w:tc>
          <w:tcPr>
            <w:tcW w:w="140" w:type="dxa"/>
            <w:vAlign w:val="bottom"/>
            <w:gridSpan w:val="6"/>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566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Registrant Amended and Restated Severance Plan and Summary Plan Description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20" w:type="dxa"/>
            <w:vAlign w:val="bottom"/>
            <w:tcBorders>
              <w:top w:val="single" w:sz="8" w:color="0000FF"/>
            </w:tcBorders>
            <w:gridSpan w:val="27"/>
          </w:tcPr>
          <w:p>
            <w:pPr>
              <w:spacing w:after="0" w:line="139" w:lineRule="exact"/>
              <w:rPr>
                <w:sz w:val="20"/>
                <w:szCs w:val="20"/>
                <w:color w:val="auto"/>
              </w:rPr>
            </w:pPr>
            <w:r>
              <w:rPr>
                <w:rFonts w:ascii="Times New Roman" w:cs="Times New Roman" w:eastAsia="Times New Roman" w:hAnsi="Times New Roman"/>
                <w:sz w:val="16"/>
                <w:szCs w:val="16"/>
                <w:color w:val="0000FF"/>
              </w:rPr>
              <w:t>dated September 24, 2025</w:t>
            </w:r>
          </w:p>
        </w:tc>
        <w:tc>
          <w:tcPr>
            <w:tcW w:w="20" w:type="dxa"/>
            <w:vAlign w:val="bottom"/>
          </w:tcPr>
          <w:p>
            <w:pPr>
              <w:spacing w:after="0"/>
              <w:rPr>
                <w:sz w:val="12"/>
                <w:szCs w:val="12"/>
                <w:color w:val="auto"/>
              </w:rPr>
            </w:pPr>
          </w:p>
        </w:tc>
        <w:tc>
          <w:tcPr>
            <w:tcW w:w="420" w:type="dxa"/>
            <w:vAlign w:val="bottom"/>
            <w:gridSpan w:val="15"/>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3580" w:type="dxa"/>
            <w:vAlign w:val="bottom"/>
            <w:gridSpan w:val="20"/>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5660" w:type="dxa"/>
            <w:vAlign w:val="bottom"/>
            <w:gridSpan w:val="43"/>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Registrant's 2012 Employee Stock Plan Form of Retirement Restricted Stock Unit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3/19/2021</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40" w:type="dxa"/>
            <w:vAlign w:val="bottom"/>
            <w:tcBorders>
              <w:top w:val="single" w:sz="8" w:color="0000FF"/>
            </w:tcBorders>
            <w:gridSpan w:val="28"/>
          </w:tcPr>
          <w:p>
            <w:pPr>
              <w:spacing w:after="0" w:line="139"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Agreement, as amended and restated</w:t>
              </w:r>
            </w:hyperlink>
          </w:p>
        </w:tc>
        <w:tc>
          <w:tcPr>
            <w:tcW w:w="420" w:type="dxa"/>
            <w:vAlign w:val="bottom"/>
            <w:gridSpan w:val="15"/>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800" w:type="dxa"/>
            <w:vAlign w:val="bottom"/>
          </w:tcPr>
          <w:p>
            <w:pPr>
              <w:spacing w:after="0"/>
              <w:rPr>
                <w:sz w:val="16"/>
                <w:szCs w:val="16"/>
                <w:color w:val="auto"/>
              </w:rPr>
            </w:pP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58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7"/>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2"/>
        </w:trPr>
        <w:tc>
          <w:tcPr>
            <w:tcW w:w="9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10.21</w:t>
            </w:r>
          </w:p>
        </w:tc>
        <w:tc>
          <w:tcPr>
            <w:tcW w:w="5660" w:type="dxa"/>
            <w:vAlign w:val="bottom"/>
            <w:gridSpan w:val="26"/>
          </w:tcPr>
          <w:p>
            <w:pPr>
              <w:spacing w:after="0" w:line="17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Amendment No. 1 to Amended and Restated Credit Agreement dated November 21,</w:t>
              </w:r>
            </w:hyperlink>
          </w:p>
        </w:tc>
        <w:tc>
          <w:tcPr>
            <w:tcW w:w="800" w:type="dxa"/>
            <w:vAlign w:val="bottom"/>
          </w:tcPr>
          <w:p>
            <w:pPr>
              <w:spacing w:after="0"/>
              <w:rPr>
                <w:sz w:val="14"/>
                <w:szCs w:val="14"/>
                <w:color w:val="auto"/>
              </w:rPr>
            </w:pPr>
          </w:p>
        </w:tc>
        <w:tc>
          <w:tcPr>
            <w:tcW w:w="8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color w:val="auto"/>
              </w:rPr>
              <w:t>12/16/22</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3"/>
              </w:rPr>
            </w:pPr>
            <w:hyperlink r:id="rId153">
              <w:r>
                <w:rPr>
                  <w:rFonts w:ascii="Times New Roman" w:cs="Times New Roman" w:eastAsia="Times New Roman" w:hAnsi="Times New Roman"/>
                  <w:sz w:val="16"/>
                  <w:szCs w:val="16"/>
                  <w:color w:val="0000FF"/>
                  <w:w w:val="93"/>
                </w:rPr>
                <w:t>2022</w:t>
              </w:r>
            </w:hyperlink>
          </w:p>
        </w:tc>
        <w:tc>
          <w:tcPr>
            <w:tcW w:w="6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Autodesk, Inc. 2022 Equity Incentive Plan As Amended and Restated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06/20/2025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Autodesk, Inc. 2022 Equity Incentive Plan Form of Global RSU Agreement</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05/29/2025</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32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w w:val="99"/>
              </w:rPr>
            </w:pPr>
            <w:hyperlink r:id="rId156">
              <w:r>
                <w:rPr>
                  <w:rFonts w:ascii="Times New Roman" w:cs="Times New Roman" w:eastAsia="Times New Roman" w:hAnsi="Times New Roman"/>
                  <w:sz w:val="16"/>
                  <w:szCs w:val="16"/>
                  <w:color w:val="0000FF"/>
                  <w:w w:val="99"/>
                </w:rPr>
                <w:t>Autodesk, Inc. 2022 Director Compensation Policy</w:t>
              </w:r>
            </w:hyperlink>
          </w:p>
        </w:tc>
        <w:tc>
          <w:tcPr>
            <w:tcW w:w="1560" w:type="dxa"/>
            <w:vAlign w:val="bottom"/>
            <w:tcBorders>
              <w:top w:val="single" w:sz="8" w:color="0000FF"/>
            </w:tcBorders>
            <w:gridSpan w:val="3"/>
          </w:tcPr>
          <w:p>
            <w:pPr>
              <w:spacing w:after="0"/>
              <w:rPr>
                <w:sz w:val="17"/>
                <w:szCs w:val="17"/>
                <w:color w:val="auto"/>
              </w:rPr>
            </w:pPr>
          </w:p>
        </w:tc>
        <w:tc>
          <w:tcPr>
            <w:tcW w:w="82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08/23/2022</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49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9"/>
              </w:rPr>
            </w:pPr>
            <w:hyperlink r:id="rId157">
              <w:r>
                <w:rPr>
                  <w:rFonts w:ascii="Times New Roman" w:cs="Times New Roman" w:eastAsia="Times New Roman" w:hAnsi="Times New Roman"/>
                  <w:sz w:val="16"/>
                  <w:szCs w:val="16"/>
                  <w:color w:val="0000FF"/>
                  <w:w w:val="99"/>
                </w:rPr>
                <w:t>Autodesk, Inc. 2022 Equity Incentive Plan Form of Director RSU Agreement</w:t>
              </w:r>
            </w:hyperlink>
          </w:p>
        </w:tc>
        <w:tc>
          <w:tcPr>
            <w:tcW w:w="72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08/23/2022</w:t>
            </w:r>
          </w:p>
        </w:tc>
        <w:tc>
          <w:tcPr>
            <w:tcW w:w="0" w:type="dxa"/>
            <w:vAlign w:val="bottom"/>
          </w:tcPr>
          <w:p>
            <w:pPr>
              <w:spacing w:after="0"/>
              <w:rPr>
                <w:sz w:val="1"/>
                <w:szCs w:val="1"/>
                <w:color w:val="auto"/>
              </w:rPr>
            </w:pPr>
          </w:p>
        </w:tc>
      </w:tr>
      <w:tr>
        <w:trPr>
          <w:trHeight w:val="206"/>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Registrant’s 1998 Employee Qualified Stock Purchase Plan, as amended and restated</w:t>
              </w:r>
            </w:hyperlink>
          </w:p>
        </w:tc>
        <w:tc>
          <w:tcPr>
            <w:tcW w:w="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03/14/2023</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420" w:type="dxa"/>
            <w:vAlign w:val="bottom"/>
            <w:tcBorders>
              <w:top w:val="single" w:sz="8" w:color="0000FF"/>
            </w:tcBorders>
            <w:gridSpan w:val="22"/>
          </w:tcPr>
          <w:p>
            <w:pPr>
              <w:spacing w:after="0" w:line="139"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effective as of December 14, 2022, its Forms of Subscription Agreement and</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6"/>
                <w:szCs w:val="16"/>
                <w:color w:val="0000FF"/>
                <w:w w:val="99"/>
              </w:rPr>
            </w:pPr>
            <w:hyperlink r:id="rId158">
              <w:r>
                <w:rPr>
                  <w:rFonts w:ascii="Times New Roman" w:cs="Times New Roman" w:eastAsia="Times New Roman" w:hAnsi="Times New Roman"/>
                  <w:sz w:val="16"/>
                  <w:szCs w:val="16"/>
                  <w:color w:val="0000FF"/>
                  <w:w w:val="99"/>
                </w:rPr>
                <w:t>International Sub-Plan</w:t>
              </w:r>
            </w:hyperlink>
          </w:p>
        </w:tc>
        <w:tc>
          <w:tcPr>
            <w:tcW w:w="3440" w:type="dxa"/>
            <w:vAlign w:val="bottom"/>
            <w:tcBorders>
              <w:top w:val="single" w:sz="8" w:color="0000FF"/>
            </w:tcBorders>
            <w:gridSpan w:val="7"/>
          </w:tcPr>
          <w:p>
            <w:pPr>
              <w:spacing w:after="0"/>
              <w:rPr>
                <w:sz w:val="12"/>
                <w:szCs w:val="12"/>
                <w:color w:val="auto"/>
              </w:rPr>
            </w:pPr>
          </w:p>
        </w:tc>
        <w:tc>
          <w:tcPr>
            <w:tcW w:w="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356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9"/>
              </w:rPr>
            </w:pPr>
            <w:hyperlink r:id="rId159">
              <w:r>
                <w:rPr>
                  <w:rFonts w:ascii="Times New Roman" w:cs="Times New Roman" w:eastAsia="Times New Roman" w:hAnsi="Times New Roman"/>
                  <w:sz w:val="16"/>
                  <w:szCs w:val="16"/>
                  <w:color w:val="0000FF"/>
                  <w:w w:val="99"/>
                </w:rPr>
                <w:t>Janesh Moorjani Offer Letter dated November 18, 2024</w:t>
              </w:r>
            </w:hyperlink>
          </w:p>
        </w:tc>
        <w:tc>
          <w:tcPr>
            <w:tcW w:w="2100" w:type="dxa"/>
            <w:vAlign w:val="bottom"/>
            <w:gridSpan w:val="15"/>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03/06/2025</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Agreement, dated April 23, 2025, between the Company, Starboard Value and</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04/24/2025</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98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Opportunity Master Fund Ltd and the entities and natural person listed on the</w:t>
              </w:r>
            </w:hyperlink>
          </w:p>
        </w:tc>
        <w:tc>
          <w:tcPr>
            <w:tcW w:w="680" w:type="dxa"/>
            <w:vAlign w:val="bottom"/>
            <w:gridSpan w:val="10"/>
          </w:tcPr>
          <w:p>
            <w:pPr>
              <w:spacing w:after="0" w:line="139"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signature</w:t>
              </w:r>
            </w:hyperlink>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60" w:type="dxa"/>
            <w:vAlign w:val="bottom"/>
            <w:tcBorders>
              <w:top w:val="single" w:sz="8" w:color="0000FF"/>
            </w:tcBorders>
            <w:gridSpan w:val="25"/>
          </w:tcPr>
          <w:p>
            <w:pPr>
              <w:spacing w:after="0" w:line="139"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pages attached thereto</w:t>
              </w:r>
              <w:r>
                <w:rPr>
                  <w:rFonts w:ascii="Times New Roman" w:cs="Times New Roman" w:eastAsia="Times New Roman" w:hAnsi="Times New Roman"/>
                  <w:sz w:val="16"/>
                  <w:szCs w:val="16"/>
                  <w:color w:val="000000"/>
                </w:rPr>
                <w:t>.</w:t>
              </w:r>
            </w:hyperlink>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Credit Agreement, dated May 8, 2025, by and among Autodesk, Inc., the lenders party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05/29/2025</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540" w:type="dxa"/>
            <w:vAlign w:val="bottom"/>
            <w:tcBorders>
              <w:top w:val="single" w:sz="8" w:color="0000FF"/>
            </w:tcBorders>
            <w:gridSpan w:val="24"/>
          </w:tcPr>
          <w:p>
            <w:pPr>
              <w:spacing w:after="0" w:line="139"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thereto, and Citibank, N.A., as administrative agent</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328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Autodesk Insider Trading Policy</w:t>
              </w:r>
            </w:hyperlink>
          </w:p>
        </w:tc>
        <w:tc>
          <w:tcPr>
            <w:tcW w:w="2380" w:type="dxa"/>
            <w:vAlign w:val="bottom"/>
            <w:gridSpan w:val="16"/>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06/10/2024</w:t>
            </w: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2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List of Subsidiaries</w:t>
            </w:r>
          </w:p>
        </w:tc>
        <w:tc>
          <w:tcPr>
            <w:tcW w:w="3580" w:type="dxa"/>
            <w:vAlign w:val="bottom"/>
            <w:gridSpan w:val="17"/>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56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 (Ernst &amp; Young LLP)</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260" w:type="dxa"/>
            <w:vAlign w:val="bottom"/>
            <w:tcBorders>
              <w:top w:val="single" w:sz="8" w:color="0000FF"/>
            </w:tcBorders>
            <w:gridSpan w:val="17"/>
          </w:tcPr>
          <w:p>
            <w:pPr>
              <w:spacing w:after="0" w:line="139" w:lineRule="exact"/>
              <w:rPr>
                <w:sz w:val="20"/>
                <w:szCs w:val="20"/>
                <w:color w:val="auto"/>
              </w:rPr>
            </w:pPr>
            <w:r>
              <w:rPr>
                <w:rFonts w:ascii="Times New Roman" w:cs="Times New Roman" w:eastAsia="Times New Roman" w:hAnsi="Times New Roman"/>
                <w:sz w:val="16"/>
                <w:szCs w:val="16"/>
                <w:color w:val="0000FF"/>
              </w:rPr>
              <w:t>(filed herewith)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56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Power of Attorney (contained in the signature page to this Annual Report on Form 10-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80" w:type="dxa"/>
            <w:vAlign w:val="bottom"/>
            <w:tcBorders>
              <w:top w:val="single" w:sz="8" w:color="0000FF"/>
              <w:bottom w:val="single" w:sz="8" w:color="0000FF"/>
            </w:tcBorders>
          </w:tcPr>
          <w:p>
            <w:pPr>
              <w:spacing w:after="0" w:line="139" w:lineRule="exact"/>
              <w:rPr>
                <w:sz w:val="20"/>
                <w:szCs w:val="20"/>
                <w:color w:val="auto"/>
              </w:rPr>
            </w:pPr>
            <w:r>
              <w:rPr>
                <w:rFonts w:ascii="Times New Roman" w:cs="Times New Roman" w:eastAsia="Times New Roman" w:hAnsi="Times New Roman"/>
                <w:sz w:val="16"/>
                <w:szCs w:val="16"/>
                <w:color w:val="0000FF"/>
                <w:w w:val="94"/>
              </w:rPr>
              <w:t>K)</w:t>
            </w:r>
          </w:p>
        </w:tc>
        <w:tc>
          <w:tcPr>
            <w:tcW w:w="53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56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6"/>
                <w:szCs w:val="16"/>
                <w:color w:val="0000FF"/>
                <w:w w:val="98"/>
              </w:rPr>
              <w:t>Exchange Act of 1934</w:t>
            </w:r>
          </w:p>
        </w:tc>
        <w:tc>
          <w:tcPr>
            <w:tcW w:w="3940" w:type="dxa"/>
            <w:vAlign w:val="bottom"/>
            <w:tcBorders>
              <w:top w:val="single" w:sz="8" w:color="0000FF"/>
            </w:tcBorders>
            <w:gridSpan w:val="14"/>
          </w:tcPr>
          <w:p>
            <w:pPr>
              <w:spacing w:after="0"/>
              <w:rPr>
                <w:sz w:val="12"/>
                <w:szCs w:val="12"/>
                <w:color w:val="auto"/>
              </w:rPr>
            </w:pPr>
          </w:p>
        </w:tc>
        <w:tc>
          <w:tcPr>
            <w:tcW w:w="18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56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6"/>
                <w:szCs w:val="16"/>
                <w:color w:val="0000FF"/>
                <w:w w:val="98"/>
              </w:rPr>
              <w:t>Exchange Act of 1934</w:t>
            </w:r>
          </w:p>
        </w:tc>
        <w:tc>
          <w:tcPr>
            <w:tcW w:w="3880" w:type="dxa"/>
            <w:vAlign w:val="bottom"/>
            <w:tcBorders>
              <w:top w:val="single" w:sz="8" w:color="0000FF"/>
            </w:tcBorders>
            <w:gridSpan w:val="13"/>
          </w:tcPr>
          <w:p>
            <w:pPr>
              <w:spacing w:after="0"/>
              <w:rPr>
                <w:sz w:val="12"/>
                <w:szCs w:val="12"/>
                <w:color w:val="auto"/>
              </w:rPr>
            </w:pPr>
          </w:p>
        </w:tc>
        <w:tc>
          <w:tcPr>
            <w:tcW w:w="24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56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5300" w:type="dxa"/>
            <w:vAlign w:val="bottom"/>
            <w:tcBorders>
              <w:top w:val="single" w:sz="8" w:color="0000FF"/>
            </w:tcBorders>
            <w:gridSpan w:val="18"/>
          </w:tcPr>
          <w:p>
            <w:pPr>
              <w:spacing w:after="0" w:line="139" w:lineRule="exact"/>
              <w:rPr>
                <w:sz w:val="20"/>
                <w:szCs w:val="20"/>
                <w:color w:val="auto"/>
              </w:rPr>
            </w:pPr>
            <w:r>
              <w:rPr>
                <w:rFonts w:ascii="Times New Roman" w:cs="Times New Roman" w:eastAsia="Times New Roman" w:hAnsi="Times New Roman"/>
                <w:sz w:val="16"/>
                <w:szCs w:val="16"/>
                <w:color w:val="0000FF"/>
                <w:w w:val="98"/>
              </w:rPr>
              <w:t>U.S.C. Section 1350, as adopted pursuant to Section 906 of the Sarbanes-Oxley Act</w:t>
            </w:r>
          </w:p>
        </w:tc>
        <w:tc>
          <w:tcPr>
            <w:tcW w:w="360" w:type="dxa"/>
            <w:vAlign w:val="bottom"/>
            <w:gridSpan w:val="8"/>
          </w:tcPr>
          <w:p>
            <w:pPr>
              <w:ind w:left="80"/>
              <w:spacing w:after="0" w:line="139" w:lineRule="exact"/>
              <w:rPr>
                <w:sz w:val="20"/>
                <w:szCs w:val="20"/>
                <w:color w:val="auto"/>
              </w:rPr>
            </w:pPr>
            <w:r>
              <w:rPr>
                <w:rFonts w:ascii="Times New Roman" w:cs="Times New Roman" w:eastAsia="Times New Roman" w:hAnsi="Times New Roman"/>
                <w:sz w:val="16"/>
                <w:szCs w:val="16"/>
                <w:color w:val="0000FF"/>
              </w:rPr>
              <w:t>of</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6"/>
                <w:szCs w:val="16"/>
                <w:color w:val="0000FF"/>
                <w:w w:val="93"/>
              </w:rPr>
              <w:t>2002</w:t>
            </w:r>
          </w:p>
        </w:tc>
        <w:tc>
          <w:tcPr>
            <w:tcW w:w="6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5660" w:type="dxa"/>
            <w:vAlign w:val="bottom"/>
            <w:gridSpan w:val="26"/>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Autodesk, Inc. Clawback Policy</w:t>
              </w:r>
            </w:hyperlink>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000-14338</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06/10/2024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101.INS ††  XBRL Instance Document</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101.SCH †† XBRL Taxonomy Extension Schema</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101.CAL †† XBRL Taxonomy Extension Calculation Linkbase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101.DEF †† XBRL Taxonomy Extension Definition Linkbase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101.LAB †† XBRL Taxonomy Extension Label Linkbase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101.PRE †† XBRL Taxonomy Extension Presentation Linkbase</w:t>
      </w:r>
    </w:p>
    <w:p>
      <w:pPr>
        <w:spacing w:after="0" w:line="28" w:lineRule="exact"/>
        <w:rPr>
          <w:sz w:val="20"/>
          <w:szCs w:val="20"/>
          <w:color w:val="auto"/>
        </w:rPr>
      </w:pPr>
    </w:p>
    <w:p>
      <w:pPr>
        <w:ind w:left="920" w:right="4860" w:hanging="582"/>
        <w:spacing w:after="0" w:line="239" w:lineRule="auto"/>
        <w:tabs>
          <w:tab w:leader="none" w:pos="9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Denotes a management contract or compensatory plan or arrangement.</w:t>
      </w:r>
    </w:p>
    <w:p>
      <w:pPr>
        <w:spacing w:after="0" w:line="9" w:lineRule="exact"/>
        <w:rPr>
          <w:sz w:val="20"/>
          <w:szCs w:val="20"/>
          <w:color w:val="auto"/>
        </w:rPr>
      </w:pPr>
    </w:p>
    <w:p>
      <w:pPr>
        <w:ind w:left="320" w:right="240" w:hanging="397"/>
        <w:spacing w:after="0" w:line="248" w:lineRule="auto"/>
        <w:tabs>
          <w:tab w:leader="none" w:pos="300" w:val="left"/>
        </w:tabs>
        <w:rPr>
          <w:sz w:val="20"/>
          <w:szCs w:val="20"/>
          <w:color w:val="auto"/>
        </w:rPr>
      </w:pPr>
      <w:r>
        <w:rPr>
          <w:rFonts w:ascii="Times New Roman" w:cs="Times New Roman" w:eastAsia="Times New Roman" w:hAnsi="Times New Roman"/>
          <w:sz w:val="16"/>
          <w:szCs w:val="16"/>
          <w:color w:val="auto"/>
        </w:rPr>
        <w:t>**</w:t>
        <w:tab/>
        <w:t>Exhibits omitted pursuant to Item 601(a)(5) of Regulation S-K. The Company will furnish a copy of any omitted exhibit to the Securities and Exchange Commission upon request. The Company may request confidential treatment pursuant to Rule 24b-2 of the Exchange Act for any exhibits so furnished.</w:t>
      </w:r>
    </w:p>
    <w:p>
      <w:pPr>
        <w:ind w:left="400" w:right="140" w:hanging="394"/>
        <w:spacing w:after="0" w:line="251" w:lineRule="auto"/>
        <w:tabs>
          <w:tab w:leader="none" w:pos="23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2" w:lineRule="exact"/>
        <w:rPr>
          <w:sz w:val="20"/>
          <w:szCs w:val="20"/>
          <w:color w:val="auto"/>
        </w:rPr>
      </w:pPr>
    </w:p>
    <w:p>
      <w:pPr>
        <w:ind w:left="360" w:hanging="354"/>
        <w:spacing w:after="0"/>
        <w:tabs>
          <w:tab w:leader="none" w:pos="3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4" w:lineRule="exact"/>
        <w:rPr>
          <w:sz w:val="20"/>
          <w:szCs w:val="20"/>
          <w:color w:val="auto"/>
        </w:rPr>
      </w:pPr>
    </w:p>
    <w:p>
      <w:pPr>
        <w:ind w:firstLine="438"/>
        <w:spacing w:after="0" w:line="27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AUTODESK, INC.</w:t>
      </w:r>
    </w:p>
    <w:p>
      <w:pPr>
        <w:spacing w:after="0" w:line="49" w:lineRule="exact"/>
        <w:rPr>
          <w:sz w:val="20"/>
          <w:szCs w:val="20"/>
          <w:color w:val="auto"/>
        </w:rPr>
      </w:pPr>
    </w:p>
    <w:p>
      <w:pPr>
        <w:ind w:left="5460"/>
        <w:spacing w:after="0"/>
        <w:tabs>
          <w:tab w:leader="none" w:pos="7600" w:val="left"/>
          <w:tab w:leader="none" w:pos="79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18415</wp:posOffset>
            </wp:positionV>
            <wp:extent cx="3217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2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8"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3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4" w:lineRule="exact"/>
        <w:rPr>
          <w:sz w:val="20"/>
          <w:szCs w:val="20"/>
          <w:color w:val="auto"/>
        </w:rPr>
      </w:pPr>
    </w:p>
    <w:p>
      <w:pPr>
        <w:ind w:right="20" w:firstLine="438"/>
        <w:spacing w:after="0" w:line="253"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Andrew Anagnost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Janesh Moorjani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9" w:lineRule="exact"/>
        <w:rPr>
          <w:sz w:val="20"/>
          <w:szCs w:val="20"/>
          <w:color w:val="auto"/>
        </w:rPr>
      </w:pPr>
    </w:p>
    <w:p>
      <w:pPr>
        <w:ind w:firstLine="438"/>
        <w:spacing w:after="0" w:line="274"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as of March 3, 2026.</w:t>
      </w:r>
    </w:p>
    <w:tbl>
      <w:tblPr>
        <w:tblLayout w:type="fixed"/>
        <w:tblInd w:w="40" w:type="dxa"/>
        <w:tblCellMar>
          <w:top w:w="0" w:type="dxa"/>
          <w:left w:w="0" w:type="dxa"/>
          <w:bottom w:w="0" w:type="dxa"/>
          <w:right w:w="0" w:type="dxa"/>
        </w:tblCellMar>
      </w:tblPr>
      <w:tr>
        <w:trPr>
          <w:trHeight w:val="158"/>
        </w:trPr>
        <w:tc>
          <w:tcPr>
            <w:tcW w:w="1940" w:type="dxa"/>
            <w:vAlign w:val="bottom"/>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80" w:type="dxa"/>
            <w:vAlign w:val="bottom"/>
            <w:gridSpan w:val="2"/>
          </w:tcPr>
          <w:p>
            <w:pPr>
              <w:jc w:val="center"/>
              <w:ind w:right="13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8"/>
        </w:trPr>
        <w:tc>
          <w:tcPr>
            <w:tcW w:w="1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84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w w:val="98"/>
              </w:rPr>
              <w:t>President and Chief Executive Officer, Director</w:t>
            </w:r>
          </w:p>
        </w:tc>
      </w:tr>
      <w:tr>
        <w:trPr>
          <w:trHeight w:val="210"/>
        </w:trPr>
        <w:tc>
          <w:tcPr>
            <w:tcW w:w="44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color w:val="auto"/>
              </w:rPr>
              <w:t>/s/  ANDREW ANAGNOST</w:t>
            </w:r>
          </w:p>
        </w:tc>
        <w:tc>
          <w:tcPr>
            <w:tcW w:w="3840" w:type="dxa"/>
            <w:vAlign w:val="bottom"/>
            <w:gridSpan w:val="3"/>
          </w:tcPr>
          <w:p>
            <w:pPr>
              <w:jc w:val="center"/>
              <w:ind w:left="900"/>
              <w:spacing w:after="0"/>
              <w:rPr>
                <w:sz w:val="20"/>
                <w:szCs w:val="20"/>
                <w:color w:val="auto"/>
              </w:rPr>
            </w:pPr>
            <w:r>
              <w:rPr>
                <w:rFonts w:ascii="Times New Roman" w:cs="Times New Roman" w:eastAsia="Times New Roman" w:hAnsi="Times New Roman"/>
                <w:sz w:val="16"/>
                <w:szCs w:val="16"/>
                <w:color w:val="auto"/>
                <w:w w:val="99"/>
              </w:rPr>
              <w:t>(Principal Executive Officer)</w:t>
            </w:r>
          </w:p>
        </w:tc>
      </w:tr>
      <w:tr>
        <w:trPr>
          <w:trHeight w:val="243"/>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Andrew Anagnost</w:t>
            </w:r>
          </w:p>
        </w:tc>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150" w:lineRule="exact"/>
        <w:rPr>
          <w:sz w:val="20"/>
          <w:szCs w:val="20"/>
          <w:color w:val="auto"/>
        </w:rPr>
      </w:pPr>
    </w:p>
    <w:p>
      <w:pPr>
        <w:sectPr>
          <w:pgSz w:w="11900" w:h="16838" w:orient="portrait"/>
          <w:cols w:equalWidth="0" w:num="1">
            <w:col w:w="11060"/>
          </w:cols>
          <w:pgMar w:left="320" w:top="121" w:right="519" w:bottom="1440" w:gutter="0" w:footer="0" w:header="0"/>
        </w:sectPr>
      </w:pP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/s/</w:t>
            </w:r>
          </w:p>
        </w:tc>
        <w:tc>
          <w:tcPr>
            <w:tcW w:w="2820" w:type="dxa"/>
            <w:vAlign w:val="bottom"/>
            <w:tcBorders>
              <w:bottom w:val="single" w:sz="8" w:color="auto"/>
            </w:tcBorders>
          </w:tcPr>
          <w:p>
            <w:pPr>
              <w:jc w:val="center"/>
              <w:ind w:right="1280"/>
              <w:spacing w:after="0"/>
              <w:rPr>
                <w:sz w:val="20"/>
                <w:szCs w:val="20"/>
                <w:color w:val="auto"/>
              </w:rPr>
            </w:pPr>
            <w:r>
              <w:rPr>
                <w:rFonts w:ascii="Times New Roman" w:cs="Times New Roman" w:eastAsia="Times New Roman" w:hAnsi="Times New Roman"/>
                <w:sz w:val="16"/>
                <w:szCs w:val="16"/>
                <w:color w:val="auto"/>
                <w:w w:val="99"/>
              </w:rPr>
              <w:t>JANESH MOORJANI</w:t>
            </w:r>
          </w:p>
        </w:tc>
      </w:tr>
      <w:tr>
        <w:trPr>
          <w:trHeight w:val="362"/>
        </w:trPr>
        <w:tc>
          <w:tcPr>
            <w:tcW w:w="1660" w:type="dxa"/>
            <w:vAlign w:val="bottom"/>
          </w:tcPr>
          <w:p>
            <w:pPr>
              <w:spacing w:after="0"/>
              <w:rPr>
                <w:sz w:val="24"/>
                <w:szCs w:val="24"/>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7"/>
              </w:rPr>
              <w:t>Janesh Moorjani</w:t>
            </w:r>
          </w:p>
        </w:tc>
      </w:tr>
      <w:tr>
        <w:trPr>
          <w:trHeight w:val="520"/>
        </w:trPr>
        <w:tc>
          <w:tcPr>
            <w:tcW w:w="1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/s/</w:t>
            </w:r>
          </w:p>
        </w:tc>
        <w:tc>
          <w:tcPr>
            <w:tcW w:w="2820" w:type="dxa"/>
            <w:vAlign w:val="bottom"/>
            <w:tcBorders>
              <w:bottom w:val="single" w:sz="8" w:color="auto"/>
            </w:tcBorders>
          </w:tcPr>
          <w:p>
            <w:pPr>
              <w:jc w:val="center"/>
              <w:ind w:right="1560"/>
              <w:spacing w:after="0"/>
              <w:rPr>
                <w:sz w:val="20"/>
                <w:szCs w:val="20"/>
                <w:color w:val="auto"/>
              </w:rPr>
            </w:pPr>
            <w:r>
              <w:rPr>
                <w:rFonts w:ascii="Times New Roman" w:cs="Times New Roman" w:eastAsia="Times New Roman" w:hAnsi="Times New Roman"/>
                <w:sz w:val="16"/>
                <w:szCs w:val="16"/>
                <w:color w:val="auto"/>
                <w:w w:val="97"/>
              </w:rPr>
              <w:t>STACY J. SMITH</w:t>
            </w:r>
          </w:p>
        </w:tc>
      </w:tr>
      <w:tr>
        <w:trPr>
          <w:trHeight w:val="243"/>
        </w:trPr>
        <w:tc>
          <w:tcPr>
            <w:tcW w:w="1660" w:type="dxa"/>
            <w:vAlign w:val="bottom"/>
          </w:tcPr>
          <w:p>
            <w:pPr>
              <w:spacing w:after="0"/>
              <w:rPr>
                <w:sz w:val="21"/>
                <w:szCs w:val="21"/>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9"/>
              </w:rPr>
              <w:t>Stacy J. Smith</w:t>
            </w:r>
          </w:p>
        </w:tc>
      </w:tr>
      <w:tr>
        <w:trPr>
          <w:trHeight w:val="361"/>
        </w:trPr>
        <w:tc>
          <w:tcPr>
            <w:tcW w:w="448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6"/>
                <w:szCs w:val="16"/>
                <w:color w:val="auto"/>
              </w:rPr>
              <w:t>/s/  KAREN BLASING</w:t>
            </w:r>
          </w:p>
        </w:tc>
      </w:tr>
      <w:tr>
        <w:trPr>
          <w:trHeight w:val="243"/>
        </w:trPr>
        <w:tc>
          <w:tcPr>
            <w:tcW w:w="1660" w:type="dxa"/>
            <w:vAlign w:val="bottom"/>
          </w:tcPr>
          <w:p>
            <w:pPr>
              <w:spacing w:after="0"/>
              <w:rPr>
                <w:sz w:val="21"/>
                <w:szCs w:val="21"/>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9"/>
              </w:rPr>
              <w:t>Karen Blasing</w:t>
            </w:r>
          </w:p>
        </w:tc>
      </w:tr>
      <w:tr>
        <w:trPr>
          <w:trHeight w:val="361"/>
        </w:trPr>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color w:val="auto"/>
              </w:rPr>
              <w:t>/s/</w:t>
            </w:r>
          </w:p>
        </w:tc>
        <w:tc>
          <w:tcPr>
            <w:tcW w:w="2820" w:type="dxa"/>
            <w:vAlign w:val="bottom"/>
            <w:tcBorders>
              <w:bottom w:val="single" w:sz="8" w:color="auto"/>
            </w:tcBorders>
          </w:tcPr>
          <w:p>
            <w:pPr>
              <w:jc w:val="center"/>
              <w:ind w:right="1260"/>
              <w:spacing w:after="0"/>
              <w:rPr>
                <w:sz w:val="20"/>
                <w:szCs w:val="20"/>
                <w:color w:val="auto"/>
              </w:rPr>
            </w:pPr>
            <w:r>
              <w:rPr>
                <w:rFonts w:ascii="Times New Roman" w:cs="Times New Roman" w:eastAsia="Times New Roman" w:hAnsi="Times New Roman"/>
                <w:sz w:val="16"/>
                <w:szCs w:val="16"/>
                <w:color w:val="auto"/>
                <w:w w:val="98"/>
              </w:rPr>
              <w:t>JOHN T. CAHILL</w:t>
            </w:r>
          </w:p>
        </w:tc>
      </w:tr>
      <w:tr>
        <w:trPr>
          <w:trHeight w:val="230"/>
        </w:trPr>
        <w:tc>
          <w:tcPr>
            <w:tcW w:w="1660" w:type="dxa"/>
            <w:vAlign w:val="bottom"/>
          </w:tcPr>
          <w:p>
            <w:pPr>
              <w:spacing w:after="0"/>
              <w:rPr>
                <w:sz w:val="19"/>
                <w:szCs w:val="19"/>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6"/>
              </w:rPr>
              <w:t>John T. Cahill</w:t>
            </w:r>
          </w:p>
        </w:tc>
      </w:tr>
      <w:tr>
        <w:trPr>
          <w:trHeight w:val="361"/>
        </w:trPr>
        <w:tc>
          <w:tcPr>
            <w:tcW w:w="4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  JEFF EPSTEIN</w:t>
            </w:r>
          </w:p>
        </w:tc>
      </w:tr>
      <w:tr>
        <w:trPr>
          <w:trHeight w:val="243"/>
        </w:trPr>
        <w:tc>
          <w:tcPr>
            <w:tcW w:w="1660" w:type="dxa"/>
            <w:vAlign w:val="bottom"/>
          </w:tcPr>
          <w:p>
            <w:pPr>
              <w:spacing w:after="0"/>
              <w:rPr>
                <w:sz w:val="21"/>
                <w:szCs w:val="21"/>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9"/>
              </w:rPr>
              <w:t>Jeff Epstein</w:t>
            </w:r>
          </w:p>
        </w:tc>
      </w:tr>
      <w:tr>
        <w:trPr>
          <w:trHeight w:val="361"/>
        </w:trPr>
        <w:tc>
          <w:tcPr>
            <w:tcW w:w="4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/s/ AYANNA HOWARD</w:t>
            </w:r>
          </w:p>
        </w:tc>
      </w:tr>
      <w:tr>
        <w:trPr>
          <w:trHeight w:val="243"/>
        </w:trPr>
        <w:tc>
          <w:tcPr>
            <w:tcW w:w="1660" w:type="dxa"/>
            <w:vAlign w:val="bottom"/>
          </w:tcPr>
          <w:p>
            <w:pPr>
              <w:spacing w:after="0"/>
              <w:rPr>
                <w:sz w:val="21"/>
                <w:szCs w:val="21"/>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w w:val="98"/>
              </w:rPr>
              <w:t>Ayanna Howard</w:t>
            </w:r>
          </w:p>
        </w:tc>
      </w:tr>
      <w:tr>
        <w:trPr>
          <w:trHeight w:val="308"/>
        </w:trPr>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color w:val="auto"/>
              </w:rPr>
              <w:t>/s/</w:t>
            </w:r>
          </w:p>
        </w:tc>
        <w:tc>
          <w:tcPr>
            <w:tcW w:w="2820" w:type="dxa"/>
            <w:vAlign w:val="bottom"/>
            <w:tcBorders>
              <w:bottom w:val="single" w:sz="8" w:color="auto"/>
            </w:tcBorders>
          </w:tcPr>
          <w:p>
            <w:pPr>
              <w:jc w:val="center"/>
              <w:ind w:right="1280"/>
              <w:spacing w:after="0"/>
              <w:rPr>
                <w:sz w:val="20"/>
                <w:szCs w:val="20"/>
                <w:color w:val="auto"/>
              </w:rPr>
            </w:pPr>
            <w:r>
              <w:rPr>
                <w:rFonts w:ascii="Times New Roman" w:cs="Times New Roman" w:eastAsia="Times New Roman" w:hAnsi="Times New Roman"/>
                <w:sz w:val="16"/>
                <w:szCs w:val="16"/>
                <w:color w:val="auto"/>
                <w:w w:val="98"/>
              </w:rPr>
              <w:t>BLAKE J. IRVING</w:t>
            </w:r>
          </w:p>
        </w:tc>
      </w:tr>
      <w:tr>
        <w:trPr>
          <w:trHeight w:val="283"/>
        </w:trPr>
        <w:tc>
          <w:tcPr>
            <w:tcW w:w="1660" w:type="dxa"/>
            <w:vAlign w:val="bottom"/>
          </w:tcPr>
          <w:p>
            <w:pPr>
              <w:spacing w:after="0"/>
              <w:rPr>
                <w:sz w:val="24"/>
                <w:szCs w:val="24"/>
                <w:color w:val="auto"/>
              </w:rPr>
            </w:pPr>
          </w:p>
        </w:tc>
        <w:tc>
          <w:tcPr>
            <w:tcW w:w="2820" w:type="dxa"/>
            <w:vAlign w:val="bottom"/>
          </w:tcPr>
          <w:p>
            <w:pPr>
              <w:jc w:val="center"/>
              <w:ind w:right="1560"/>
              <w:spacing w:after="0"/>
              <w:rPr>
                <w:sz w:val="20"/>
                <w:szCs w:val="20"/>
                <w:color w:val="auto"/>
              </w:rPr>
            </w:pPr>
            <w:r>
              <w:rPr>
                <w:rFonts w:ascii="Times New Roman" w:cs="Times New Roman" w:eastAsia="Times New Roman" w:hAnsi="Times New Roman"/>
                <w:sz w:val="16"/>
                <w:szCs w:val="16"/>
                <w:color w:val="auto"/>
                <w:w w:val="99"/>
              </w:rPr>
              <w:t>Blake J. Irving</w:t>
            </w:r>
          </w:p>
        </w:tc>
      </w:tr>
      <w:tr>
        <w:trPr>
          <w:trHeight w:val="361"/>
        </w:trPr>
        <w:tc>
          <w:tcPr>
            <w:tcW w:w="16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/s/</w:t>
            </w:r>
          </w:p>
        </w:tc>
        <w:tc>
          <w:tcPr>
            <w:tcW w:w="2820" w:type="dxa"/>
            <w:vAlign w:val="bottom"/>
            <w:tcBorders>
              <w:bottom w:val="single" w:sz="8" w:color="auto"/>
            </w:tcBorders>
          </w:tcPr>
          <w:p>
            <w:pPr>
              <w:jc w:val="center"/>
              <w:ind w:right="1260"/>
              <w:spacing w:after="0"/>
              <w:rPr>
                <w:sz w:val="20"/>
                <w:szCs w:val="20"/>
                <w:color w:val="auto"/>
              </w:rPr>
            </w:pPr>
            <w:r>
              <w:rPr>
                <w:rFonts w:ascii="Times New Roman" w:cs="Times New Roman" w:eastAsia="Times New Roman" w:hAnsi="Times New Roman"/>
                <w:sz w:val="16"/>
                <w:szCs w:val="16"/>
                <w:color w:val="auto"/>
                <w:w w:val="98"/>
              </w:rPr>
              <w:t>RAM R. KRISHNAN</w:t>
            </w:r>
          </w:p>
        </w:tc>
      </w:tr>
      <w:tr>
        <w:trPr>
          <w:trHeight w:val="243"/>
        </w:trPr>
        <w:tc>
          <w:tcPr>
            <w:tcW w:w="1660" w:type="dxa"/>
            <w:vAlign w:val="bottom"/>
          </w:tcPr>
          <w:p>
            <w:pPr>
              <w:spacing w:after="0"/>
              <w:rPr>
                <w:sz w:val="21"/>
                <w:szCs w:val="21"/>
                <w:color w:val="auto"/>
              </w:rPr>
            </w:pPr>
          </w:p>
        </w:tc>
        <w:tc>
          <w:tcPr>
            <w:tcW w:w="2820" w:type="dxa"/>
            <w:vAlign w:val="bottom"/>
          </w:tcPr>
          <w:p>
            <w:pPr>
              <w:jc w:val="center"/>
              <w:ind w:right="1580"/>
              <w:spacing w:after="0"/>
              <w:rPr>
                <w:sz w:val="20"/>
                <w:szCs w:val="20"/>
                <w:color w:val="auto"/>
              </w:rPr>
            </w:pPr>
            <w:r>
              <w:rPr>
                <w:rFonts w:ascii="Times New Roman" w:cs="Times New Roman" w:eastAsia="Times New Roman" w:hAnsi="Times New Roman"/>
                <w:sz w:val="16"/>
                <w:szCs w:val="16"/>
                <w:color w:val="auto"/>
              </w:rPr>
              <w:t>Ram R. Krishnan</w:t>
            </w:r>
          </w:p>
        </w:tc>
      </w:tr>
    </w:tbl>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/s/</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STEPHEN D. MILLIGAN</w:t>
            </w:r>
          </w:p>
        </w:tc>
      </w:tr>
      <w:tr>
        <w:trPr>
          <w:trHeight w:val="243"/>
        </w:trPr>
        <w:tc>
          <w:tcPr>
            <w:tcW w:w="1400" w:type="dxa"/>
            <w:vAlign w:val="bottom"/>
          </w:tcPr>
          <w:p>
            <w:pPr>
              <w:spacing w:after="0"/>
              <w:rPr>
                <w:sz w:val="21"/>
                <w:szCs w:val="21"/>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Stephen D. Milligan</w:t>
            </w:r>
          </w:p>
        </w:tc>
      </w:tr>
      <w:tr>
        <w:trPr>
          <w:trHeight w:val="361"/>
        </w:trPr>
        <w:tc>
          <w:tcPr>
            <w:tcW w:w="14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  RAMI RAHIM</w:t>
            </w:r>
          </w:p>
        </w:tc>
      </w:tr>
      <w:tr>
        <w:trPr>
          <w:trHeight w:val="243"/>
        </w:trPr>
        <w:tc>
          <w:tcPr>
            <w:tcW w:w="1400" w:type="dxa"/>
            <w:vAlign w:val="bottom"/>
          </w:tcPr>
          <w:p>
            <w:pPr>
              <w:spacing w:after="0"/>
              <w:rPr>
                <w:sz w:val="21"/>
                <w:szCs w:val="21"/>
                <w:color w:val="auto"/>
              </w:rPr>
            </w:pPr>
          </w:p>
        </w:tc>
        <w:tc>
          <w:tcPr>
            <w:tcW w:w="3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Rami Rahim</w:t>
            </w:r>
          </w:p>
        </w:tc>
      </w:tr>
      <w:tr>
        <w:trPr>
          <w:trHeight w:val="361"/>
        </w:trPr>
        <w:tc>
          <w:tcPr>
            <w:tcW w:w="14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w w:val="79"/>
              </w:rPr>
              <w:t>/s/</w:t>
            </w:r>
          </w:p>
        </w:tc>
        <w:tc>
          <w:tcPr>
            <w:tcW w:w="3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A. CHRISTINE SIMONS</w:t>
            </w:r>
          </w:p>
        </w:tc>
      </w:tr>
      <w:tr>
        <w:trPr>
          <w:trHeight w:val="243"/>
        </w:trPr>
        <w:tc>
          <w:tcPr>
            <w:tcW w:w="1400" w:type="dxa"/>
            <w:vAlign w:val="bottom"/>
          </w:tcPr>
          <w:p>
            <w:pPr>
              <w:spacing w:after="0"/>
              <w:rPr>
                <w:sz w:val="21"/>
                <w:szCs w:val="21"/>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 Christine Simons</w:t>
            </w:r>
          </w:p>
        </w:tc>
      </w:tr>
    </w:tbl>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line="5"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308"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6"/>
          <w:szCs w:val="16"/>
          <w:color w:val="auto"/>
        </w:rPr>
        <w:t>Director</w:t>
      </w:r>
    </w:p>
    <w:p>
      <w:pPr>
        <w:jc w:val="center"/>
        <w:ind w:right="2360"/>
        <w:spacing w:after="0"/>
        <w:rPr>
          <w:sz w:val="20"/>
          <w:szCs w:val="20"/>
          <w:color w:val="auto"/>
        </w:rPr>
      </w:pPr>
      <w:r>
        <w:rPr>
          <w:rFonts w:ascii="Times New Roman" w:cs="Times New Roman" w:eastAsia="Times New Roman" w:hAnsi="Times New Roman"/>
          <w:sz w:val="16"/>
          <w:szCs w:val="16"/>
          <w:color w:val="auto"/>
        </w:rPr>
        <w:t>(Non-executive Chairman of the Board)</w:t>
      </w:r>
    </w:p>
    <w:p>
      <w:pPr>
        <w:spacing w:after="0" w:line="3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Director</w:t>
      </w:r>
    </w:p>
    <w:p>
      <w:pPr>
        <w:spacing w:after="0" w:line="515" w:lineRule="exact"/>
        <w:rPr>
          <w:sz w:val="20"/>
          <w:szCs w:val="20"/>
          <w:color w:val="auto"/>
        </w:rPr>
      </w:pPr>
    </w:p>
    <w:p>
      <w:pPr>
        <w:sectPr>
          <w:pgSz w:w="11900" w:h="16838" w:orient="portrait"/>
          <w:cols w:equalWidth="0" w:num="2">
            <w:col w:w="4520" w:space="620"/>
            <w:col w:w="5920"/>
          </w:cols>
          <w:pgMar w:left="320" w:top="12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060"/>
          </w:cols>
          <w:pgMar w:left="320" w:top="121" w:right="519" w:bottom="1440" w:gutter="0" w:footer="0" w:header="0"/>
          <w:type w:val="continuous"/>
        </w:sectPr>
      </w:pPr>
    </w:p>
    <w:bookmarkStart w:id="114" w:name="page115"/>
    <w:bookmarkEnd w:id="114"/>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AUTODESK,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AMENDED AND RESTATED SEVERANCE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 SUMMARY PLAN DESCRIPTION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(Effective as of September 24, 2025)</w:t>
      </w:r>
    </w:p>
    <w:p>
      <w:pPr>
        <w:spacing w:after="0" w:line="192" w:lineRule="exact"/>
        <w:rPr>
          <w:sz w:val="20"/>
          <w:szCs w:val="20"/>
          <w:color w:val="auto"/>
        </w:rPr>
      </w:pPr>
    </w:p>
    <w:p>
      <w:pPr>
        <w:jc w:val="both"/>
        <w:ind w:firstLine="643"/>
        <w:spacing w:after="0" w:line="217" w:lineRule="auto"/>
        <w:tabs>
          <w:tab w:leader="none" w:pos="127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Introduction</w:t>
      </w:r>
      <w:r>
        <w:rPr>
          <w:rFonts w:ascii="Times New Roman" w:cs="Times New Roman" w:eastAsia="Times New Roman" w:hAnsi="Times New Roman"/>
          <w:sz w:val="21"/>
          <w:szCs w:val="21"/>
          <w:color w:val="auto"/>
        </w:rPr>
        <w:t>. The purpose of the Autodesk, Inc. Second Amended and Restated Severance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is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 assurances of specified benefits to employees of the Company whose employment is subject to being (i) involuntarily terminated other than for death, Disability, or Cause or voluntarily terminated for Good Reason under the circumstances described in the Plan, or (ii) voluntarily terminated for Qualified Retirement or Grandfathered Retirement. This Plan is an “employee benefit plan,” as defined in Section 3(3) of ERISA and qualifies as a “top-hat” plan for a select group of management or highly compensated employees within the meaning of Sections 201(2), 301(a)(3) and 401(a)(1) of ERISA. This document constitutes both the written instrument under which the Plan is maintained and the required summary plan description for the Plan. As a “severance pay arrangement” within the meaning of Section 3(2)(B)(i) of ERISA, the Plan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w:t>
      </w:r>
    </w:p>
    <w:p>
      <w:pPr>
        <w:spacing w:after="0" w:line="145" w:lineRule="exact"/>
        <w:rPr>
          <w:rFonts w:ascii="Times New Roman" w:cs="Times New Roman" w:eastAsia="Times New Roman" w:hAnsi="Times New Roman"/>
          <w:sz w:val="21"/>
          <w:szCs w:val="21"/>
          <w:color w:val="auto"/>
        </w:rPr>
      </w:pPr>
    </w:p>
    <w:p>
      <w:pPr>
        <w:ind w:firstLine="643"/>
        <w:spacing w:after="0" w:line="250" w:lineRule="auto"/>
        <w:tabs>
          <w:tab w:leader="none" w:pos="127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Important Terms</w:t>
      </w:r>
      <w:r>
        <w:rPr>
          <w:rFonts w:ascii="Times New Roman" w:cs="Times New Roman" w:eastAsia="Times New Roman" w:hAnsi="Times New Roman"/>
          <w:sz w:val="21"/>
          <w:szCs w:val="21"/>
          <w:color w:val="auto"/>
        </w:rPr>
        <w:t>. The following words and phrases, when the initial letter of the term is capitalized, will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meanings set forth in this Section 2, unless a different meaning is plainly required by the context:</w:t>
      </w:r>
    </w:p>
    <w:p>
      <w:pPr>
        <w:spacing w:after="0" w:line="133" w:lineRule="exact"/>
        <w:rPr>
          <w:rFonts w:ascii="Times New Roman" w:cs="Times New Roman" w:eastAsia="Times New Roman" w:hAnsi="Times New Roman"/>
          <w:sz w:val="21"/>
          <w:szCs w:val="21"/>
          <w:color w:val="auto"/>
        </w:rPr>
      </w:pPr>
    </w:p>
    <w:p>
      <w:pPr>
        <w:jc w:val="both"/>
        <w:ind w:firstLine="1280"/>
        <w:spacing w:after="0" w:line="233" w:lineRule="auto"/>
        <w:tabs>
          <w:tab w:leader="none" w:pos="191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means the Company, acting through the Compensation Committee or another duly constituted committee of members of the Board, or any person to whom the Administrator has delegated any authority or responsibility with respect to the Plan pursuant to Section 13, but only to the extent of such delegation.</w:t>
      </w:r>
    </w:p>
    <w:p>
      <w:pPr>
        <w:spacing w:after="0" w:line="145" w:lineRule="exact"/>
        <w:rPr>
          <w:rFonts w:ascii="Times New Roman" w:cs="Times New Roman" w:eastAsia="Times New Roman" w:hAnsi="Times New Roman"/>
          <w:sz w:val="21"/>
          <w:szCs w:val="21"/>
          <w:color w:val="auto"/>
        </w:rPr>
      </w:pPr>
    </w:p>
    <w:p>
      <w:pPr>
        <w:jc w:val="both"/>
        <w:ind w:firstLine="1280"/>
        <w:spacing w:after="0" w:line="233" w:lineRule="auto"/>
        <w:tabs>
          <w:tab w:leader="none" w:pos="191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Pay</w:t>
      </w:r>
      <w:r>
        <w:rPr>
          <w:rFonts w:ascii="Times New Roman" w:cs="Times New Roman" w:eastAsia="Times New Roman" w:hAnsi="Times New Roman"/>
          <w:sz w:val="21"/>
          <w:szCs w:val="21"/>
          <w:color w:val="auto"/>
        </w:rPr>
        <w:t>” means an Eligible Employee’s annualized base salary in effect immediately prior to the termination of employment (or if the termination is due to Good Reason based on a material reduction in base pay under Section 2.13, then the Eligible Employee’s annualized base salary in effect immediately prior to such reduction).</w:t>
      </w:r>
    </w:p>
    <w:p>
      <w:pPr>
        <w:spacing w:after="0" w:line="145"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183" w:lineRule="exact"/>
        <w:rPr>
          <w:rFonts w:ascii="Times New Roman" w:cs="Times New Roman" w:eastAsia="Times New Roman" w:hAnsi="Times New Roman"/>
          <w:sz w:val="21"/>
          <w:szCs w:val="21"/>
          <w:color w:val="auto"/>
        </w:rPr>
      </w:pPr>
    </w:p>
    <w:p>
      <w:pPr>
        <w:jc w:val="both"/>
        <w:ind w:firstLine="1280"/>
        <w:spacing w:after="0" w:line="228" w:lineRule="auto"/>
        <w:tabs>
          <w:tab w:leader="none" w:pos="191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the disinterested members of the Board, on a reasonable and good faith basis, determine based upon a three-quarters majority (after reasonable notice is provided to Eligible Employee and Eligible Employee is given an opportunity, together with counsel, to be heard before the Board) that any of the following events or contingencies exists or has occurred:</w:t>
      </w:r>
    </w:p>
    <w:p>
      <w:pPr>
        <w:spacing w:after="0" w:line="147" w:lineRule="exact"/>
        <w:rPr>
          <w:rFonts w:ascii="Times New Roman" w:cs="Times New Roman" w:eastAsia="Times New Roman" w:hAnsi="Times New Roman"/>
          <w:sz w:val="21"/>
          <w:szCs w:val="21"/>
          <w:color w:val="auto"/>
        </w:rPr>
      </w:pPr>
    </w:p>
    <w:p>
      <w:pPr>
        <w:jc w:val="both"/>
        <w:ind w:firstLine="1916"/>
        <w:spacing w:after="0" w:line="232" w:lineRule="auto"/>
        <w:tabs>
          <w:tab w:leader="none" w:pos="2535"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Eligible Employee’s willful and material violation of the Company’s Code of Business Conduct (including by way of example, material acts of embezzlement, fraud, dishonesty, sexual harassment and unauthorized use of the Company’s confidential information, intellectual property or assets);</w:t>
      </w:r>
    </w:p>
    <w:p>
      <w:pPr>
        <w:spacing w:after="0" w:line="148"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conviction of Eligible Employee for having committed a felony;</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5" w:lineRule="exact"/>
        <w:rPr>
          <w:sz w:val="20"/>
          <w:szCs w:val="20"/>
          <w:color w:val="auto"/>
        </w:rPr>
      </w:pPr>
    </w:p>
    <w:p>
      <w:pPr>
        <w:ind w:firstLine="1916"/>
        <w:spacing w:after="0" w:line="246" w:lineRule="auto"/>
        <w:tabs>
          <w:tab w:leader="none" w:pos="25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breach by Eligible Employee of Eligible Employee’s fiduciary duties and responsibilities to the Company that has a material adverse effect on the Company’s business, operations, prospects or reputation;</w:t>
      </w:r>
    </w:p>
    <w:p>
      <w:pPr>
        <w:spacing w:after="0" w:line="136"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Eligible Employee’s gross negligence or bad faith that has a material adverse effect on the Company;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w:t>
      </w:r>
    </w:p>
    <w:p>
      <w:pPr>
        <w:spacing w:after="0" w:line="159" w:lineRule="exact"/>
        <w:rPr>
          <w:rFonts w:ascii="Times New Roman" w:cs="Times New Roman" w:eastAsia="Times New Roman" w:hAnsi="Times New Roman"/>
          <w:sz w:val="21"/>
          <w:szCs w:val="21"/>
          <w:color w:val="auto"/>
        </w:rPr>
      </w:pPr>
    </w:p>
    <w:p>
      <w:pPr>
        <w:jc w:val="both"/>
        <w:ind w:firstLine="1916"/>
        <w:spacing w:after="0" w:line="221" w:lineRule="auto"/>
        <w:tabs>
          <w:tab w:leader="none" w:pos="254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willful and repeated failure (other than due to death or disability) of Eligible Employee to perform reasonable duties and responsibilities as an Employee to the reasonable satisfaction of a duly authorized representative of the Company after the Eligible Employee has received a written demand for performance from the Company which specifically sets forth the factual basis for the Company’s belief that the Eligible Employee has failed to perform satisfactorily; provided that if any of the foregoing events is capable of being cured, the Company will provide written notice to Eligible Employee describing the nature of such event and Eligible Employee will thereafter have thirty (30) days to cure such event.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For purposes of this Plan, no act or failure to act shall be deemed to be “willful” unless done, or failed to be done, intentionally and in bad faith. The foregoing shall not be deemed an exclusive list of the acts or omissions that the Company may consider as grounds for the termination of Eligible Employee’s employment, but it is an exclusive list of the acts or omissions that shall be considered “Cause” for the termination of Eligible Employee’s employment with the Company.</w:t>
      </w:r>
    </w:p>
    <w:p>
      <w:pPr>
        <w:spacing w:after="0" w:line="133" w:lineRule="exact"/>
        <w:rPr>
          <w:sz w:val="20"/>
          <w:szCs w:val="20"/>
          <w:color w:val="auto"/>
        </w:rPr>
      </w:pPr>
    </w:p>
    <w:p>
      <w:pPr>
        <w:ind w:left="1920" w:hanging="640"/>
        <w:spacing w:after="0"/>
        <w:tabs>
          <w:tab w:leader="none" w:pos="19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183" w:lineRule="exact"/>
        <w:rPr>
          <w:rFonts w:ascii="Times New Roman" w:cs="Times New Roman" w:eastAsia="Times New Roman" w:hAnsi="Times New Roman"/>
          <w:sz w:val="21"/>
          <w:szCs w:val="21"/>
          <w:color w:val="auto"/>
        </w:rPr>
      </w:pPr>
    </w:p>
    <w:p>
      <w:pPr>
        <w:ind w:firstLine="1280"/>
        <w:spacing w:after="0" w:line="250" w:lineRule="auto"/>
        <w:tabs>
          <w:tab w:leader="none" w:pos="191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Autodesk, Inc., a Delaware corporation, and any successor that assumes the obligations of the Company under the Plan, by way of merger, acquisition, consolidation or other transaction.</w:t>
      </w:r>
    </w:p>
    <w:p>
      <w:pPr>
        <w:spacing w:after="0" w:line="13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Compensation Committee</w:t>
      </w:r>
      <w:r>
        <w:rPr>
          <w:rFonts w:ascii="Times New Roman" w:cs="Times New Roman" w:eastAsia="Times New Roman" w:hAnsi="Times New Roman"/>
          <w:sz w:val="21"/>
          <w:szCs w:val="21"/>
          <w:color w:val="auto"/>
        </w:rPr>
        <w:t>” means the Compensation and Human Resources Committee of the Board.</w:t>
      </w:r>
    </w:p>
    <w:p>
      <w:pPr>
        <w:spacing w:after="0" w:line="183" w:lineRule="exact"/>
        <w:rPr>
          <w:rFonts w:ascii="Times New Roman" w:cs="Times New Roman" w:eastAsia="Times New Roman" w:hAnsi="Times New Roman"/>
          <w:sz w:val="21"/>
          <w:szCs w:val="21"/>
          <w:color w:val="auto"/>
        </w:rPr>
      </w:pPr>
    </w:p>
    <w:p>
      <w:pPr>
        <w:jc w:val="both"/>
        <w:ind w:firstLine="1280"/>
        <w:spacing w:after="0" w:line="215" w:lineRule="auto"/>
        <w:tabs>
          <w:tab w:leader="none" w:pos="191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information (including combinations of individual items of information) that the Company has or will develop, acquire, create, compile, discover, or own, that has value in or to Company’s business that is not generally known, and that the Company wishes to maintain as confidential. “Confidential Information” includes both information disclosed by the Company to Eligible Employee and information developed or learned by Eligible Employee during the course of employment with the Company. “Confidential Information” also includes all information of which the unauthorized disclosure could be detrimental to the interests of the Company, whether or not the information is identified as Confidential Information. “Confidential Information” includes non-public information that relates to the actual or anticipated business or products, research, or development of the Company, or to the Company’s technical data, trade secrets, or know-how, including research, product plans, or other information regarding the Company’s products, services, markets, customer lists, and customers (including customers of the Company on which Eligible Employee called or with which Eligible Employee may become acquainted during the term of Eligible Employee’s employment),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“Confidential Information” does not include any information that (a) was publicly known or made generally available prior to the time of disclosure by the Company to you; (b) becomes publicly known or made generally available after disclosure by the Company to you through no wrongful action or omission by Eligible Employee; or (c) is in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Employee’s rightful possession, without confidentiality obligations, at the time of disclosure by the Company as shown by Eligible Employee’s then-contemporaneous written records, except that any combination of individual items of information shall not be deemed to be within any of those exceptions merely because one or more of the individual items are within that exception, unless the combination as a whole is within that exception.</w:t>
      </w:r>
    </w:p>
    <w:p>
      <w:pPr>
        <w:spacing w:after="0" w:line="144" w:lineRule="exact"/>
        <w:rPr>
          <w:sz w:val="20"/>
          <w:szCs w:val="20"/>
          <w:color w:val="auto"/>
        </w:rPr>
      </w:pPr>
    </w:p>
    <w:p>
      <w:pPr>
        <w:jc w:val="both"/>
        <w:ind w:firstLine="1280"/>
        <w:spacing w:after="0" w:line="233" w:lineRule="auto"/>
        <w:tabs>
          <w:tab w:leader="none" w:pos="191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 total and permanent disability as defined in Section 22(e)(3) of the Code unless the Company maintains a long-term disability plan at the time of the Eligible Employee’s termination, in which case the determination of disability under such plan also will be considered “Disability” for purposes of this Plan.</w:t>
      </w:r>
    </w:p>
    <w:p>
      <w:pPr>
        <w:spacing w:after="0" w:line="145"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is September 24, 2025.</w:t>
      </w:r>
    </w:p>
    <w:p>
      <w:pPr>
        <w:spacing w:after="0" w:line="183" w:lineRule="exact"/>
        <w:rPr>
          <w:rFonts w:ascii="Times New Roman" w:cs="Times New Roman" w:eastAsia="Times New Roman" w:hAnsi="Times New Roman"/>
          <w:sz w:val="21"/>
          <w:szCs w:val="21"/>
          <w:color w:val="auto"/>
        </w:rPr>
      </w:pPr>
    </w:p>
    <w:p>
      <w:pPr>
        <w:jc w:val="both"/>
        <w:ind w:firstLine="1280"/>
        <w:spacing w:after="0" w:line="233" w:lineRule="auto"/>
        <w:tabs>
          <w:tab w:leader="none" w:pos="190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Employee</w:t>
      </w:r>
      <w:r>
        <w:rPr>
          <w:rFonts w:ascii="Times New Roman" w:cs="Times New Roman" w:eastAsia="Times New Roman" w:hAnsi="Times New Roman"/>
          <w:sz w:val="21"/>
          <w:szCs w:val="21"/>
          <w:color w:val="auto"/>
        </w:rPr>
        <w:t>” means any Executive Officer or Senior Vice President of the Company who is designated in writing by the Administrator as an Eligible Employee under the Plan. For the avoidance of doubt, a Vice President of the Company who is not an Executive Officer shall not be an Eligible Employee.</w:t>
      </w:r>
    </w:p>
    <w:p>
      <w:pPr>
        <w:spacing w:after="0" w:line="145"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8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without the Eligible Employee’s written consent, one or more of the following:</w:t>
      </w:r>
    </w:p>
    <w:p>
      <w:pPr>
        <w:spacing w:after="0" w:line="187" w:lineRule="exact"/>
        <w:rPr>
          <w:rFonts w:ascii="Times New Roman" w:cs="Times New Roman" w:eastAsia="Times New Roman" w:hAnsi="Times New Roman"/>
          <w:sz w:val="21"/>
          <w:szCs w:val="21"/>
          <w:color w:val="auto"/>
        </w:rPr>
      </w:pPr>
    </w:p>
    <w:p>
      <w:pPr>
        <w:ind w:firstLine="1916"/>
        <w:spacing w:after="0" w:line="246" w:lineRule="auto"/>
        <w:tabs>
          <w:tab w:leader="none" w:pos="2544"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Eligible Employee’s title, role or overall duties or responsibilities (including reporting or oversight responsibility);</w:t>
      </w:r>
    </w:p>
    <w:p>
      <w:pPr>
        <w:spacing w:after="0" w:line="141"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Eligible Employee’s Base Pay;</w:t>
      </w:r>
    </w:p>
    <w:p>
      <w:pPr>
        <w:spacing w:after="0" w:line="183" w:lineRule="exact"/>
        <w:rPr>
          <w:rFonts w:ascii="Times New Roman" w:cs="Times New Roman" w:eastAsia="Times New Roman" w:hAnsi="Times New Roman"/>
          <w:sz w:val="21"/>
          <w:szCs w:val="21"/>
          <w:color w:val="auto"/>
        </w:rPr>
      </w:pPr>
    </w:p>
    <w:p>
      <w:pPr>
        <w:jc w:val="both"/>
        <w:ind w:firstLine="1916"/>
        <w:spacing w:after="0" w:line="232" w:lineRule="auto"/>
        <w:tabs>
          <w:tab w:leader="none" w:pos="2544"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material relocation of the Eligible Employee’s principal place of performing his or her duties as an employee of the Company by more than thirty (30) miles (it being understood that any such relocation by more than thirty (30) miles shall be deemed by the Company to be material); or</w:t>
      </w:r>
    </w:p>
    <w:p>
      <w:pPr>
        <w:spacing w:after="0" w:line="148" w:lineRule="exact"/>
        <w:rPr>
          <w:rFonts w:ascii="Times New Roman" w:cs="Times New Roman" w:eastAsia="Times New Roman" w:hAnsi="Times New Roman"/>
          <w:sz w:val="21"/>
          <w:szCs w:val="21"/>
          <w:color w:val="auto"/>
        </w:rPr>
      </w:pPr>
    </w:p>
    <w:p>
      <w:pPr>
        <w:ind w:firstLine="1916"/>
        <w:spacing w:after="0" w:line="246" w:lineRule="auto"/>
        <w:tabs>
          <w:tab w:leader="none" w:pos="254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material breach of the terms of any material written agreement or covenant with the Eligible Employee related to the Eligible Employee’s provision of services to the Company.</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an event described in this Section shall not constitute Good Reason unless it is communicated by the Eligible Employee to the Company in writing within ninety (90) days after the initial occurrence of the event and is not corrected by the Company in a manner which is reasonably satisfactory (not to be unreasonably withheld) to such Eligible Employee (including full retroactive correction with respect to any reduction in Base Pay) within thirty (30) days of the Company’s receipt of such written notice. If the event is cured, the Eligible Employee shall not have the right to resign with Good Reason with respect to such event.</w:t>
      </w:r>
    </w:p>
    <w:p>
      <w:pPr>
        <w:spacing w:after="0" w:line="394" w:lineRule="exact"/>
        <w:rPr>
          <w:sz w:val="20"/>
          <w:szCs w:val="20"/>
          <w:color w:val="auto"/>
        </w:rPr>
      </w:pPr>
    </w:p>
    <w:p>
      <w:pPr>
        <w:jc w:val="both"/>
        <w:ind w:firstLine="1280"/>
        <w:spacing w:after="0" w:line="233" w:lineRule="auto"/>
        <w:tabs>
          <w:tab w:leader="none" w:pos="191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Grandfathered Employee</w:t>
      </w:r>
      <w:r>
        <w:rPr>
          <w:rFonts w:ascii="Times New Roman" w:cs="Times New Roman" w:eastAsia="Times New Roman" w:hAnsi="Times New Roman"/>
          <w:sz w:val="21"/>
          <w:szCs w:val="21"/>
          <w:color w:val="auto"/>
        </w:rPr>
        <w:t>” means an Eligible Employee under the Plan, other than the Chief Executive Officer of the Company, who was designated in writing by the Administrator as an Eligible Employee under the Plan prior to February 1, 2026 (unless otherwise waived in a writing signed by such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17" w:name="page118"/>
    <w:bookmarkEnd w:id="117"/>
    <w:p>
      <w:pPr>
        <w:ind w:firstLine="1280"/>
        <w:spacing w:after="0" w:line="250"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Grandfathered Retirement</w:t>
      </w:r>
      <w:r>
        <w:rPr>
          <w:rFonts w:ascii="Times New Roman" w:cs="Times New Roman" w:eastAsia="Times New Roman" w:hAnsi="Times New Roman"/>
          <w:sz w:val="21"/>
          <w:szCs w:val="21"/>
          <w:color w:val="auto"/>
        </w:rPr>
        <w:t>” means a voluntary termination of employment by a Grandfathered Employee under the circumstances described in Section 6.</w:t>
      </w:r>
    </w:p>
    <w:p>
      <w:pPr>
        <w:spacing w:after="0" w:line="133" w:lineRule="exact"/>
        <w:rPr>
          <w:rFonts w:ascii="Times New Roman" w:cs="Times New Roman" w:eastAsia="Times New Roman" w:hAnsi="Times New Roman"/>
          <w:sz w:val="21"/>
          <w:szCs w:val="21"/>
          <w:color w:val="auto"/>
        </w:rPr>
      </w:pPr>
    </w:p>
    <w:p>
      <w:pPr>
        <w:ind w:firstLine="1280"/>
        <w:spacing w:after="0" w:line="250"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Involuntary Termination</w:t>
      </w:r>
      <w:r>
        <w:rPr>
          <w:rFonts w:ascii="Times New Roman" w:cs="Times New Roman" w:eastAsia="Times New Roman" w:hAnsi="Times New Roman"/>
          <w:sz w:val="21"/>
          <w:szCs w:val="21"/>
          <w:color w:val="auto"/>
        </w:rPr>
        <w:t>” means a termination of employment of an Eligible Employee under the circumstances described in Section 4.</w:t>
      </w:r>
    </w:p>
    <w:p>
      <w:pPr>
        <w:spacing w:after="0" w:line="133" w:lineRule="exact"/>
        <w:rPr>
          <w:rFonts w:ascii="Times New Roman" w:cs="Times New Roman" w:eastAsia="Times New Roman" w:hAnsi="Times New Roman"/>
          <w:sz w:val="21"/>
          <w:szCs w:val="21"/>
          <w:color w:val="auto"/>
        </w:rPr>
      </w:pPr>
    </w:p>
    <w:p>
      <w:pPr>
        <w:ind w:firstLine="1280"/>
        <w:spacing w:after="0" w:line="250"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Retirement</w:t>
      </w:r>
      <w:r>
        <w:rPr>
          <w:rFonts w:ascii="Times New Roman" w:cs="Times New Roman" w:eastAsia="Times New Roman" w:hAnsi="Times New Roman"/>
          <w:sz w:val="21"/>
          <w:szCs w:val="21"/>
          <w:color w:val="auto"/>
        </w:rPr>
        <w:t>” means a voluntary termination of employment by an Eligible Employee under the circumstances described in Section 5.</w:t>
      </w:r>
    </w:p>
    <w:p>
      <w:pPr>
        <w:spacing w:after="0" w:line="133" w:lineRule="exact"/>
        <w:rPr>
          <w:rFonts w:ascii="Times New Roman" w:cs="Times New Roman" w:eastAsia="Times New Roman" w:hAnsi="Times New Roman"/>
          <w:sz w:val="21"/>
          <w:szCs w:val="21"/>
          <w:color w:val="auto"/>
        </w:rPr>
      </w:pPr>
    </w:p>
    <w:p>
      <w:pPr>
        <w:jc w:val="both"/>
        <w:ind w:firstLine="1280"/>
        <w:spacing w:after="0" w:line="222"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 Limit</w:t>
      </w:r>
      <w:r>
        <w:rPr>
          <w:rFonts w:ascii="Times New Roman" w:cs="Times New Roman" w:eastAsia="Times New Roman" w:hAnsi="Times New Roman"/>
          <w:sz w:val="21"/>
          <w:szCs w:val="21"/>
          <w:color w:val="auto"/>
        </w:rPr>
        <w:t>” means two (2) times the lesser of: (i) the Eligible Employee’s annualized compensation based upon the annual rate of pay paid to the Eligible Employee during the Eligible Employee’s taxable year preceding the Eligible Employee’s taxable year of the Eligible Employee’s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Eligible Employee’s employment is terminated.</w:t>
      </w:r>
    </w:p>
    <w:p>
      <w:pPr>
        <w:spacing w:after="0" w:line="145" w:lineRule="exact"/>
        <w:rPr>
          <w:rFonts w:ascii="Times New Roman" w:cs="Times New Roman" w:eastAsia="Times New Roman" w:hAnsi="Times New Roman"/>
          <w:sz w:val="21"/>
          <w:szCs w:val="21"/>
          <w:color w:val="auto"/>
        </w:rPr>
      </w:pPr>
    </w:p>
    <w:p>
      <w:pPr>
        <w:jc w:val="both"/>
        <w:ind w:firstLine="1280"/>
        <w:spacing w:after="0"/>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Benefits</w:t>
      </w:r>
      <w:r>
        <w:rPr>
          <w:rFonts w:ascii="Times New Roman" w:cs="Times New Roman" w:eastAsia="Times New Roman" w:hAnsi="Times New Roman"/>
          <w:sz w:val="21"/>
          <w:szCs w:val="21"/>
          <w:color w:val="auto"/>
        </w:rPr>
        <w:t>” means the compensation and other benefits that the Eligible Employee will be provided in the circumstances described in Section 4 in the event of an Involuntary Termination, Section 5 in the event of a Qualified Retirement, and Section 6 in the event of a Grandfathered Retirement. In no event shall a Grandfathered Employee who becomes entitled to receive the Severance Benefits described in Section 6 be eligible to receive the Severance Benefits described in Section 5.</w:t>
      </w:r>
    </w:p>
    <w:p>
      <w:pPr>
        <w:spacing w:after="0" w:line="307" w:lineRule="exact"/>
        <w:rPr>
          <w:rFonts w:ascii="Times New Roman" w:cs="Times New Roman" w:eastAsia="Times New Roman" w:hAnsi="Times New Roman"/>
          <w:sz w:val="21"/>
          <w:szCs w:val="21"/>
          <w:color w:val="auto"/>
        </w:rPr>
      </w:pPr>
    </w:p>
    <w:p>
      <w:pPr>
        <w:ind w:firstLine="1280"/>
        <w:spacing w:after="0" w:line="250"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Term</w:t>
      </w:r>
      <w:r>
        <w:rPr>
          <w:rFonts w:ascii="Times New Roman" w:cs="Times New Roman" w:eastAsia="Times New Roman" w:hAnsi="Times New Roman"/>
          <w:sz w:val="21"/>
          <w:szCs w:val="21"/>
          <w:color w:val="auto"/>
        </w:rPr>
        <w:t>” means the eighteen (18) month period immediately following an Eligible Employee’s Involuntary Termination, Qualified Retirement or Grandfathered Retirement.</w:t>
      </w:r>
    </w:p>
    <w:p>
      <w:pPr>
        <w:spacing w:after="0" w:line="133" w:lineRule="exact"/>
        <w:rPr>
          <w:rFonts w:ascii="Times New Roman" w:cs="Times New Roman" w:eastAsia="Times New Roman" w:hAnsi="Times New Roman"/>
          <w:sz w:val="21"/>
          <w:szCs w:val="21"/>
          <w:color w:val="auto"/>
        </w:rPr>
      </w:pPr>
    </w:p>
    <w:p>
      <w:pPr>
        <w:jc w:val="both"/>
        <w:ind w:firstLine="1280"/>
        <w:spacing w:after="0" w:line="228" w:lineRule="auto"/>
        <w:tabs>
          <w:tab w:leader="none" w:pos="19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(a) all counties in the State of California, (b) all other states of the United States of America; and (c) all other countries of the world; provided that, with respect to clauses (b) and (c), the Company maintains operations, facilities, or customers in such geographic area prior to the date of the termination of the Eligible Employee’s relationship with the Company.</w:t>
      </w:r>
    </w:p>
    <w:p>
      <w:pPr>
        <w:spacing w:after="0" w:line="143" w:lineRule="exact"/>
        <w:rPr>
          <w:rFonts w:ascii="Times New Roman" w:cs="Times New Roman" w:eastAsia="Times New Roman" w:hAnsi="Times New Roman"/>
          <w:sz w:val="21"/>
          <w:szCs w:val="21"/>
          <w:color w:val="auto"/>
        </w:rPr>
      </w:pPr>
    </w:p>
    <w:p>
      <w:pPr>
        <w:jc w:val="both"/>
        <w:ind w:firstLine="643"/>
        <w:spacing w:after="0"/>
        <w:tabs>
          <w:tab w:leader="none" w:pos="127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Accrued Obligations and Eligibility for Severance Benefits</w:t>
      </w:r>
      <w:r>
        <w:rPr>
          <w:rFonts w:ascii="Times New Roman" w:cs="Times New Roman" w:eastAsia="Times New Roman" w:hAnsi="Times New Roman"/>
          <w:sz w:val="21"/>
          <w:szCs w:val="21"/>
          <w:color w:val="auto"/>
        </w:rPr>
        <w:t>. In the event Eligible Employee’s employment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terminates for any reason, he or she will be entitled to any (a) unpaid Base Pay accrued up to the effective date of termination; (b) unpaid, but earned and accrued annual incentive compensation for any completed fiscal year as of his or her termination of employment; (c) pay for accrued but unused vacation; (d) benefits or compensation as provided under the terms of any employee benefit and compensation agreements or plans applicable to Eligible Employee and (e) unreimbursed business expenses required to be reimbursed to Eligible Employee. An individual is eligible for Severance Benefits under the Plan only if he or she is an Eligible Employee on the date he or she experiences an Involuntary Termination, Qualified Retirement or Grandfathered Retirement.</w:t>
      </w:r>
    </w:p>
    <w:p>
      <w:pPr>
        <w:spacing w:after="0" w:line="219"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Involuntary Termination</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80"/>
        <w:spacing w:after="0" w:line="223" w:lineRule="auto"/>
        <w:tabs>
          <w:tab w:leader="none" w:pos="191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any parent or subsidiary of the Company) terminates the Eligible Employee’s employment for a reason other than Cause and other than the Eligible Employee’s death or Disability or if the Eligible Employee resigns for Good Reason, subject to the Eligible Employee’s compliance with Section 8 and the payment timing provisions of Section 9, then in addition to the amounts described in Section 3 the Eligible Employee will receive the following Severance Benefits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8" w:right="339" w:bottom="1440" w:gutter="0" w:footer="0" w:header="0"/>
        </w:sectPr>
      </w:pPr>
    </w:p>
    <w:bookmarkStart w:id="118" w:name="page119"/>
    <w:bookmarkEnd w:id="118"/>
    <w:p>
      <w:pPr>
        <w:spacing w:after="0" w:line="141" w:lineRule="exact"/>
        <w:rPr>
          <w:sz w:val="20"/>
          <w:szCs w:val="20"/>
          <w:color w:val="auto"/>
        </w:rPr>
      </w:pPr>
    </w:p>
    <w:p>
      <w:pPr>
        <w:jc w:val="both"/>
        <w:ind w:firstLine="1916"/>
        <w:spacing w:after="0" w:line="228" w:lineRule="auto"/>
        <w:tabs>
          <w:tab w:leader="none" w:pos="25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Cash Severance Benefits</w:t>
      </w:r>
      <w:r>
        <w:rPr>
          <w:rFonts w:ascii="Times New Roman" w:cs="Times New Roman" w:eastAsia="Times New Roman" w:hAnsi="Times New Roman"/>
          <w:sz w:val="21"/>
          <w:szCs w:val="21"/>
          <w:color w:val="auto"/>
        </w:rPr>
        <w:t>. A lump-sum cash payment equal to the sum of (a) one and one-half (1.5)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times the Eligible Employee’s Base Pay and (b) one and one-half (1.5) times the Eligible Employee’s target annual cash bonus incentive amount under the Company’s annual cash bonus incentive plan applicable to Eligible Employee as in effect as of the Eligible Employee’s Involuntary Termination.</w:t>
      </w:r>
    </w:p>
    <w:p>
      <w:pPr>
        <w:spacing w:after="0" w:line="143" w:lineRule="exact"/>
        <w:rPr>
          <w:rFonts w:ascii="Times New Roman" w:cs="Times New Roman" w:eastAsia="Times New Roman" w:hAnsi="Times New Roman"/>
          <w:sz w:val="21"/>
          <w:szCs w:val="21"/>
          <w:color w:val="auto"/>
        </w:rPr>
      </w:pPr>
    </w:p>
    <w:p>
      <w:pPr>
        <w:jc w:val="both"/>
        <w:ind w:firstLine="1916"/>
        <w:spacing w:after="0" w:line="220" w:lineRule="auto"/>
        <w:tabs>
          <w:tab w:leader="none" w:pos="25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Time-Based Restricted Stock Unit Vesting Acceleration</w:t>
      </w:r>
      <w:r>
        <w:rPr>
          <w:rFonts w:ascii="Times New Roman" w:cs="Times New Roman" w:eastAsia="Times New Roman" w:hAnsi="Times New Roman"/>
          <w:sz w:val="21"/>
          <w:szCs w:val="21"/>
          <w:color w:val="auto"/>
        </w:rPr>
        <w:t>. Eligible Employees’ then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restricted stock units, other than Company restricted stock units that would otherwise vest in whole or in part only upon satisfaction of performance criteria, will accelerate and become vested with respect to that number of shares subject thereto for which such restricted stock units would have become vested had Eligible Employee remained continuously employed by the Company for an additional twelve (12) months following his or her Involuntary Termination. Any Company restricted stock units that remain unvested after application of this Section 4.1.2 shall immediately be forfeited and cancelled for no additional consideration upon Eligible Employee’s termination of employment with the Company.</w:t>
      </w:r>
    </w:p>
    <w:p>
      <w:pPr>
        <w:spacing w:after="0" w:line="148" w:lineRule="exact"/>
        <w:rPr>
          <w:rFonts w:ascii="Times New Roman" w:cs="Times New Roman" w:eastAsia="Times New Roman" w:hAnsi="Times New Roman"/>
          <w:sz w:val="21"/>
          <w:szCs w:val="21"/>
          <w:color w:val="auto"/>
        </w:rPr>
      </w:pPr>
    </w:p>
    <w:p>
      <w:pPr>
        <w:jc w:val="both"/>
        <w:ind w:firstLine="1916"/>
        <w:spacing w:after="0" w:line="219" w:lineRule="auto"/>
        <w:tabs>
          <w:tab w:leader="none" w:pos="25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Performance-Based Restricted Stock Units Continued Vesting</w:t>
      </w:r>
      <w:r>
        <w:rPr>
          <w:rFonts w:ascii="Times New Roman" w:cs="Times New Roman" w:eastAsia="Times New Roman" w:hAnsi="Times New Roman"/>
          <w:sz w:val="21"/>
          <w:szCs w:val="21"/>
          <w:color w:val="auto"/>
        </w:rPr>
        <w:t>. The Eligible Employee’s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Company restricted stock units that would otherwise vest in whole or in part only upon satisfaction of performance criteria shall remain outstanding and eligible to vest, solely to the extent the applicable performance period ends within twelve (12) months immediately following such Eligible Employee’s termination of employment, based on the extent, if any, that the underlying performance criteria with respect to such awards are satisfied for such performance period, and to the extent earned, shall become payable in accordance with the original payment schedule set forth in the applicable award agreement (and the remainder of such restricted stock units that do not become vested pursuant to this Section 4.1.3, if any, shall be forfeited and cancelled for no additional consideration).</w:t>
      </w:r>
    </w:p>
    <w:p>
      <w:pPr>
        <w:spacing w:after="0" w:line="147" w:lineRule="exact"/>
        <w:rPr>
          <w:rFonts w:ascii="Times New Roman" w:cs="Times New Roman" w:eastAsia="Times New Roman" w:hAnsi="Times New Roman"/>
          <w:sz w:val="21"/>
          <w:szCs w:val="21"/>
          <w:color w:val="auto"/>
        </w:rPr>
      </w:pPr>
    </w:p>
    <w:p>
      <w:pPr>
        <w:jc w:val="both"/>
        <w:ind w:firstLine="1916"/>
        <w:spacing w:after="0" w:line="217" w:lineRule="auto"/>
        <w:tabs>
          <w:tab w:leader="none" w:pos="25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Special Payment Based on Estimated COBRA Premiums for Continued Group Health Plan Coverage</w:t>
      </w:r>
      <w:r>
        <w:rPr>
          <w:rFonts w:ascii="Times New Roman" w:cs="Times New Roman" w:eastAsia="Times New Roman" w:hAnsi="Times New Roman"/>
          <w:sz w:val="21"/>
          <w:szCs w:val="21"/>
          <w:color w:val="auto"/>
        </w:rPr>
        <w:t>. On the date of the Eligible Employee’s Involuntary Termination, if the Eligible Employee and any eligible dependent(s)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covered under a group health plan sponsored by the Company, the Eligible Employee will receive a taxable lump sum payment in an amount equal to twelve times the monthly premium that the Eligible Employee would be required to pay to continue such group health coverage if the Eligible Employee had made a timely election under the Consolidated Omnibus Budget Reconciliation Act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The payment will be calculated based on the applicable premium for the first month of COBRA coverage, which payment will be made regardless of whether the Eligible Employee actually elects COBRA continuation coverage (the “</w:t>
      </w:r>
      <w:r>
        <w:rPr>
          <w:rFonts w:ascii="Times New Roman" w:cs="Times New Roman" w:eastAsia="Times New Roman" w:hAnsi="Times New Roman"/>
          <w:sz w:val="21"/>
          <w:szCs w:val="21"/>
          <w:b w:val="1"/>
          <w:bCs w:val="1"/>
          <w:color w:val="auto"/>
        </w:rPr>
        <w:t>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The amount of the Special Payment will also include an estimated tax-gross up as determined at the sole discretion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The Special Payment will be paid in accordance with Section 9 of this Plan. For purposes of clarification, this Plan does not provide for any continuation coverage under any of the Company’s group health plans other than through COBRA and it is the sole responsibility of the Eligible Employee to timely elect and pay for COBRA coverage.</w:t>
      </w:r>
    </w:p>
    <w:p>
      <w:pPr>
        <w:spacing w:after="0" w:line="145" w:lineRule="exact"/>
        <w:rPr>
          <w:rFonts w:ascii="Times New Roman" w:cs="Times New Roman" w:eastAsia="Times New Roman" w:hAnsi="Times New Roman"/>
          <w:sz w:val="21"/>
          <w:szCs w:val="21"/>
          <w:color w:val="auto"/>
        </w:rPr>
      </w:pPr>
    </w:p>
    <w:p>
      <w:pPr>
        <w:ind w:firstLine="1916"/>
        <w:spacing w:after="0" w:line="250" w:lineRule="auto"/>
        <w:tabs>
          <w:tab w:leader="none" w:pos="25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Outplacement</w:t>
      </w:r>
      <w:r>
        <w:rPr>
          <w:rFonts w:ascii="Times New Roman" w:cs="Times New Roman" w:eastAsia="Times New Roman" w:hAnsi="Times New Roman"/>
          <w:sz w:val="21"/>
          <w:szCs w:val="21"/>
          <w:color w:val="auto"/>
        </w:rPr>
        <w:t>. During the Severance Term, Eligible Employee shall receive Company-provided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outplacement services in accordance with the Company’s then applicable outplacement service program or arrangement(s).</w:t>
      </w:r>
    </w:p>
    <w:p>
      <w:pPr>
        <w:spacing w:after="0" w:line="133"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Qualified Retirement</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80"/>
        <w:spacing w:after="0" w:line="232" w:lineRule="auto"/>
        <w:tabs>
          <w:tab w:leader="none" w:pos="191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Plan, an Eligible Employee’s termination is considered a Qualified Retirement if the Eligible Employee voluntarily terminates employment and meets either of the following requirements: (a) Eligible Employee’s combined total age plus years of employment with the Company is equal to or greater than 75 or (b) Eligible Employee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at least 55 years of age and completes at least 10 years of continuous employment with the Company. “Continuous employment” for purposes hereof shall mean the absence of any interruption or termination of service, as determined by the Administrator in its sole discretion, provided that continuous employment with the Company shall not be considered interrupted in the case of sick leave, military leave or any other leave of absence approved by the Company or protected under applicable law, or in the case of transfers between the Company and any subsidiary of the Company, so long as the individual continues to be an employee. Unless waived by the Administrator or the Chief Executive Officer of the Company, in order for such voluntary termination to be deemed a Qualified Retirement, the Eligible Employee must deliver in writing notice of his or her intent to resign employment with the Company in a Qualified Retirement at least three (3) months prior to the effective date of such Qualified Retirement. If an Eligible Employee’s voluntary termination is a Qualified Retirement, subject to the Eligible Employee’s compliance with Sections 8.1, 8.4 and 8.5 and the payment timing provisions of Section 9, then in addition to the amounts described in Section 3 the Eligible Employee will receive the following Severance Benefits from the Company:</w:t>
      </w:r>
    </w:p>
    <w:p>
      <w:pPr>
        <w:spacing w:after="0" w:line="152" w:lineRule="exact"/>
        <w:rPr>
          <w:sz w:val="20"/>
          <w:szCs w:val="20"/>
          <w:color w:val="auto"/>
        </w:rPr>
      </w:pPr>
    </w:p>
    <w:p>
      <w:pPr>
        <w:jc w:val="both"/>
        <w:ind w:firstLine="1916"/>
        <w:spacing w:after="0"/>
        <w:tabs>
          <w:tab w:leader="none" w:pos="254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Time-Based Restricted Stock Unit Vesting Acceleration</w:t>
      </w:r>
      <w:r>
        <w:rPr>
          <w:rFonts w:ascii="Times New Roman" w:cs="Times New Roman" w:eastAsia="Times New Roman" w:hAnsi="Times New Roman"/>
          <w:sz w:val="21"/>
          <w:szCs w:val="21"/>
          <w:color w:val="auto"/>
        </w:rPr>
        <w:t>. Eligible Employees’ then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restricted stock units, other than Company restricted stock units that would otherwise vest in whole or in part only upon satisfaction of performance criteria, will accelerate and become vested with respect to that number of shares subject thereto for which such restricted stock units would have become vested had Eligible Employee remained continuously employed by the Company for an additional twelve (12) months following his or her Qualified Retirement (and shall be deemed to have a monthly vesting schedule from their original date of grant for purposes of determining the number of restricted stock units that accelerate and become vested). Any Company restricted stock units that remain unvested after application of this Section 5.1.1 shall immediately be forfeited and cancelled for no additional consideration upon Eligible Employee’s termination of employment with the Company.</w:t>
      </w:r>
    </w:p>
    <w:p>
      <w:pPr>
        <w:spacing w:after="0" w:line="190" w:lineRule="exact"/>
        <w:rPr>
          <w:rFonts w:ascii="Times New Roman" w:cs="Times New Roman" w:eastAsia="Times New Roman" w:hAnsi="Times New Roman"/>
          <w:sz w:val="21"/>
          <w:szCs w:val="21"/>
          <w:color w:val="auto"/>
        </w:rPr>
      </w:pPr>
    </w:p>
    <w:p>
      <w:pPr>
        <w:jc w:val="both"/>
        <w:ind w:firstLine="1916"/>
        <w:spacing w:after="0" w:line="219" w:lineRule="auto"/>
        <w:tabs>
          <w:tab w:leader="none" w:pos="254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Performance-Based Restricted Stock Units Continued Vesting</w:t>
      </w:r>
      <w:r>
        <w:rPr>
          <w:rFonts w:ascii="Times New Roman" w:cs="Times New Roman" w:eastAsia="Times New Roman" w:hAnsi="Times New Roman"/>
          <w:sz w:val="21"/>
          <w:szCs w:val="21"/>
          <w:color w:val="auto"/>
        </w:rPr>
        <w:t>. The Eligible Employee’s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Company restricted stock units that would otherwise vest in whole or in part only upon satisfaction of performance criteria shall remain outstanding and eligible to vest, solely to the extent the applicable performance period ends within twelve (12) months immediately following such Eligible Employee’s Qualified Retirement, based on the extent, if any, that the underlying performance criteria with respect to such awards are satisfied for such performance period, and to the extent earned, shall become payable in accordance with the original payment schedule set forth in the applicable award agreement (and the remainder of such restricted stock units that do not become vested pursuant to this Section 5.1.2, if any, shall be forfeited and cancelled for no additional consideration).</w:t>
      </w:r>
    </w:p>
    <w:p>
      <w:pPr>
        <w:spacing w:after="0" w:line="147" w:lineRule="exact"/>
        <w:rPr>
          <w:rFonts w:ascii="Times New Roman" w:cs="Times New Roman" w:eastAsia="Times New Roman" w:hAnsi="Times New Roman"/>
          <w:sz w:val="21"/>
          <w:szCs w:val="21"/>
          <w:color w:val="auto"/>
        </w:rPr>
      </w:pPr>
    </w:p>
    <w:p>
      <w:pPr>
        <w:jc w:val="both"/>
        <w:ind w:firstLine="1916"/>
        <w:spacing w:after="0" w:line="217" w:lineRule="auto"/>
        <w:tabs>
          <w:tab w:leader="none" w:pos="254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Special Premium Payment Based on Estimated COBRA Premiums for Continued Group Health Plan Coverage</w:t>
      </w:r>
      <w:r>
        <w:rPr>
          <w:rFonts w:ascii="Times New Roman" w:cs="Times New Roman" w:eastAsia="Times New Roman" w:hAnsi="Times New Roman"/>
          <w:sz w:val="21"/>
          <w:szCs w:val="21"/>
          <w:color w:val="auto"/>
        </w:rPr>
        <w:t>. On the date of the Eligible Employee’s Qualified Retirement, if the Eligible Employee and any eligible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dependent(s) are covered under a group health plan sponsored by the Company, the Eligible Employee will receive a taxable lump sum payment in an amount equal to eighteen (18) times the monthly premium that the Eligible Employee would be required to pay to continue such group health coverage if the Eligible Employee had made a timely election under COBRA. The payment will be calculated based on the applicable premium for the first month of COBRA coverage, which payment will be made regardless of whether the Eligible Employee actually elects COBRA continuation coverage (the “</w:t>
      </w:r>
      <w:r>
        <w:rPr>
          <w:rFonts w:ascii="Times New Roman" w:cs="Times New Roman" w:eastAsia="Times New Roman" w:hAnsi="Times New Roman"/>
          <w:sz w:val="21"/>
          <w:szCs w:val="21"/>
          <w:b w:val="1"/>
          <w:bCs w:val="1"/>
          <w:color w:val="auto"/>
        </w:rPr>
        <w:t>Qualified Retirement Premium Payment</w:t>
      </w:r>
      <w:r>
        <w:rPr>
          <w:rFonts w:ascii="Times New Roman" w:cs="Times New Roman" w:eastAsia="Times New Roman" w:hAnsi="Times New Roman"/>
          <w:sz w:val="21"/>
          <w:szCs w:val="21"/>
          <w:color w:val="auto"/>
        </w:rPr>
        <w:t>”). The amount of the Qualified Retirement Premium Payment will also include an estimated tax-gross up as determined at the sole discretion of the Company. The Qualified Retirement Premium Payment will be paid in accordance with Section 9 of this Plan. For purposes of clarification, this Plan does not provide for any continuation coverage under any of the Company’s group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than through COBRA and it is the sole responsibility of the Eligible Employee to timely elect and pay for COBRA coverage.</w:t>
      </w:r>
    </w:p>
    <w:p>
      <w:pPr>
        <w:spacing w:after="0" w:line="179" w:lineRule="exact"/>
        <w:rPr>
          <w:sz w:val="20"/>
          <w:szCs w:val="20"/>
          <w:color w:val="auto"/>
        </w:rPr>
      </w:pPr>
    </w:p>
    <w:p>
      <w:pPr>
        <w:ind w:left="1280" w:hanging="637"/>
        <w:spacing w:after="0"/>
        <w:tabs>
          <w:tab w:leader="none" w:pos="12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Grandfathered Retirement</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80"/>
        <w:spacing w:after="0" w:line="217" w:lineRule="auto"/>
        <w:tabs>
          <w:tab w:leader="none" w:pos="191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Plan, an Eligible Employee’s termination is considered a Grandfathered Retirement if the Eligible Employee is a Grandfathered Employee who voluntarily terminates employment and meets either of the following requirements: (a) Eligible Employee’s combined total age plus years of employment with the Company is equal to or greater than 75 or (b) Eligible Employee is at least 55 years of age and completes at least 10 years of employment with the Company. Unless waived by the Administrator or the Chief Executive Officer of the Company, in order for such voluntary termination to be deemed a Grandfathered Retirement, the Eligible Employee must deliver in writing notice of his or her intent to resign employment with the Company in a Grandfathered Retirement at least three (3) months prior to the effective date of such Grandfathered Retirement. If an Eligible Employee’s voluntary termination is a Grandfathered Retirement, subject to the Eligible Employee’s compliance with Sections 8.1, 8.4 and 8.5 and the payment timing provisions of Section 9, then in addition to the amounts described in Section 3 the Eligible Employee will receive the following Severance Benefits from the Company:</w:t>
      </w:r>
    </w:p>
    <w:p>
      <w:pPr>
        <w:spacing w:after="0" w:line="147" w:lineRule="exact"/>
        <w:rPr>
          <w:rFonts w:ascii="Times New Roman" w:cs="Times New Roman" w:eastAsia="Times New Roman" w:hAnsi="Times New Roman"/>
          <w:sz w:val="21"/>
          <w:szCs w:val="21"/>
          <w:color w:val="auto"/>
        </w:rPr>
      </w:pPr>
    </w:p>
    <w:p>
      <w:pPr>
        <w:jc w:val="both"/>
        <w:ind w:firstLine="1916"/>
        <w:spacing w:after="0" w:line="224" w:lineRule="auto"/>
        <w:tabs>
          <w:tab w:leader="none" w:pos="2547"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Cash Severance Benefits</w:t>
      </w:r>
      <w:r>
        <w:rPr>
          <w:rFonts w:ascii="Times New Roman" w:cs="Times New Roman" w:eastAsia="Times New Roman" w:hAnsi="Times New Roman"/>
          <w:sz w:val="21"/>
          <w:szCs w:val="21"/>
          <w:color w:val="auto"/>
        </w:rPr>
        <w:t>. A lump-sum cash payment equal to the sum of (a) one and one-half (1.5)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times the Eligible Employee’s Base Pay, (b) one and one-half (1.5) times the target annual cash bonus incentive amount under the Company’s annual cash bonus incentive plan applicable to Eligible Employee as in effect as of the Eligible Employee’s Grandfathered Retirement and (c) a pro-rata portion of the Eligible Employee’s target annual cash bonus incentive amount as in effect as of the Eligible Employee’s Grandfathered Retirement, for the fiscal year in which the Grandfathered Retirement occurs.</w:t>
      </w:r>
    </w:p>
    <w:p>
      <w:pPr>
        <w:spacing w:after="0" w:line="146" w:lineRule="exact"/>
        <w:rPr>
          <w:rFonts w:ascii="Times New Roman" w:cs="Times New Roman" w:eastAsia="Times New Roman" w:hAnsi="Times New Roman"/>
          <w:sz w:val="21"/>
          <w:szCs w:val="21"/>
          <w:color w:val="auto"/>
        </w:rPr>
      </w:pPr>
    </w:p>
    <w:p>
      <w:pPr>
        <w:jc w:val="both"/>
        <w:ind w:firstLine="1916"/>
        <w:spacing w:after="0"/>
        <w:tabs>
          <w:tab w:leader="none" w:pos="2547"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Time-Based Restricted Stock Unit Vesting Acceleration</w:t>
      </w:r>
      <w:r>
        <w:rPr>
          <w:rFonts w:ascii="Times New Roman" w:cs="Times New Roman" w:eastAsia="Times New Roman" w:hAnsi="Times New Roman"/>
          <w:sz w:val="21"/>
          <w:szCs w:val="21"/>
          <w:color w:val="auto"/>
        </w:rPr>
        <w:t>. Eligible Employees’ then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restricted stock units, other than Company restricted stock units that would otherwise vest in whole or in part only upon satisfaction of performance criteria, will accelerate and become vested with respect to that number of shares subject thereto for which such restricted stock units would have become vested had Eligible Employee remained continuously employed by the Company for an additional twelve (12) months following his or her Grandfathered Retirement (and shall be deemed to have a monthly vesting schedule from their original date of grant for purposes of determining the number of restricted stock units that accelerate and become vested). Any Company restricted stock units that remain unvested after application of this Section 6.1.2 shall immediately be forfeited and cancelled for no additional consideration upon Eligible Employee’s termination of employment with the Company.</w:t>
      </w:r>
    </w:p>
    <w:p>
      <w:pPr>
        <w:spacing w:after="0" w:line="190" w:lineRule="exact"/>
        <w:rPr>
          <w:rFonts w:ascii="Times New Roman" w:cs="Times New Roman" w:eastAsia="Times New Roman" w:hAnsi="Times New Roman"/>
          <w:sz w:val="21"/>
          <w:szCs w:val="21"/>
          <w:color w:val="auto"/>
        </w:rPr>
      </w:pPr>
    </w:p>
    <w:p>
      <w:pPr>
        <w:jc w:val="both"/>
        <w:ind w:firstLine="1916"/>
        <w:spacing w:after="0" w:line="219" w:lineRule="auto"/>
        <w:tabs>
          <w:tab w:leader="none" w:pos="2547"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Performance-Based Restricted Stock Units Continued Vesting</w:t>
      </w:r>
      <w:r>
        <w:rPr>
          <w:rFonts w:ascii="Times New Roman" w:cs="Times New Roman" w:eastAsia="Times New Roman" w:hAnsi="Times New Roman"/>
          <w:sz w:val="21"/>
          <w:szCs w:val="21"/>
          <w:color w:val="auto"/>
        </w:rPr>
        <w:t>. The Eligible Employee’s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Company restricted stock units that would otherwise vest in whole or in part only upon satisfaction of performance criteria shall remain outstanding and eligible to vest, solely to the extent the applicable performance period ends within twelve (12) months immediately following such Eligible Employee’s Grandfathered Retirement, based on the extent, if any, that the underlying performance criteria with respect to such awards are satisfied for such performance period, and to the extent earned, shall become payable in accordance with the original payment schedule set forth in the applicable award agreement (and the remainder of such restricted stock units that do not become vested pursuant to this Section 6.1.3, if any, shall be forfeited and cancelled for no additional consideration).</w:t>
      </w:r>
    </w:p>
    <w:p>
      <w:pPr>
        <w:spacing w:after="0" w:line="147" w:lineRule="exact"/>
        <w:rPr>
          <w:rFonts w:ascii="Times New Roman" w:cs="Times New Roman" w:eastAsia="Times New Roman" w:hAnsi="Times New Roman"/>
          <w:sz w:val="21"/>
          <w:szCs w:val="21"/>
          <w:color w:val="auto"/>
        </w:rPr>
      </w:pPr>
    </w:p>
    <w:p>
      <w:pPr>
        <w:ind w:firstLine="1916"/>
        <w:spacing w:after="0" w:line="250" w:lineRule="auto"/>
        <w:tabs>
          <w:tab w:leader="none" w:pos="2547"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Special Premium Payment Based on Estimated COBRA Premiums for Continued Group Health Plan Coverage</w:t>
      </w:r>
      <w:r>
        <w:rPr>
          <w:rFonts w:ascii="Times New Roman" w:cs="Times New Roman" w:eastAsia="Times New Roman" w:hAnsi="Times New Roman"/>
          <w:sz w:val="21"/>
          <w:szCs w:val="21"/>
          <w:color w:val="auto"/>
        </w:rPr>
        <w:t>. On the date of the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Employee’s Grandfathered Retirement, if the Eligible Employee and any eligible dependent(s) are covered under a group health plan sponsored by the Company, the Eligible Employee will receive a taxable lump sum payment in an amount equal to eighteen</w:t>
      </w:r>
    </w:p>
    <w:p>
      <w:pPr>
        <w:spacing w:after="0" w:line="2" w:lineRule="exact"/>
        <w:rPr>
          <w:sz w:val="20"/>
          <w:szCs w:val="20"/>
          <w:color w:val="auto"/>
        </w:rPr>
      </w:pPr>
    </w:p>
    <w:p>
      <w:pPr>
        <w:jc w:val="both"/>
        <w:ind w:firstLine="6"/>
        <w:spacing w:after="0" w:line="216" w:lineRule="auto"/>
        <w:tabs>
          <w:tab w:leader="none" w:pos="41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times the monthly premium that the Eligible Employee would be required to pay to continue such group health coverage if the Eligible Employee had made a timely election under COBRA. The payment will be calculated based on the applicable premium for the first month of COBRA coverage, which payment will be made regardless of whether the Eligible Employee actually elects COBRA continuation coverage (the “</w:t>
      </w:r>
      <w:r>
        <w:rPr>
          <w:rFonts w:ascii="Times New Roman" w:cs="Times New Roman" w:eastAsia="Times New Roman" w:hAnsi="Times New Roman"/>
          <w:sz w:val="21"/>
          <w:szCs w:val="21"/>
          <w:b w:val="1"/>
          <w:bCs w:val="1"/>
          <w:color w:val="auto"/>
        </w:rPr>
        <w:t>Grandfathered Retirement Premium Payment</w:t>
      </w:r>
      <w:r>
        <w:rPr>
          <w:rFonts w:ascii="Times New Roman" w:cs="Times New Roman" w:eastAsia="Times New Roman" w:hAnsi="Times New Roman"/>
          <w:sz w:val="21"/>
          <w:szCs w:val="21"/>
          <w:color w:val="auto"/>
        </w:rPr>
        <w:t>”). The amount of the Grandfathered Retirement Premium Payment will also include an estimated tax-gross up as determined at the sole discretion of the Company. The Grandfathered Retirement Premium Payment will be paid in accordance with Section 9 of this Plan. For purposes of clarification, this Plan does not provide for any continuation coverage under any of the Company’s group health plans other than through COBRA and it is the sole responsibility of the Eligible Employee to timely elect and pay for COBRA coverage.</w:t>
      </w:r>
    </w:p>
    <w:p>
      <w:pPr>
        <w:spacing w:after="0" w:line="143" w:lineRule="exact"/>
        <w:rPr>
          <w:rFonts w:ascii="Times New Roman" w:cs="Times New Roman" w:eastAsia="Times New Roman" w:hAnsi="Times New Roman"/>
          <w:sz w:val="21"/>
          <w:szCs w:val="21"/>
          <w:color w:val="auto"/>
        </w:rPr>
      </w:pPr>
    </w:p>
    <w:p>
      <w:pPr>
        <w:jc w:val="both"/>
        <w:ind w:firstLine="643"/>
        <w:spacing w:after="0" w:line="228" w:lineRule="auto"/>
        <w:tabs>
          <w:tab w:leader="none" w:pos="127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Limitation on Payments</w:t>
      </w:r>
      <w:r>
        <w:rPr>
          <w:rFonts w:ascii="Times New Roman" w:cs="Times New Roman" w:eastAsia="Times New Roman" w:hAnsi="Times New Roman"/>
          <w:sz w:val="21"/>
          <w:szCs w:val="21"/>
          <w:color w:val="auto"/>
        </w:rPr>
        <w:t>. In the event that the payments and benefits provided for in the Plan or other payments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payable or provided to the Eligible Employee (i) constitute “parachute payments” within the meaning of Section 280G of the Code and (ii) but for this Section 7, would be subject to the excise tax imposed by Section 4999 of the Code, then the Eligible Employee’s payments and benefits under the Plan or other payments or benefits (the “</w:t>
      </w:r>
      <w:r>
        <w:rPr>
          <w:rFonts w:ascii="Times New Roman" w:cs="Times New Roman" w:eastAsia="Times New Roman" w:hAnsi="Times New Roman"/>
          <w:sz w:val="21"/>
          <w:szCs w:val="21"/>
          <w:b w:val="1"/>
          <w:bCs w:val="1"/>
          <w:color w:val="auto"/>
        </w:rPr>
        <w:t>280G Amounts</w:t>
      </w:r>
      <w:r>
        <w:rPr>
          <w:rFonts w:ascii="Times New Roman" w:cs="Times New Roman" w:eastAsia="Times New Roman" w:hAnsi="Times New Roman"/>
          <w:sz w:val="21"/>
          <w:szCs w:val="21"/>
          <w:color w:val="auto"/>
        </w:rPr>
        <w:t>”) will be either:</w:t>
      </w:r>
    </w:p>
    <w:p>
      <w:pPr>
        <w:spacing w:after="0" w:line="147"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full; or</w:t>
      </w:r>
    </w:p>
    <w:p>
      <w:pPr>
        <w:spacing w:after="0" w:line="183" w:lineRule="exact"/>
        <w:rPr>
          <w:rFonts w:ascii="Times New Roman" w:cs="Times New Roman" w:eastAsia="Times New Roman" w:hAnsi="Times New Roman"/>
          <w:sz w:val="21"/>
          <w:szCs w:val="21"/>
          <w:color w:val="auto"/>
        </w:rPr>
      </w:pPr>
    </w:p>
    <w:p>
      <w:pPr>
        <w:jc w:val="both"/>
        <w:ind w:firstLine="1916"/>
        <w:spacing w:after="0" w:line="223" w:lineRule="auto"/>
        <w:tabs>
          <w:tab w:leader="none" w:pos="2542"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as to such lesser extent that would result in no portion of the 280G Amounts being subject to the excise tax under Section 4999 of the Code; whichever of the foregoing amounts, taking into account the applicable federal, state and local income taxes and the excise tax imposed by Section 4999, results in the receipt by the Eligible Employee on an after-tax basis, of the greatest amount of 280G Amounts, notwithstanding that all or some portion of the 280G Amounts may be taxable under Section 4999 of the Code.</w:t>
      </w:r>
    </w:p>
    <w:p>
      <w:pPr>
        <w:spacing w:after="0" w:line="147" w:lineRule="exact"/>
        <w:rPr>
          <w:rFonts w:ascii="Times New Roman" w:cs="Times New Roman" w:eastAsia="Times New Roman" w:hAnsi="Times New Roman"/>
          <w:sz w:val="21"/>
          <w:szCs w:val="21"/>
          <w:color w:val="auto"/>
        </w:rPr>
      </w:pPr>
    </w:p>
    <w:p>
      <w:pPr>
        <w:jc w:val="both"/>
        <w:ind w:firstLine="1280"/>
        <w:spacing w:after="0" w:line="233" w:lineRule="auto"/>
        <w:tabs>
          <w:tab w:leader="none" w:pos="1910"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Reduction Order</w:t>
      </w:r>
      <w:r>
        <w:rPr>
          <w:rFonts w:ascii="Times New Roman" w:cs="Times New Roman" w:eastAsia="Times New Roman" w:hAnsi="Times New Roman"/>
          <w:sz w:val="21"/>
          <w:szCs w:val="21"/>
          <w:color w:val="auto"/>
        </w:rPr>
        <w:t>. In the event that a reduction of 280G Amounts is made in accordance with Section 7,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reduction will occur, with respect to the 280G Amounts considered parachute payments within the meaning of Section 280G of the Code, in the following order:</w:t>
      </w:r>
    </w:p>
    <w:p>
      <w:pPr>
        <w:spacing w:after="0" w:line="149" w:lineRule="exact"/>
        <w:rPr>
          <w:rFonts w:ascii="Times New Roman" w:cs="Times New Roman" w:eastAsia="Times New Roman" w:hAnsi="Times New Roman"/>
          <w:sz w:val="21"/>
          <w:szCs w:val="21"/>
          <w:color w:val="auto"/>
        </w:rPr>
      </w:pPr>
    </w:p>
    <w:p>
      <w:pPr>
        <w:ind w:firstLine="1916"/>
        <w:spacing w:after="0" w:line="246" w:lineRule="auto"/>
        <w:tabs>
          <w:tab w:leader="none" w:pos="2544"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reduction of cash payments in reverse chronological order (that is, the cash payment owed on the latest date following the occurrence of the event triggering the excise tax will be the first cash payment to be reduced);</w:t>
      </w:r>
    </w:p>
    <w:p>
      <w:pPr>
        <w:spacing w:after="0" w:line="141" w:lineRule="exact"/>
        <w:rPr>
          <w:rFonts w:ascii="Times New Roman" w:cs="Times New Roman" w:eastAsia="Times New Roman" w:hAnsi="Times New Roman"/>
          <w:sz w:val="21"/>
          <w:szCs w:val="21"/>
          <w:color w:val="auto"/>
        </w:rPr>
      </w:pPr>
    </w:p>
    <w:p>
      <w:pPr>
        <w:ind w:firstLine="1916"/>
        <w:spacing w:after="0" w:line="246" w:lineRule="auto"/>
        <w:tabs>
          <w:tab w:leader="none" w:pos="2542"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cancellation of equity awards that were granted “contingent on a change in ownership or control” within the meaning of Code Section 280G;</w:t>
      </w:r>
    </w:p>
    <w:p>
      <w:pPr>
        <w:spacing w:after="0" w:line="141" w:lineRule="exact"/>
        <w:rPr>
          <w:rFonts w:ascii="Times New Roman" w:cs="Times New Roman" w:eastAsia="Times New Roman" w:hAnsi="Times New Roman"/>
          <w:sz w:val="21"/>
          <w:szCs w:val="21"/>
          <w:color w:val="auto"/>
        </w:rPr>
      </w:pPr>
    </w:p>
    <w:p>
      <w:pPr>
        <w:ind w:firstLine="1916"/>
        <w:spacing w:after="0" w:line="246" w:lineRule="auto"/>
        <w:tabs>
          <w:tab w:leader="none" w:pos="2544"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reduction of the accelerated vesting of equity awards in the reverse order of date of grant of the awards (i.e., the vesting of the most recently granted equity awards will be cancelled first); and</w:t>
      </w:r>
    </w:p>
    <w:p>
      <w:pPr>
        <w:spacing w:after="0" w:line="141" w:lineRule="exact"/>
        <w:rPr>
          <w:rFonts w:ascii="Times New Roman" w:cs="Times New Roman" w:eastAsia="Times New Roman" w:hAnsi="Times New Roman"/>
          <w:sz w:val="21"/>
          <w:szCs w:val="21"/>
          <w:color w:val="auto"/>
        </w:rPr>
      </w:pPr>
    </w:p>
    <w:p>
      <w:pPr>
        <w:ind w:right="20" w:firstLine="1916"/>
        <w:spacing w:after="0" w:line="246" w:lineRule="auto"/>
        <w:tabs>
          <w:tab w:leader="none" w:pos="2542" w:val="left"/>
        </w:tabs>
        <w:numPr>
          <w:ilvl w:val="3"/>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reduction of employee benefits in reverse chronological order (i.e., the benefit owed on the latest date following the occurrence of the event triggering the excise tax will be the first benefit to be reduced).</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no event will the Eligible Employee have any discretion with respect to the ordering of payment reductions.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1" w:lineRule="exact"/>
        <w:rPr>
          <w:sz w:val="20"/>
          <w:szCs w:val="20"/>
          <w:color w:val="auto"/>
        </w:rPr>
      </w:pPr>
    </w:p>
    <w:p>
      <w:pPr>
        <w:jc w:val="both"/>
        <w:ind w:firstLine="1280"/>
        <w:spacing w:after="0"/>
        <w:tabs>
          <w:tab w:leader="none" w:pos="191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Nationally Recognized Firm Requirement</w:t>
      </w:r>
      <w:r>
        <w:rPr>
          <w:rFonts w:ascii="Times New Roman" w:cs="Times New Roman" w:eastAsia="Times New Roman" w:hAnsi="Times New Roman"/>
          <w:sz w:val="21"/>
          <w:szCs w:val="21"/>
          <w:color w:val="auto"/>
        </w:rPr>
        <w:t>. Unless the Company and the Eligible Employee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 in writing, any determination required under this Section 7 will be made in writing by a nationally recognized accounting or valuation firm (the “</w:t>
      </w:r>
      <w:r>
        <w:rPr>
          <w:rFonts w:ascii="Times New Roman" w:cs="Times New Roman" w:eastAsia="Times New Roman" w:hAnsi="Times New Roman"/>
          <w:sz w:val="21"/>
          <w:szCs w:val="21"/>
          <w:b w:val="1"/>
          <w:bCs w:val="1"/>
          <w:color w:val="auto"/>
        </w:rPr>
        <w:t>Firm</w:t>
      </w:r>
      <w:r>
        <w:rPr>
          <w:rFonts w:ascii="Times New Roman" w:cs="Times New Roman" w:eastAsia="Times New Roman" w:hAnsi="Times New Roman"/>
          <w:sz w:val="21"/>
          <w:szCs w:val="21"/>
          <w:color w:val="auto"/>
        </w:rPr>
        <w:t>”) selected by the Administrator, whose determination will be conclusive and binding upon the Eligible Employee and the Company for all purposes. For purposes of making the calculations required by this Section 7, the Firm may make reasonable assumptions and approximations concerning applicable taxes and may rely on reasonable, good faith interpretations concerning the application of Sections 280G and 4999 of the Code. The Company and the Eligible Employee will furnish to the Firm such information and documents as the Firm may reasonably request in order to make a determination under this Section 7. The Company will bear all costs for payment of the Firm’s services in connection with any calculations contemplated by this Section 7.</w:t>
      </w:r>
    </w:p>
    <w:p>
      <w:pPr>
        <w:spacing w:after="0" w:line="190" w:lineRule="exact"/>
        <w:rPr>
          <w:rFonts w:ascii="Times New Roman" w:cs="Times New Roman" w:eastAsia="Times New Roman" w:hAnsi="Times New Roman"/>
          <w:sz w:val="21"/>
          <w:szCs w:val="21"/>
          <w:color w:val="auto"/>
        </w:rPr>
      </w:pPr>
    </w:p>
    <w:p>
      <w:pPr>
        <w:jc w:val="both"/>
        <w:ind w:firstLine="643"/>
        <w:spacing w:after="0" w:line="228" w:lineRule="auto"/>
        <w:tabs>
          <w:tab w:leader="none" w:pos="127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Conditions to Receipt of Severance Benefits</w:t>
      </w:r>
      <w:r>
        <w:rPr>
          <w:rFonts w:ascii="Times New Roman" w:cs="Times New Roman" w:eastAsia="Times New Roman" w:hAnsi="Times New Roman"/>
          <w:sz w:val="21"/>
          <w:szCs w:val="21"/>
          <w:color w:val="auto"/>
        </w:rPr>
        <w:t>. In the event of an Involuntary Termination, Eligible Employee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comply with all the conditions set forth in this Section 8 to receive Severance Benefits under the Plan. In the event of Qualified Retirement or Grandfathered Retirement, Eligible Employee is required to comply with all the conditions set forth in Sections 8.1, 8.4 and 8.5.</w:t>
      </w:r>
    </w:p>
    <w:p>
      <w:pPr>
        <w:spacing w:after="0" w:line="143" w:lineRule="exact"/>
        <w:rPr>
          <w:rFonts w:ascii="Times New Roman" w:cs="Times New Roman" w:eastAsia="Times New Roman" w:hAnsi="Times New Roman"/>
          <w:sz w:val="21"/>
          <w:szCs w:val="21"/>
          <w:color w:val="auto"/>
        </w:rPr>
      </w:pPr>
    </w:p>
    <w:p>
      <w:pPr>
        <w:jc w:val="both"/>
        <w:ind w:firstLine="1280"/>
        <w:spacing w:after="0" w:line="222" w:lineRule="auto"/>
        <w:tabs>
          <w:tab w:leader="none" w:pos="191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Release Agreement</w:t>
      </w:r>
      <w:r>
        <w:rPr>
          <w:rFonts w:ascii="Times New Roman" w:cs="Times New Roman" w:eastAsia="Times New Roman" w:hAnsi="Times New Roman"/>
          <w:sz w:val="21"/>
          <w:szCs w:val="21"/>
          <w:color w:val="auto"/>
        </w:rPr>
        <w:t>. As a condition to receiving the Severance Benefits under this Plan, each Eligible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will be required to sign and not revoke a separation and release of claims agreement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In all cases, the Release must become effective and irrevocable no later than the sixtieth (60th) day following the Eligible Employee’s Involuntary Termination, Qualified Retirement or Grandfathered Retirement (the “</w:t>
      </w:r>
      <w:r>
        <w:rPr>
          <w:rFonts w:ascii="Times New Roman" w:cs="Times New Roman" w:eastAsia="Times New Roman" w:hAnsi="Times New Roman"/>
          <w:sz w:val="21"/>
          <w:szCs w:val="21"/>
          <w:b w:val="1"/>
          <w:bCs w:val="1"/>
          <w:color w:val="auto"/>
        </w:rPr>
        <w:t>Release Deadline Date</w:t>
      </w:r>
      <w:r>
        <w:rPr>
          <w:rFonts w:ascii="Times New Roman" w:cs="Times New Roman" w:eastAsia="Times New Roman" w:hAnsi="Times New Roman"/>
          <w:sz w:val="21"/>
          <w:szCs w:val="21"/>
          <w:color w:val="auto"/>
        </w:rPr>
        <w:t>”). If the Release does not become effective and irrevocable by the Release Deadline Date, the Eligible Employee will forfeit any right to the Severance Benefits. In no event will the Severance Benefits be paid or provided until the Release becomes effective and irrevocable.</w:t>
      </w:r>
    </w:p>
    <w:p>
      <w:pPr>
        <w:spacing w:after="0" w:line="145" w:lineRule="exact"/>
        <w:rPr>
          <w:rFonts w:ascii="Times New Roman" w:cs="Times New Roman" w:eastAsia="Times New Roman" w:hAnsi="Times New Roman"/>
          <w:sz w:val="21"/>
          <w:szCs w:val="21"/>
          <w:color w:val="auto"/>
        </w:rPr>
      </w:pPr>
    </w:p>
    <w:p>
      <w:pPr>
        <w:jc w:val="both"/>
        <w:ind w:firstLine="1280"/>
        <w:spacing w:after="0" w:line="224" w:lineRule="auto"/>
        <w:tabs>
          <w:tab w:leader="none" w:pos="191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Non-Solicitation</w:t>
      </w:r>
      <w:r>
        <w:rPr>
          <w:rFonts w:ascii="Times New Roman" w:cs="Times New Roman" w:eastAsia="Times New Roman" w:hAnsi="Times New Roman"/>
          <w:sz w:val="21"/>
          <w:szCs w:val="21"/>
          <w:color w:val="auto"/>
        </w:rPr>
        <w:t>. Except in the event of an Eligible Employee’s Qualified Retirement or Grandfathered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Retirement, a condition of receiving the Severance Benefits under the Plan, and in order to protect Confidential Information, each Eligible Employee will not, either directly or indirectly, during the Severance Term solicit, induce, recruit, or encourage any of the Company’s employees to leave their employment, or attempt to solicit, induce, recruit, encourage, or take away the Company employees.</w:t>
      </w:r>
    </w:p>
    <w:p>
      <w:pPr>
        <w:spacing w:after="0" w:line="146" w:lineRule="exact"/>
        <w:rPr>
          <w:rFonts w:ascii="Times New Roman" w:cs="Times New Roman" w:eastAsia="Times New Roman" w:hAnsi="Times New Roman"/>
          <w:sz w:val="21"/>
          <w:szCs w:val="21"/>
          <w:color w:val="auto"/>
        </w:rPr>
      </w:pPr>
    </w:p>
    <w:p>
      <w:pPr>
        <w:jc w:val="both"/>
        <w:ind w:firstLine="1916"/>
        <w:spacing w:after="0" w:line="219" w:lineRule="auto"/>
        <w:tabs>
          <w:tab w:leader="none" w:pos="2547"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Severability</w:t>
      </w:r>
      <w:r>
        <w:rPr>
          <w:rFonts w:ascii="Times New Roman" w:cs="Times New Roman" w:eastAsia="Times New Roman" w:hAnsi="Times New Roman"/>
          <w:sz w:val="21"/>
          <w:szCs w:val="21"/>
          <w:color w:val="auto"/>
        </w:rPr>
        <w:t>. The covenants contained in Section 8.2 shall be construed as a series of separate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covenants, one for each city, county and state of any geographic area in the Territory. Except for geographic coverage, each such separate covenant shall be deemed identical in terms to the covenant contained in subsection 8.2 above. If, in any judicial or arbitration proceeding, a court or arbitrator refuses to enforce any of such separate covenants (or any part thereof), then such unenforceable covenant (or such part) shall be eliminated from this agreement to the extent necessary to permit the remaining separate covenants (or portions thereof) to be enforced. In the event the provisions of subsection 8.2 above are deemed to exceed the time, geographic, or scope limitations permitted by applicable law, then such provisions shall be reformed by the court or arbitrator to cover the maximum time, geographic, or scope limitations, as the case may be, then permitted by such law.</w:t>
      </w:r>
    </w:p>
    <w:p>
      <w:pPr>
        <w:spacing w:after="0" w:line="147" w:lineRule="exact"/>
        <w:rPr>
          <w:rFonts w:ascii="Times New Roman" w:cs="Times New Roman" w:eastAsia="Times New Roman" w:hAnsi="Times New Roman"/>
          <w:sz w:val="21"/>
          <w:szCs w:val="21"/>
          <w:color w:val="auto"/>
        </w:rPr>
      </w:pPr>
    </w:p>
    <w:p>
      <w:pPr>
        <w:jc w:val="both"/>
        <w:ind w:firstLine="1916"/>
        <w:spacing w:after="0" w:line="222" w:lineRule="auto"/>
        <w:tabs>
          <w:tab w:leader="none" w:pos="2547"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Reasonableness</w:t>
      </w:r>
      <w:r>
        <w:rPr>
          <w:rFonts w:ascii="Times New Roman" w:cs="Times New Roman" w:eastAsia="Times New Roman" w:hAnsi="Times New Roman"/>
          <w:sz w:val="21"/>
          <w:szCs w:val="21"/>
          <w:color w:val="auto"/>
        </w:rPr>
        <w:t>. The nature of the Company’s business is such that if Eligible Employee were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become employed by, or substantially involved in, the business of a competitor to the Company, it would be difficult not to rely on or use Confidential Information. Therefore, Eligible Employee enters into this Agreement to reduce the likelihood of disclosure of Confidential Information, as well as to protect the value and goodwill of the Company. Eligible Employee acknowledges that the limitations of time, geography, and scope of activity agreed to above are reasonable because, among other things, (a) the Company is engaged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in a highly competitive industry, (b) Eligible Employee will have access to Confidential Information, including, but not limited to, the Company’s trade secrets, know-how, plans, and strategy (and, in particular, the competitive strategy of the Company), (c) in the event Eligible Employee’s employment with the Company ends, Eligible Employee will be able to obtain suitable and satisfactory employment in Eligible Employee’s chosen profession without violating this Agreement, and (d) these limitations are necessary to protect Confidential Information and the goodwill of the Company.</w:t>
      </w:r>
    </w:p>
    <w:p>
      <w:pPr>
        <w:spacing w:after="0" w:line="148" w:lineRule="exact"/>
        <w:rPr>
          <w:sz w:val="20"/>
          <w:szCs w:val="20"/>
          <w:color w:val="auto"/>
        </w:rPr>
      </w:pPr>
    </w:p>
    <w:p>
      <w:pPr>
        <w:jc w:val="both"/>
        <w:ind w:firstLine="1280"/>
        <w:spacing w:after="0" w:line="224" w:lineRule="auto"/>
        <w:tabs>
          <w:tab w:leader="none" w:pos="191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Non-Disparagement. </w:t>
      </w:r>
      <w:r>
        <w:rPr>
          <w:rFonts w:ascii="Times New Roman" w:cs="Times New Roman" w:eastAsia="Times New Roman" w:hAnsi="Times New Roman"/>
          <w:sz w:val="21"/>
          <w:szCs w:val="21"/>
          <w:color w:val="auto"/>
        </w:rPr>
        <w:t>During the Severance Term, except in the event of Qualified Retirement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Grandfathered Retirement, Eligible Employee agrees to refrain from any disparagement, defamation, libel, or slander of the Company, and agrees to refrain from any tortious interference with the contracts and relationships of the Company. For the avoidance of doubt, reports to, or responses to inquiries by, auditors, the Company’s Board of Directors, the audit committee, or any government agency, as long as such reports or responses are truthful, shall not constitute disparagement.</w:t>
      </w:r>
    </w:p>
    <w:p>
      <w:pPr>
        <w:spacing w:after="0" w:line="146" w:lineRule="exact"/>
        <w:rPr>
          <w:rFonts w:ascii="Times New Roman" w:cs="Times New Roman" w:eastAsia="Times New Roman" w:hAnsi="Times New Roman"/>
          <w:sz w:val="21"/>
          <w:szCs w:val="21"/>
          <w:color w:val="auto"/>
        </w:rPr>
      </w:pPr>
    </w:p>
    <w:p>
      <w:pPr>
        <w:jc w:val="both"/>
        <w:ind w:firstLine="1280"/>
        <w:spacing w:after="0" w:line="222" w:lineRule="auto"/>
        <w:tabs>
          <w:tab w:leader="none" w:pos="191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Requirements</w:t>
      </w:r>
      <w:r>
        <w:rPr>
          <w:rFonts w:ascii="Times New Roman" w:cs="Times New Roman" w:eastAsia="Times New Roman" w:hAnsi="Times New Roman"/>
          <w:sz w:val="21"/>
          <w:szCs w:val="21"/>
          <w:color w:val="auto"/>
        </w:rPr>
        <w:t>. An Eligible Employee’s receipt of Severance Benefits will be subject to the Eligible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continuing to comply with the provisions of this Section 8 and the terms of any confidentiality, proprietary information and inventions agreement with the Company, including any non-competition and non-solicitation covenants contained therein (which are additional obligations, and not replaced by the provisions of this Section 8), and such other appropriate agreements between the Eligible Employee and the Company. Severance Benefits under this Plan will terminate immediately for an Eligible Employee if the Eligible Employee, at any time, violates any such agreement and/or the provisions of this Section 8.</w:t>
      </w:r>
    </w:p>
    <w:p>
      <w:pPr>
        <w:spacing w:after="0" w:line="145" w:lineRule="exact"/>
        <w:rPr>
          <w:rFonts w:ascii="Times New Roman" w:cs="Times New Roman" w:eastAsia="Times New Roman" w:hAnsi="Times New Roman"/>
          <w:sz w:val="21"/>
          <w:szCs w:val="21"/>
          <w:color w:val="auto"/>
        </w:rPr>
      </w:pPr>
    </w:p>
    <w:p>
      <w:pPr>
        <w:jc w:val="both"/>
        <w:ind w:firstLine="1280"/>
        <w:spacing w:after="0" w:line="229" w:lineRule="auto"/>
        <w:tabs>
          <w:tab w:leader="none" w:pos="191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Whistleblower Protection</w:t>
      </w:r>
      <w:r>
        <w:rPr>
          <w:rFonts w:ascii="Times New Roman" w:cs="Times New Roman" w:eastAsia="Times New Roman" w:hAnsi="Times New Roman"/>
          <w:sz w:val="21"/>
          <w:szCs w:val="21"/>
          <w:color w:val="auto"/>
        </w:rPr>
        <w:t>. Notwithstanding anything to the contrary in this Plan or in any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under Section 8, pursuant to 18 U.S.C. § 1833(b), the Eligible Employee understands that the Eligible Employee will not be held criminally or civilly liable under any Federal or State trade secret law for the disclosure of a trade secret of the Company that (i) is made (A) in confidence to a Federal, State, or local government official, either directly or indirectly, or to the Eligible Employee’s attorney and (B) solely for the purpose of reporting and investigating a suspected violation of law; or (ii) is made in a complaint or other document that is filed under seal in a lawsuit or other proceeding. The Eligible Employee understands that if the Eligible Employee files a lawsuit for retaliation by the Company for reporting a suspected violation of law, the Eligible Employee may disclose the trade secret to the Eligible Employee’s attorney and use the trade secret information in the court proceeding if the Eligible Employee (x) files any document containing the trade secret under seal, and (y) does not disclose the trade secret, except pursuant to court order. Nothing in this Plan, any Release contemplated under Section 8, or any other agreement that the Eligible Employee has with the Company is intended to conflict with 18 U.S.C. § 1833(b) or create liability for disclosures of trade secrets that are expressly allowed by such section. Further, nothing in this Plan, any Release contemplated under Section 8 or any other agreement that the Eligible Employee has with the Company shall prohibit or restrict the Eligible Employee from making any voluntary disclosure of information or documents concerning possible violations of law to, or seek a whistleblower award from, any governmental agency or legislative body, or any self-regulatory organization, in each case, without advance notice to the Company.</w:t>
      </w:r>
    </w:p>
    <w:p>
      <w:pPr>
        <w:spacing w:after="0" w:line="151" w:lineRule="exact"/>
        <w:rPr>
          <w:rFonts w:ascii="Times New Roman" w:cs="Times New Roman" w:eastAsia="Times New Roman" w:hAnsi="Times New Roman"/>
          <w:sz w:val="21"/>
          <w:szCs w:val="21"/>
          <w:color w:val="auto"/>
        </w:rPr>
      </w:pPr>
    </w:p>
    <w:p>
      <w:pPr>
        <w:jc w:val="both"/>
        <w:ind w:firstLine="643"/>
        <w:spacing w:after="0" w:line="224" w:lineRule="auto"/>
        <w:tabs>
          <w:tab w:leader="none" w:pos="127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Timing of Severance Benefits</w:t>
      </w:r>
      <w:r>
        <w:rPr>
          <w:rFonts w:ascii="Times New Roman" w:cs="Times New Roman" w:eastAsia="Times New Roman" w:hAnsi="Times New Roman"/>
          <w:sz w:val="21"/>
          <w:szCs w:val="21"/>
          <w:color w:val="auto"/>
        </w:rPr>
        <w:t>. Provided that the Release becomes effective and irrevocable by the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Deadline Date and subject to Section 11, the severance payments and benefits under this Plan will be paid, or in the case of installments, will commence, on the Release Deadline Date (such payment date, the “</w:t>
      </w:r>
      <w:r>
        <w:rPr>
          <w:rFonts w:ascii="Times New Roman" w:cs="Times New Roman" w:eastAsia="Times New Roman" w:hAnsi="Times New Roman"/>
          <w:sz w:val="21"/>
          <w:szCs w:val="21"/>
          <w:b w:val="1"/>
          <w:bCs w:val="1"/>
          <w:color w:val="auto"/>
        </w:rPr>
        <w:t>Severance Start Date</w:t>
      </w:r>
      <w:r>
        <w:rPr>
          <w:rFonts w:ascii="Times New Roman" w:cs="Times New Roman" w:eastAsia="Times New Roman" w:hAnsi="Times New Roman"/>
          <w:sz w:val="21"/>
          <w:szCs w:val="21"/>
          <w:color w:val="auto"/>
        </w:rPr>
        <w:t>”), and any severance payments or benefits otherwise payable to the Eligible Employee during the period immediately following the Eligible Employee’s termination of employment with the Company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Severance Start Date will be paid in a lump sum to the Eligible Employee on the Severance Start Date, with any remaining payments to be made as provided in this Plan.</w:t>
      </w:r>
    </w:p>
    <w:p>
      <w:pPr>
        <w:spacing w:after="0" w:line="138" w:lineRule="exact"/>
        <w:rPr>
          <w:sz w:val="20"/>
          <w:szCs w:val="20"/>
          <w:color w:val="auto"/>
        </w:rPr>
      </w:pPr>
    </w:p>
    <w:p>
      <w:pPr>
        <w:jc w:val="both"/>
        <w:ind w:firstLine="643"/>
        <w:spacing w:after="0" w:line="218" w:lineRule="auto"/>
        <w:tabs>
          <w:tab w:leader="none" w:pos="127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Non-Duplication of Benefits; Survival of Other Benefits</w:t>
      </w:r>
      <w:r>
        <w:rPr>
          <w:rFonts w:ascii="Times New Roman" w:cs="Times New Roman" w:eastAsia="Times New Roman" w:hAnsi="Times New Roman"/>
          <w:sz w:val="21"/>
          <w:szCs w:val="21"/>
          <w:color w:val="auto"/>
        </w:rPr>
        <w:t>. Notwithstanding any other provision in the Plan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if the Eligible Employee is entitled to any severance, change in control, retirement or similar benefits outside of the Plan by operation of applicable law or under another Company-sponsored plan, policy, contract, or arrangement, his or her benefits under the Plan will be reduced by the value of the severance, change in control or similar benefits that the Eligible Employee receives by operation of applicable law or under any Company-sponsored plan, policy, contract, or arrangement, all as determined by the Administrator in its discretion. Subject to the foregoing, this Plan is not intended to amend, modify, terminate, or supersede any severance, change in control or similar benefits provided under any contract with any Eligible Employee, and to the extent any such contract offers severance, change in control or similar benefits that are more advantageous to the Eligible Employee than the terms hereof, such Eligible Employee shall continue to be entitled to such benefits.</w:t>
      </w:r>
    </w:p>
    <w:p>
      <w:pPr>
        <w:spacing w:after="0" w:line="148"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80"/>
        <w:spacing w:after="0" w:line="220" w:lineRule="auto"/>
        <w:tabs>
          <w:tab w:leader="none" w:pos="191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Plan, no severance payments or benefits to be paid or provided to an Eligible Employee, if any, under this Plan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(together, the “</w:t>
      </w:r>
      <w:r>
        <w:rPr>
          <w:rFonts w:ascii="Times New Roman" w:cs="Times New Roman" w:eastAsia="Times New Roman" w:hAnsi="Times New Roman"/>
          <w:sz w:val="21"/>
          <w:szCs w:val="21"/>
          <w:b w:val="1"/>
          <w:bCs w:val="1"/>
          <w:color w:val="auto"/>
        </w:rPr>
        <w:t>Deferred Payments</w:t>
      </w:r>
      <w:r>
        <w:rPr>
          <w:rFonts w:ascii="Times New Roman" w:cs="Times New Roman" w:eastAsia="Times New Roman" w:hAnsi="Times New Roman"/>
          <w:sz w:val="21"/>
          <w:szCs w:val="21"/>
          <w:color w:val="auto"/>
        </w:rPr>
        <w:t>”) will be paid or provided until the Eligible Employee has a “separation from service” within the meaning of Section 409A. Similarly, no severance payable to an Eligible Employee, if any, under this Plan that otherwise would be exempt from Section 409A pursuant to Treasury Regulation Section 1.409A-1(b) (9) will be payable until the Eligible Employee has a “separation from service” within the meaning of Section 409A.</w:t>
      </w:r>
    </w:p>
    <w:p>
      <w:pPr>
        <w:spacing w:after="0" w:line="148" w:lineRule="exact"/>
        <w:rPr>
          <w:rFonts w:ascii="Times New Roman" w:cs="Times New Roman" w:eastAsia="Times New Roman" w:hAnsi="Times New Roman"/>
          <w:sz w:val="21"/>
          <w:szCs w:val="21"/>
          <w:color w:val="auto"/>
        </w:rPr>
      </w:pPr>
    </w:p>
    <w:p>
      <w:pPr>
        <w:jc w:val="both"/>
        <w:ind w:firstLine="1280"/>
        <w:spacing w:after="0" w:line="227" w:lineRule="auto"/>
        <w:tabs>
          <w:tab w:leader="none" w:pos="191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intended that none of the severance payments or benefits under this Plan will constitute Deferred Payments but rather will be exempt from Section 409A as a payment that would fall within the “short-term deferral period” as described in Section 11.4 below or resulting from an involuntary separation from service as described in Section 11.5 below. In no event will an Eligible Employee have discretion to determine the taxable year of payment of any Deferred Payment.</w:t>
      </w:r>
    </w:p>
    <w:p>
      <w:pPr>
        <w:spacing w:after="0" w:line="147" w:lineRule="exact"/>
        <w:rPr>
          <w:rFonts w:ascii="Times New Roman" w:cs="Times New Roman" w:eastAsia="Times New Roman" w:hAnsi="Times New Roman"/>
          <w:sz w:val="21"/>
          <w:szCs w:val="21"/>
          <w:color w:val="auto"/>
        </w:rPr>
      </w:pPr>
    </w:p>
    <w:p>
      <w:pPr>
        <w:jc w:val="both"/>
        <w:ind w:firstLine="1280"/>
        <w:spacing w:after="0" w:line="216" w:lineRule="auto"/>
        <w:tabs>
          <w:tab w:leader="none" w:pos="191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Plan, if an Eligible Employee is a “specified employee” within the meaning of Section 409A at the time of the Eligible Employee’s separation from service (other than due to death), then the Deferred Payments, if any, that are payable within the first six (6) months following the Eligible Employee’s separation from service, will become payable on the date six (6) months and one (1) day following the date of the Eligible Employee’s separation from service. All subsequent Deferred Payments, if any, will be payable in accordance with the payment schedule applicable to each payment or benefit. Notwithstanding anything herein to the contrary, in the event of the Eligible Employee’s death following the Eligible Employee’s separation from service, but before the six (6) month anniversary of the separation from service, then any payments delayed in accordance with this paragraph will be payable in a lump sum as soon as administratively practicable after the date of the Eligible Employee’s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5" w:lineRule="exact"/>
        <w:rPr>
          <w:sz w:val="20"/>
          <w:szCs w:val="20"/>
          <w:color w:val="auto"/>
        </w:rPr>
      </w:pPr>
    </w:p>
    <w:p>
      <w:pPr>
        <w:ind w:firstLine="1280"/>
        <w:spacing w:after="0" w:line="246" w:lineRule="auto"/>
        <w:tabs>
          <w:tab w:leader="none" w:pos="191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Plan that satisfies the requirements of the “short-term deferral” rule set forth in Section 1.409A-1(b)(4) of the Treasury Regulations will not constitute Deferred Payments for purposes of Section 11.1 above.</w:t>
      </w:r>
    </w:p>
    <w:p>
      <w:pPr>
        <w:spacing w:after="0" w:line="141" w:lineRule="exact"/>
        <w:rPr>
          <w:rFonts w:ascii="Times New Roman" w:cs="Times New Roman" w:eastAsia="Times New Roman" w:hAnsi="Times New Roman"/>
          <w:sz w:val="21"/>
          <w:szCs w:val="21"/>
          <w:color w:val="auto"/>
        </w:rPr>
      </w:pPr>
    </w:p>
    <w:p>
      <w:pPr>
        <w:jc w:val="both"/>
        <w:ind w:firstLine="1280"/>
        <w:spacing w:after="0" w:line="232" w:lineRule="auto"/>
        <w:tabs>
          <w:tab w:leader="none" w:pos="191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11.1 above.</w:t>
      </w:r>
    </w:p>
    <w:p>
      <w:pPr>
        <w:spacing w:after="0" w:line="148" w:lineRule="exact"/>
        <w:rPr>
          <w:rFonts w:ascii="Times New Roman" w:cs="Times New Roman" w:eastAsia="Times New Roman" w:hAnsi="Times New Roman"/>
          <w:sz w:val="21"/>
          <w:szCs w:val="21"/>
          <w:color w:val="auto"/>
        </w:rPr>
      </w:pPr>
    </w:p>
    <w:p>
      <w:pPr>
        <w:jc w:val="both"/>
        <w:ind w:firstLine="1280"/>
        <w:spacing w:after="0" w:line="219" w:lineRule="auto"/>
        <w:tabs>
          <w:tab w:leader="none" w:pos="191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14, 16 and 17, the Company reserves the right to amend the Plan as it deems necessary or advisable, in its sole discretion and without the consent of the Eligible Employees, to comply with Section 409A or to avoid income recognition under Section 409A prior to the actual payment of benefits under the Plan or imposition of any additional tax. In no event will the Company reimburse an Eligible Employee for any taxes that may be imposed on the Eligible Employee as a result of Section 409A.</w:t>
      </w:r>
    </w:p>
    <w:p>
      <w:pPr>
        <w:spacing w:after="0" w:line="143" w:lineRule="exact"/>
        <w:rPr>
          <w:rFonts w:ascii="Times New Roman" w:cs="Times New Roman" w:eastAsia="Times New Roman" w:hAnsi="Times New Roman"/>
          <w:sz w:val="21"/>
          <w:szCs w:val="21"/>
          <w:color w:val="auto"/>
        </w:rPr>
      </w:pPr>
    </w:p>
    <w:p>
      <w:pPr>
        <w:ind w:firstLine="643"/>
        <w:spacing w:after="0" w:line="250" w:lineRule="auto"/>
        <w:tabs>
          <w:tab w:leader="none" w:pos="12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Withholdings</w:t>
      </w:r>
      <w:r>
        <w:rPr>
          <w:rFonts w:ascii="Times New Roman" w:cs="Times New Roman" w:eastAsia="Times New Roman" w:hAnsi="Times New Roman"/>
          <w:sz w:val="21"/>
          <w:szCs w:val="21"/>
          <w:color w:val="auto"/>
        </w:rPr>
        <w:t>. The Company will withhold from any payments or benefits under the Plan all applicable 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state, local and non-U.S. taxes required to be withheld and any other required payroll deductions.</w:t>
      </w:r>
    </w:p>
    <w:p>
      <w:pPr>
        <w:spacing w:after="0" w:line="133" w:lineRule="exact"/>
        <w:rPr>
          <w:rFonts w:ascii="Times New Roman" w:cs="Times New Roman" w:eastAsia="Times New Roman" w:hAnsi="Times New Roman"/>
          <w:sz w:val="21"/>
          <w:szCs w:val="21"/>
          <w:color w:val="auto"/>
        </w:rPr>
      </w:pPr>
    </w:p>
    <w:p>
      <w:pPr>
        <w:jc w:val="both"/>
        <w:ind w:firstLine="643"/>
        <w:spacing w:after="0" w:line="217" w:lineRule="auto"/>
        <w:tabs>
          <w:tab w:leader="none" w:pos="12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The Company is the administrator of the Plan (within the meaning of Section 3(16)(A) of ERISA).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will be administered and interpreted by the Administrator (in his or her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provided, however, that any Plan amendment or termination or any other action that reasonably could be expected to increase materially the cost of the Plan must be approved by the Board.</w:t>
      </w:r>
    </w:p>
    <w:p>
      <w:pPr>
        <w:spacing w:after="0" w:line="151" w:lineRule="exact"/>
        <w:rPr>
          <w:rFonts w:ascii="Times New Roman" w:cs="Times New Roman" w:eastAsia="Times New Roman" w:hAnsi="Times New Roman"/>
          <w:sz w:val="21"/>
          <w:szCs w:val="21"/>
          <w:color w:val="auto"/>
        </w:rPr>
      </w:pPr>
    </w:p>
    <w:p>
      <w:pPr>
        <w:jc w:val="both"/>
        <w:ind w:firstLine="643"/>
        <w:spacing w:after="0"/>
        <w:tabs>
          <w:tab w:leader="none" w:pos="12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Eligibility to Participate</w:t>
      </w:r>
      <w:r>
        <w:rPr>
          <w:rFonts w:ascii="Times New Roman" w:cs="Times New Roman" w:eastAsia="Times New Roman" w:hAnsi="Times New Roman"/>
          <w:sz w:val="21"/>
          <w:szCs w:val="21"/>
          <w:color w:val="auto"/>
        </w:rPr>
        <w:t>. To the extent that the Administrator has delegated administrative authority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responsibility to one or more officers of the Company in accordance with Sections 2.1 and 13,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278" w:lineRule="exact"/>
        <w:rPr>
          <w:rFonts w:ascii="Times New Roman" w:cs="Times New Roman" w:eastAsia="Times New Roman" w:hAnsi="Times New Roman"/>
          <w:sz w:val="21"/>
          <w:szCs w:val="21"/>
          <w:color w:val="auto"/>
        </w:rPr>
      </w:pPr>
    </w:p>
    <w:p>
      <w:pPr>
        <w:jc w:val="both"/>
        <w:ind w:firstLine="643"/>
        <w:spacing w:after="0" w:line="233" w:lineRule="auto"/>
        <w:tabs>
          <w:tab w:leader="none" w:pos="12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The Plan is the second amendment and restatement of the Autodesk, Inc. Severance Plan, originally adopted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August 27, 2018, and first amended and restated on March 25, 2021. The Plan will become effective upon the Effective Date and will terminate automatically upon the completion of all payments (if any) under the terms of the Plan.</w:t>
      </w:r>
    </w:p>
    <w:p>
      <w:pPr>
        <w:spacing w:after="0" w:line="145" w:lineRule="exact"/>
        <w:rPr>
          <w:rFonts w:ascii="Times New Roman" w:cs="Times New Roman" w:eastAsia="Times New Roman" w:hAnsi="Times New Roman"/>
          <w:sz w:val="21"/>
          <w:szCs w:val="21"/>
          <w:color w:val="auto"/>
        </w:rPr>
      </w:pPr>
    </w:p>
    <w:p>
      <w:pPr>
        <w:ind w:right="20" w:firstLine="643"/>
        <w:spacing w:after="0" w:line="250" w:lineRule="auto"/>
        <w:tabs>
          <w:tab w:leader="none" w:pos="12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 or Termination</w:t>
      </w:r>
      <w:r>
        <w:rPr>
          <w:rFonts w:ascii="Times New Roman" w:cs="Times New Roman" w:eastAsia="Times New Roman" w:hAnsi="Times New Roman"/>
          <w:sz w:val="21"/>
          <w:szCs w:val="21"/>
          <w:color w:val="auto"/>
        </w:rPr>
        <w:t>. The Company, by action of the Administrator, reserves the right to amend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 the Plan at any time, without advance notice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Eligible Employee and without regard to the effect of the amendment or termination on any Eligible Employee or on any other individual. Any amendment or termination of the Plan will be in writing. Notwithstanding the foregoing, the Company may not, without an Eligible Employee’s written consent, amend or terminate the Plan in any way, nor take any other action, that (i) prevents that Eligible Employee from becoming eligible for the Severance Benefits under the Plan, or (ii) reduces or alters to the detriment of the Eligible Employee the Severance Benefits payable, or potentially payable, to an Eligible Employee under the Plan (including, without limitation, imposing additional conditions). Any action of the Company in amending or terminating the Plan will be taken in a non-fiduciary capacity.</w:t>
      </w:r>
    </w:p>
    <w:p>
      <w:pPr>
        <w:spacing w:after="0" w:line="144" w:lineRule="exact"/>
        <w:rPr>
          <w:sz w:val="20"/>
          <w:szCs w:val="20"/>
          <w:color w:val="auto"/>
        </w:rPr>
      </w:pPr>
    </w:p>
    <w:p>
      <w:pPr>
        <w:ind w:left="1280" w:hanging="637"/>
        <w:spacing w:after="0"/>
        <w:tabs>
          <w:tab w:leader="none" w:pos="12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Claims and Appeals</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jc w:val="both"/>
        <w:ind w:firstLine="1280"/>
        <w:spacing w:after="0" w:line="217" w:lineRule="auto"/>
        <w:tabs>
          <w:tab w:leader="none" w:pos="191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Claims Procedure</w:t>
      </w:r>
      <w:r>
        <w:rPr>
          <w:rFonts w:ascii="Times New Roman" w:cs="Times New Roman" w:eastAsia="Times New Roman" w:hAnsi="Times New Roman"/>
          <w:sz w:val="21"/>
          <w:szCs w:val="21"/>
          <w:color w:val="auto"/>
        </w:rPr>
        <w:t>. Any employee or other person who believes he or she is entitled to any payment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must submit a claim in writing to the Administrator, according to details provided in Section 28, within ninety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ninety (90) days after the claim is received. If special circumstances require an extension of time (up to ninety (90) days), written notice of the extension will be given within the initial ninety (90) day period. This notice of extension will indicate the special circumstances requiring the extension of time and the date by which the Administrator expects to render its decision on the claim. If written notice of denial of the application for benefits is not furnished within the specified time, the application shall be deemed to be denied.</w:t>
      </w:r>
    </w:p>
    <w:p>
      <w:pPr>
        <w:spacing w:after="0" w:line="145" w:lineRule="exact"/>
        <w:rPr>
          <w:rFonts w:ascii="Times New Roman" w:cs="Times New Roman" w:eastAsia="Times New Roman" w:hAnsi="Times New Roman"/>
          <w:sz w:val="21"/>
          <w:szCs w:val="21"/>
          <w:color w:val="auto"/>
        </w:rPr>
      </w:pPr>
    </w:p>
    <w:p>
      <w:pPr>
        <w:jc w:val="both"/>
        <w:ind w:firstLine="1280"/>
        <w:spacing w:after="0" w:line="215" w:lineRule="auto"/>
        <w:tabs>
          <w:tab w:leader="none" w:pos="191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Appeal Procedure</w:t>
      </w:r>
      <w:r>
        <w:rPr>
          <w:rFonts w:ascii="Times New Roman" w:cs="Times New Roman" w:eastAsia="Times New Roman" w:hAnsi="Times New Roman"/>
          <w:sz w:val="21"/>
          <w:szCs w:val="21"/>
          <w:color w:val="auto"/>
        </w:rPr>
        <w:t>. If the claimant’s claim is denied (or deemed denied), the claimant (or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representative) may apply in writing to the Administrator, according to details provided in Section 28, for a review of the decision denying the claim. Review must be requested within sixty (60) days following the date the claimant received the written notice of their claim denial (or within sixty (60) days after the application is deemed denied)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sixty (60) days after it receives a review request. If additional time (up to sixty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will also include a statement that the claimant will be provided, upon request and free of charge, reasonable access to, and copies of, all documents and other information relevant to the claim and a statement regarding the claimant’s right to bring a civil action under Section 502(a) of ERISA. If written notice of the Administrator’s decision is not given to the applicant within the time prescribed in this Section 17.2 the application will be deemed denied on review.</w:t>
      </w:r>
    </w:p>
    <w:p>
      <w:pPr>
        <w:spacing w:after="0" w:line="151" w:lineRule="exact"/>
        <w:rPr>
          <w:rFonts w:ascii="Times New Roman" w:cs="Times New Roman" w:eastAsia="Times New Roman" w:hAnsi="Times New Roman"/>
          <w:sz w:val="21"/>
          <w:szCs w:val="21"/>
          <w:color w:val="auto"/>
        </w:rPr>
      </w:pPr>
    </w:p>
    <w:p>
      <w:pPr>
        <w:jc w:val="both"/>
        <w:ind w:firstLine="1280"/>
        <w:spacing w:after="0" w:line="228" w:lineRule="auto"/>
        <w:tabs>
          <w:tab w:leader="none" w:pos="191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Rules and Procedures</w:t>
      </w:r>
      <w:r>
        <w:rPr>
          <w:rFonts w:ascii="Times New Roman" w:cs="Times New Roman" w:eastAsia="Times New Roman" w:hAnsi="Times New Roman"/>
          <w:sz w:val="21"/>
          <w:szCs w:val="21"/>
          <w:color w:val="auto"/>
        </w:rPr>
        <w:t>. The Administrator may establish rules and procedures, consistent with the Plan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ERISA, as necessary and appropriate in carrying out his or her responsibilities in reviewing benefit claims. The Administrator may require an applicant who wishes to submit additional information in connection with an appeal from the denial (or deemed denial) of benefits to do so at the applicant’s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1" w:lineRule="exact"/>
        <w:rPr>
          <w:sz w:val="20"/>
          <w:szCs w:val="20"/>
          <w:color w:val="auto"/>
        </w:rPr>
      </w:pPr>
    </w:p>
    <w:p>
      <w:pPr>
        <w:jc w:val="both"/>
        <w:ind w:firstLine="1280"/>
        <w:spacing w:after="0"/>
        <w:tabs>
          <w:tab w:leader="none" w:pos="191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Exhaustion of Remedies</w:t>
      </w:r>
      <w:r>
        <w:rPr>
          <w:rFonts w:ascii="Times New Roman" w:cs="Times New Roman" w:eastAsia="Times New Roman" w:hAnsi="Times New Roman"/>
          <w:sz w:val="21"/>
          <w:szCs w:val="21"/>
          <w:color w:val="auto"/>
        </w:rPr>
        <w:t>. No legal action for benefits under the Plan may be brought until the claimant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submitted a written application for benefits in accordance with the procedures described above, (b) has been notified by the Administrator that the application is denied (or the application is deemed denied due to the Administrator’s failure to act on it within the established time period), (c) has filed a written request for a review of the application in accordance with the appeal procedure described above and (d) has been notified in writing that the Administrator has denied the appeal (or the appeal is deemed to be denied due to the Administrator’s failure to take any action on the claim within the time prescribed by Section 17.2 above).</w:t>
      </w:r>
    </w:p>
    <w:p>
      <w:pPr>
        <w:spacing w:after="0" w:line="249"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ERISA</w:t>
      </w:r>
    </w:p>
    <w:p>
      <w:pPr>
        <w:spacing w:after="0" w:line="187" w:lineRule="exact"/>
        <w:rPr>
          <w:rFonts w:ascii="Times New Roman" w:cs="Times New Roman" w:eastAsia="Times New Roman" w:hAnsi="Times New Roman"/>
          <w:sz w:val="21"/>
          <w:szCs w:val="21"/>
          <w:color w:val="auto"/>
        </w:rPr>
      </w:pPr>
    </w:p>
    <w:p>
      <w:pPr>
        <w:jc w:val="both"/>
        <w:ind w:firstLine="1280"/>
        <w:spacing w:after="0" w:line="217" w:lineRule="auto"/>
        <w:tabs>
          <w:tab w:leader="none" w:pos="191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 The Plan is also intended to constitute an “unfunded welfare plan” maintained by the Company “for the purpose of providing benefits for a select group of management or highly compensated employees” such that it will be, among other things, exempt from the reporting and disclosure requirements of Part 1 of Title I of ERISA. In the event that the Plan does not meet the requirements of a “severance pay arrangements” or an “unfunded welfare plan”, as described above, the Plan is intended to be “a plan which is unfunded and maintained by an employer primarily for the purpose of providing deferred compensation for a select group of management or highly compensated employees”, within the meaning of Sections 201(2), 301(a)(3) and 401(a)(1) of ERISA.</w:t>
      </w:r>
    </w:p>
    <w:p>
      <w:pPr>
        <w:spacing w:after="0" w:line="146"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document serves as both the Plan’s plan document and the summary plan description for all purposes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ERISA.</w:t>
      </w:r>
    </w:p>
    <w:p>
      <w:pPr>
        <w:spacing w:after="0" w:line="155" w:lineRule="exact"/>
        <w:rPr>
          <w:rFonts w:ascii="Times New Roman" w:cs="Times New Roman" w:eastAsia="Times New Roman" w:hAnsi="Times New Roman"/>
          <w:sz w:val="21"/>
          <w:szCs w:val="21"/>
          <w:color w:val="auto"/>
        </w:rPr>
      </w:pPr>
    </w:p>
    <w:p>
      <w:pPr>
        <w:jc w:val="both"/>
        <w:ind w:firstLine="643"/>
        <w:spacing w:after="0" w:line="217" w:lineRule="auto"/>
        <w:tabs>
          <w:tab w:leader="none" w:pos="127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Attorneys’ Fees</w:t>
      </w:r>
      <w:r>
        <w:rPr>
          <w:rFonts w:ascii="Times New Roman" w:cs="Times New Roman" w:eastAsia="Times New Roman" w:hAnsi="Times New Roman"/>
          <w:sz w:val="21"/>
          <w:szCs w:val="21"/>
          <w:color w:val="auto"/>
        </w:rPr>
        <w:t>. The parties shall each bear their own expenses, legal fees and other fees incurred in connection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this Plan. Provided, however, in the event that an Eligible Employee is required to incur attorneys’ fees in order to obtain any payments or benefits under this Plan, and provided that such expenses are reasonable and that the Eligible Employee prevails on at least one material issue related to his or her claim(s) under the Plan, then the Company will reimburse the attorneys’ fees incurred by the Eligible Employee. The reimbursements will be made in accordance with the Company’s normal reimbursement policies following final adjudication of the Eligible Employee’s claims, provided however, that (a) the reimbursements are payable only during the Eligible Employee’s lifetime, (b) the reimbursements will be made on or before the last day of the Eligible Employee’s taxable year following the taxable year in which the expenses were incurred, (c) the right to reimbursement, if any, is not subject to liquidation or exchange for another benefit, and (d) the amount of expenses eligible for reimbursement during an Eligible Employee’s taxable year will not affect the expenses eligible for reimbursement to be provided in any other taxable year.</w:t>
      </w:r>
    </w:p>
    <w:p>
      <w:pPr>
        <w:spacing w:after="0" w:line="151" w:lineRule="exact"/>
        <w:rPr>
          <w:rFonts w:ascii="Times New Roman" w:cs="Times New Roman" w:eastAsia="Times New Roman" w:hAnsi="Times New Roman"/>
          <w:sz w:val="21"/>
          <w:szCs w:val="21"/>
          <w:color w:val="auto"/>
        </w:rPr>
      </w:pPr>
    </w:p>
    <w:p>
      <w:pPr>
        <w:jc w:val="both"/>
        <w:ind w:firstLine="643"/>
        <w:spacing w:after="0" w:line="228" w:lineRule="auto"/>
        <w:tabs>
          <w:tab w:leader="none" w:pos="127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Source of Payments</w:t>
      </w:r>
      <w:r>
        <w:rPr>
          <w:rFonts w:ascii="Times New Roman" w:cs="Times New Roman" w:eastAsia="Times New Roman" w:hAnsi="Times New Roman"/>
          <w:sz w:val="21"/>
          <w:szCs w:val="21"/>
          <w:color w:val="auto"/>
        </w:rPr>
        <w:t>. All Severance Benefits, other than Equity Award acceleration, will be paid in cash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43" w:lineRule="exact"/>
        <w:rPr>
          <w:rFonts w:ascii="Times New Roman" w:cs="Times New Roman" w:eastAsia="Times New Roman" w:hAnsi="Times New Roman"/>
          <w:sz w:val="21"/>
          <w:szCs w:val="21"/>
          <w:color w:val="auto"/>
        </w:rPr>
      </w:pPr>
    </w:p>
    <w:p>
      <w:pPr>
        <w:ind w:firstLine="643"/>
        <w:spacing w:after="0" w:line="250" w:lineRule="auto"/>
        <w:tabs>
          <w:tab w:leader="none" w:pos="127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Inalienability</w:t>
      </w:r>
      <w:r>
        <w:rPr>
          <w:rFonts w:ascii="Times New Roman" w:cs="Times New Roman" w:eastAsia="Times New Roman" w:hAnsi="Times New Roman"/>
          <w:sz w:val="21"/>
          <w:szCs w:val="21"/>
          <w:color w:val="auto"/>
        </w:rPr>
        <w:t>. In no event may any current or former employee of the Company or any of its subsidiaries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sell, transfer, anticipate, assign or otherwise dispose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right or interest under the Plan. At no time will any such right or interest be subject to the claims of creditors nor liable to attachment, execution or other legal process.</w:t>
      </w:r>
    </w:p>
    <w:p>
      <w:pPr>
        <w:spacing w:after="0" w:line="138" w:lineRule="exact"/>
        <w:rPr>
          <w:sz w:val="20"/>
          <w:szCs w:val="20"/>
          <w:color w:val="auto"/>
        </w:rPr>
      </w:pPr>
    </w:p>
    <w:p>
      <w:pPr>
        <w:jc w:val="both"/>
        <w:ind w:firstLine="643"/>
        <w:spacing w:after="0" w:line="224"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Enlargement of Employment Rights</w:t>
      </w:r>
      <w:r>
        <w:rPr>
          <w:rFonts w:ascii="Times New Roman" w:cs="Times New Roman" w:eastAsia="Times New Roman" w:hAnsi="Times New Roman"/>
          <w:sz w:val="21"/>
          <w:szCs w:val="21"/>
          <w:color w:val="auto"/>
        </w:rPr>
        <w:t>. Neither the establishment or maintenance or amendment of the Plan, nor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an Eligible Employee may be entitled to benefits under the Plan depending upon the circumstances of his or her termination of employment.</w:t>
      </w:r>
    </w:p>
    <w:p>
      <w:pPr>
        <w:spacing w:after="0" w:line="146" w:lineRule="exact"/>
        <w:rPr>
          <w:rFonts w:ascii="Times New Roman" w:cs="Times New Roman" w:eastAsia="Times New Roman" w:hAnsi="Times New Roman"/>
          <w:sz w:val="21"/>
          <w:szCs w:val="21"/>
          <w:color w:val="auto"/>
        </w:rPr>
      </w:pPr>
    </w:p>
    <w:p>
      <w:pPr>
        <w:jc w:val="both"/>
        <w:ind w:firstLine="643"/>
        <w:spacing w:after="0" w:line="222"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w:t>
      </w:r>
      <w:r>
        <w:rPr>
          <w:rFonts w:ascii="Times New Roman" w:cs="Times New Roman" w:eastAsia="Times New Roman" w:hAnsi="Times New Roman"/>
          <w:sz w:val="21"/>
          <w:szCs w:val="21"/>
          <w:color w:val="auto"/>
        </w:rPr>
        <w:t>. Any successor to the Company of all or substantially all of the Company’s business and/or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45" w:lineRule="exact"/>
        <w:rPr>
          <w:rFonts w:ascii="Times New Roman" w:cs="Times New Roman" w:eastAsia="Times New Roman" w:hAnsi="Times New Roman"/>
          <w:sz w:val="21"/>
          <w:szCs w:val="21"/>
          <w:color w:val="auto"/>
        </w:rPr>
      </w:pPr>
    </w:p>
    <w:p>
      <w:pPr>
        <w:jc w:val="both"/>
        <w:ind w:firstLine="643"/>
        <w:spacing w:after="0" w:line="233"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The provisions of the Plan will be construed, administered and enforced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ERISA and, to the extent not preempted by ERISA, the laws of the State of Delaware and any action brought under the Plan will be brought in the State of Delaware (but not its conflict of laws provisions).</w:t>
      </w:r>
    </w:p>
    <w:p>
      <w:pPr>
        <w:spacing w:after="0" w:line="145" w:lineRule="exact"/>
        <w:rPr>
          <w:rFonts w:ascii="Times New Roman" w:cs="Times New Roman" w:eastAsia="Times New Roman" w:hAnsi="Times New Roman"/>
          <w:sz w:val="21"/>
          <w:szCs w:val="21"/>
          <w:color w:val="auto"/>
        </w:rPr>
      </w:pPr>
    </w:p>
    <w:p>
      <w:pPr>
        <w:ind w:firstLine="643"/>
        <w:spacing w:after="0" w:line="250"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the Plan is held invalid or unenforceable, its invalidity or unenforceability will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affect any other provision of the Plan, and the Plan will be construed and enforced as if such provision had not been included.</w:t>
      </w:r>
    </w:p>
    <w:p>
      <w:pPr>
        <w:spacing w:after="0" w:line="133" w:lineRule="exact"/>
        <w:rPr>
          <w:rFonts w:ascii="Times New Roman" w:cs="Times New Roman" w:eastAsia="Times New Roman" w:hAnsi="Times New Roman"/>
          <w:sz w:val="21"/>
          <w:szCs w:val="21"/>
          <w:color w:val="auto"/>
        </w:rPr>
      </w:pPr>
    </w:p>
    <w:p>
      <w:pPr>
        <w:ind w:firstLine="643"/>
        <w:spacing w:after="0" w:line="250"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Headings in this Plan document are for purposes of reference only and will not limit or otherwise affect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meaning hereof.</w:t>
      </w:r>
    </w:p>
    <w:p>
      <w:pPr>
        <w:spacing w:after="0" w:line="133" w:lineRule="exact"/>
        <w:rPr>
          <w:rFonts w:ascii="Times New Roman" w:cs="Times New Roman" w:eastAsia="Times New Roman" w:hAnsi="Times New Roman"/>
          <w:sz w:val="21"/>
          <w:szCs w:val="21"/>
          <w:color w:val="auto"/>
        </w:rPr>
      </w:pPr>
    </w:p>
    <w:p>
      <w:pPr>
        <w:jc w:val="both"/>
        <w:ind w:firstLine="643"/>
        <w:spacing w:after="0" w:line="222" w:lineRule="auto"/>
        <w:tabs>
          <w:tab w:leader="none" w:pos="127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 The Company hereby agrees to indemnify and hold harmless the officers and employees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145"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Additional Information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Plan Name: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Autodesk Severance Plan</w:t>
      </w:r>
    </w:p>
    <w:p>
      <w:pPr>
        <w:spacing w:after="0" w:line="200" w:lineRule="exact"/>
        <w:rPr>
          <w:sz w:val="20"/>
          <w:szCs w:val="20"/>
          <w:color w:val="auto"/>
        </w:rPr>
      </w:pPr>
    </w:p>
    <w:p>
      <w:pPr>
        <w:sectPr>
          <w:pgSz w:w="11900" w:h="16838" w:orient="portrait"/>
          <w:cols w:equalWidth="0" w:num="2">
            <w:col w:w="3780" w:space="720"/>
            <w:col w:w="6740"/>
          </w:cols>
          <w:pgMar w:left="320" w:top="1440" w:right="339" w:bottom="1440" w:gutter="0" w:footer="0" w:header="0"/>
          <w:type w:val="continuous"/>
        </w:sectPr>
      </w:pP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Plan Sponsor: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Autodesk, Inc.</w:t>
      </w:r>
    </w:p>
    <w:p>
      <w:pPr>
        <w:spacing w:after="0" w:line="36" w:lineRule="exact"/>
        <w:rPr>
          <w:sz w:val="20"/>
          <w:szCs w:val="20"/>
          <w:color w:val="auto"/>
        </w:rPr>
      </w:pPr>
    </w:p>
    <w:p>
      <w:pPr>
        <w:sectPr>
          <w:pgSz w:w="11900" w:h="16838" w:orient="portrait"/>
          <w:cols w:equalWidth="0" w:num="2">
            <w:col w:w="3780" w:space="720"/>
            <w:col w:w="6740"/>
          </w:cols>
          <w:pgMar w:left="320" w:top="1440" w:right="339"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21"/>
          <w:szCs w:val="21"/>
          <w:color w:val="auto"/>
        </w:rPr>
        <w:t>c/o Chief Legal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The Landmark</w:t>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One Market St, Suite 400</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San Francisco, CA 94105</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ind w:left="80"/>
        <w:spacing w:after="0"/>
        <w:rPr>
          <w:sz w:val="20"/>
          <w:szCs w:val="20"/>
          <w:color w:val="auto"/>
        </w:rPr>
      </w:pPr>
      <w:r>
        <w:rPr>
          <w:rFonts w:ascii="Times New Roman" w:cs="Times New Roman" w:eastAsia="Times New Roman" w:hAnsi="Times New Roman"/>
          <w:sz w:val="21"/>
          <w:szCs w:val="21"/>
          <w:b w:val="1"/>
          <w:bCs w:val="1"/>
          <w:color w:val="auto"/>
        </w:rPr>
        <w:t>Identification Numbers:</w:t>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Plan Year:</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Agent for Service of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Type of Plan:</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Plan Costs:</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Source of Contributions:</w:t>
      </w:r>
    </w:p>
    <w:p>
      <w:pPr>
        <w:spacing w:after="0" w:line="200" w:lineRule="exact"/>
        <w:rPr>
          <w:sz w:val="20"/>
          <w:szCs w:val="20"/>
          <w:color w:val="auto"/>
        </w:rPr>
      </w:pPr>
    </w:p>
    <w:p>
      <w:pPr>
        <w:spacing w:after="0" w:line="315" w:lineRule="exact"/>
        <w:rPr>
          <w:sz w:val="20"/>
          <w:szCs w:val="20"/>
          <w:color w:val="auto"/>
        </w:rPr>
      </w:pPr>
    </w:p>
    <w:p>
      <w:pPr>
        <w:ind w:left="1280" w:hanging="637"/>
        <w:spacing w:after="0"/>
        <w:tabs>
          <w:tab w:leader="none" w:pos="12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Statement of ERISA Rights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EIN</w:t>
      </w:r>
      <w:r>
        <w:rPr>
          <w:rFonts w:ascii="Times New Roman" w:cs="Times New Roman" w:eastAsia="Times New Roman" w:hAnsi="Times New Roman"/>
          <w:sz w:val="21"/>
          <w:szCs w:val="21"/>
          <w:color w:val="auto"/>
        </w:rPr>
        <w:t>: 94-281985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fiscal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Autodesk,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Administrator of the Autodesk,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Severance Plan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Landmark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Market St, Suite 400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Francisco, CA 94105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Autodesk,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Chief Legal Officer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Landmark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Market St, Suite 400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Francisco, CA 94105</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Severance Plan/Employee Welfare Benefit Plan and Top-Hat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cost of the Plan is paid by the Employer.</w:t>
      </w:r>
    </w:p>
    <w:p>
      <w:pPr>
        <w:spacing w:after="0" w:line="2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color w:val="auto"/>
        </w:rPr>
        <w:t>The plan is unfunded and the Company pays for the cost of coverage out of its general assets.</w:t>
      </w:r>
    </w:p>
    <w:p>
      <w:pPr>
        <w:spacing w:after="0" w:line="698" w:lineRule="exact"/>
        <w:rPr>
          <w:sz w:val="20"/>
          <w:szCs w:val="20"/>
          <w:color w:val="auto"/>
        </w:rPr>
      </w:pPr>
    </w:p>
    <w:p>
      <w:pPr>
        <w:sectPr>
          <w:pgSz w:w="11900" w:h="16838" w:orient="portrait"/>
          <w:cols w:equalWidth="0" w:num="2">
            <w:col w:w="3820" w:space="680"/>
            <w:col w:w="6740"/>
          </w:cols>
          <w:pgMar w:left="320" w:top="1421" w:right="339" w:bottom="1440" w:gutter="0" w:footer="0" w:header="0"/>
        </w:sectPr>
      </w:pPr>
    </w:p>
    <w:p>
      <w:pPr>
        <w:spacing w:after="0" w:line="14" w:lineRule="exact"/>
        <w:rPr>
          <w:sz w:val="20"/>
          <w:szCs w:val="20"/>
          <w:color w:val="auto"/>
        </w:rPr>
      </w:pPr>
    </w:p>
    <w:p>
      <w:pPr>
        <w:ind w:firstLine="637"/>
        <w:spacing w:after="0" w:line="285" w:lineRule="auto"/>
        <w:rPr>
          <w:sz w:val="20"/>
          <w:szCs w:val="20"/>
          <w:color w:val="auto"/>
        </w:rPr>
      </w:pPr>
      <w:r>
        <w:rPr>
          <w:rFonts w:ascii="Times New Roman" w:cs="Times New Roman" w:eastAsia="Times New Roman" w:hAnsi="Times New Roman"/>
          <w:sz w:val="21"/>
          <w:szCs w:val="21"/>
          <w:color w:val="auto"/>
        </w:rPr>
        <w:t>As an Eligible Employee under the Plan, you have certain rights and protections under ERISA. ERISA provides that all Plan participants will be entitled to: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Receive Information About Your Plan and Benefits</w:t>
      </w:r>
    </w:p>
    <w:p>
      <w:pPr>
        <w:spacing w:after="0" w:line="196" w:lineRule="exact"/>
        <w:rPr>
          <w:sz w:val="20"/>
          <w:szCs w:val="20"/>
          <w:color w:val="auto"/>
        </w:rPr>
      </w:pPr>
    </w:p>
    <w:p>
      <w:pPr>
        <w:jc w:val="both"/>
        <w:ind w:firstLine="1916"/>
        <w:spacing w:after="0" w:line="232" w:lineRule="auto"/>
        <w:tabs>
          <w:tab w:leader="none" w:pos="254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examine (without charge) all Plan documents, including any amendments and copies of all documents filed with the U.S. Department of Labor. These documents are available for your review in the Company’s Human Resources Department.</w:t>
      </w:r>
    </w:p>
    <w:p>
      <w:pPr>
        <w:spacing w:after="0" w:line="148" w:lineRule="exact"/>
        <w:rPr>
          <w:rFonts w:ascii="Times New Roman" w:cs="Times New Roman" w:eastAsia="Times New Roman" w:hAnsi="Times New Roman"/>
          <w:sz w:val="21"/>
          <w:szCs w:val="21"/>
          <w:color w:val="auto"/>
        </w:rPr>
      </w:pPr>
    </w:p>
    <w:p>
      <w:pPr>
        <w:ind w:firstLine="1916"/>
        <w:spacing w:after="0" w:line="246" w:lineRule="auto"/>
        <w:tabs>
          <w:tab w:leader="none" w:pos="254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obtain copies of all Plan documents and other Plan information upon written request to the Administrator. A reasonable charge may be made for such copies.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Prudent Actions by Plan Fiduciaries</w:t>
      </w:r>
    </w:p>
    <w:p>
      <w:pPr>
        <w:spacing w:after="0" w:line="223"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21"/>
          <w:szCs w:val="21"/>
          <w:color w:val="auto"/>
        </w:rPr>
        <w:t>In addition to creating rights for Eligible Employees, ERISA imposes duties upon the people who are responsible for the operation of the Plan. The people who operate the Plan (called “fiduciaries”) have a duty to do so prudently and in the interests of you and the other Eligible</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21" w:right="339" w:bottom="1440" w:gutter="0" w:footer="0" w:header="0"/>
          <w:type w:val="continuous"/>
        </w:sectPr>
      </w:pPr>
    </w:p>
    <w:bookmarkStart w:id="130" w:name="page131"/>
    <w:bookmarkEnd w:id="130"/>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Employees. No one, including the Company or any other person, may fire you or otherwise discriminate against you in any way to prevent you from obtaining a benefit under the Plan or exercising your rights under ERISA.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Enforce Your Rights</w:t>
      </w:r>
    </w:p>
    <w:p>
      <w:pPr>
        <w:spacing w:after="0" w:line="236" w:lineRule="exact"/>
        <w:rPr>
          <w:sz w:val="20"/>
          <w:szCs w:val="20"/>
          <w:color w:val="auto"/>
        </w:rPr>
      </w:pPr>
    </w:p>
    <w:p>
      <w:pPr>
        <w:jc w:val="both"/>
        <w:ind w:firstLine="637"/>
        <w:spacing w:after="0" w:line="285" w:lineRule="auto"/>
        <w:rPr>
          <w:sz w:val="20"/>
          <w:szCs w:val="20"/>
          <w:color w:val="auto"/>
        </w:rPr>
      </w:pPr>
      <w:r>
        <w:rPr>
          <w:rFonts w:ascii="Times New Roman" w:cs="Times New Roman" w:eastAsia="Times New Roman" w:hAnsi="Times New Roman"/>
          <w:sz w:val="21"/>
          <w:szCs w:val="21"/>
          <w:color w:val="auto"/>
        </w:rPr>
        <w:t>If your claim for a severance benefit is denied, in whole or in part, you have a right to know why this was done, to obtain copies of documents relating to the decision without charge, and to appeal any denial, all within certain time schedules.</w:t>
      </w:r>
    </w:p>
    <w:p>
      <w:pPr>
        <w:spacing w:after="0" w:line="143" w:lineRule="exact"/>
        <w:rPr>
          <w:sz w:val="20"/>
          <w:szCs w:val="20"/>
          <w:color w:val="auto"/>
        </w:rPr>
      </w:pPr>
    </w:p>
    <w:p>
      <w:pPr>
        <w:jc w:val="both"/>
        <w:ind w:firstLine="637"/>
        <w:spacing w:after="0" w:line="256" w:lineRule="auto"/>
        <w:rPr>
          <w:sz w:val="20"/>
          <w:szCs w:val="20"/>
          <w:color w:val="auto"/>
        </w:rPr>
      </w:pPr>
      <w:r>
        <w:rPr>
          <w:rFonts w:ascii="Times New Roman" w:cs="Times New Roman" w:eastAsia="Times New Roman" w:hAnsi="Times New Roman"/>
          <w:sz w:val="21"/>
          <w:szCs w:val="21"/>
          <w:color w:val="auto"/>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for benefits which is denied or ignored, in whole or in part, you may file suit in a federal court. In addition, if you disagree with the Plan’s decision or lack thereof concerning the qualified status of a domestic relations order or a medical child support order, you may file suit in a Federal court. If it should happen that the Plan fiduciaries misuse the Plan’s money or if you are discriminated against for asserting your rights, you may seek assistance from the U.S. Department of Labor, or you may file suit in a federal court.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Assistance with Your Questions</w:t>
      </w:r>
    </w:p>
    <w:p>
      <w:pPr>
        <w:spacing w:after="0" w:line="223"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21"/>
          <w:szCs w:val="21"/>
          <w:color w:val="auto"/>
        </w:rPr>
        <w:t>If you have any questions regarding the Plan, please contact the Administrator. If you have any questions about this statement or about your rights under ERISA, or if you need assistance in obtaining documents from the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AUTODESK, INC.</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January 31, 2026</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2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ADSK Ireland Limited</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ADSK Norway 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ADSK Norway Holdings 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(China) Software Research and Development Co.,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(EMEA) Sárl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AB</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ApS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Asia Pte.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Australia Pty.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Australia Holding Pty.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B.V.</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Canada Co.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Colombia, S.A.S.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d.o.o.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Croatia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de Argentina S.A.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de Costa Rica, S.R.L.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 Rica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de Mexico, S.A. de C.V.</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de Venezuela, S.A.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Venezuela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Development S.á.r.l.</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Direct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do Brasil Ltda</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doo Novi Sad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Serbia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Far East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Finance Holdings Limited (Ireland)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Finland Oy</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France S.A.S.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Ges.mbH</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Global, Inc.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Global Holdings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GmbH</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Hungary Kft.</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India Private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India Store Private Limited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International Holding Co.</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Ireland Operations Unlimited Company</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Israel Ltd.</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32"/>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Autodesk Korea Limited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r>
      <w:tr>
        <w:trPr>
          <w:trHeight w:val="849"/>
        </w:trPr>
        <w:tc>
          <w:tcPr>
            <w:tcW w:w="5100" w:type="dxa"/>
            <w:vAlign w:val="bottom"/>
          </w:tcPr>
          <w:p>
            <w:pPr>
              <w:spacing w:after="0"/>
              <w:rPr>
                <w:sz w:val="24"/>
                <w:szCs w:val="24"/>
                <w:color w:val="auto"/>
              </w:rPr>
            </w:pPr>
          </w:p>
        </w:tc>
        <w:tc>
          <w:tcPr>
            <w:tcW w:w="2320" w:type="dxa"/>
            <w:vAlign w:val="bottom"/>
          </w:tcPr>
          <w:p>
            <w:pPr>
              <w:jc w:val="right"/>
              <w:ind w:right="169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ectPr>
          <w:pgSz w:w="11900" w:h="16838" w:orient="portrait"/>
          <w:cols w:equalWidth="0" w:num="1">
            <w:col w:w="11220"/>
          </w:cols>
          <w:pgMar w:left="340" w:top="8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Autodesk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Ltd. Japan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Autodesk Netherlands Holdings B.V.</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Norway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Norway Operations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Portugal, Unipessoal Lda.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S.r.l.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S.R.L.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Autodesk Software (China) Co.,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Sp. Z o.o.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spol. s.r.o.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Taiwan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Taiwan, Republic of China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ectPr>
          <w:pgSz w:w="11900" w:h="16838" w:orient="portrait"/>
          <w:cols w:equalWidth="0" w:num="2">
            <w:col w:w="6820" w:space="720"/>
            <w:col w:w="2559"/>
          </w:cols>
          <w:pgMar w:left="360" w:top="1010" w:right="1440"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Autodesk Yazilim Hizmetleri Ticaret Limited Sirketi</w:t>
      </w:r>
    </w:p>
    <w:p>
      <w:pPr>
        <w:sectPr>
          <w:pgSz w:w="11900" w:h="16838" w:orient="portrait"/>
          <w:cols w:equalWidth="0" w:num="1">
            <w:col w:w="10099"/>
          </w:cols>
          <w:pgMar w:left="360" w:top="1010" w:right="1440" w:bottom="1440"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18"/>
          <w:szCs w:val="18"/>
          <w:color w:val="auto"/>
        </w:rPr>
        <w:t>(Autodesk Limited Sirketi)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S.A.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Autodesk Inc Jordan PSC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Datum360 Holdco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Datum360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Datum360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Delcam Australia Pty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Delcam Consulting and Technology Services Limited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Delcam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Delcam Software (India) Private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Flexsim Software Products,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Graitec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 Business Solutions,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Innovyze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Innovyze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Innovyze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Moxion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Navasto GmbH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Payapps.com (UK)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Payapps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Payapps (NZ)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Payapps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PlanGrid Australia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PlanGrid,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ProEst,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Solid Angle S.L.U.</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Storm Australia Holdco Pty.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Webcontractor Holdings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Webcontractor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Turkey</w:t>
      </w: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 (U.S.)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0" w:lineRule="exact"/>
        <w:rPr>
          <w:sz w:val="20"/>
          <w:szCs w:val="20"/>
          <w:color w:val="auto"/>
        </w:rPr>
      </w:pPr>
    </w:p>
    <w:p>
      <w:pPr>
        <w:sectPr>
          <w:pgSz w:w="11900" w:h="16838" w:orient="portrait"/>
          <w:cols w:equalWidth="0" w:num="2">
            <w:col w:w="6820" w:space="720"/>
            <w:col w:w="2559"/>
          </w:cols>
          <w:pgMar w:left="360" w:top="101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099"/>
          </w:cols>
          <w:pgMar w:left="360" w:top="1010"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Wild Technology,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X2X,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XP Software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00" w:lineRule="exact"/>
        <w:rPr>
          <w:sz w:val="20"/>
          <w:szCs w:val="20"/>
          <w:color w:val="auto"/>
        </w:rPr>
      </w:pPr>
    </w:p>
    <w:p>
      <w:pPr>
        <w:sectPr>
          <w:pgSz w:w="11900" w:h="16838" w:orient="portrait"/>
          <w:cols w:equalWidth="0" w:num="2">
            <w:col w:w="6820" w:space="720"/>
            <w:col w:w="2559"/>
          </w:cols>
          <w:pgMar w:left="360" w:top="1010"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099"/>
          </w:cols>
          <w:pgMar w:left="360" w:top="1010" w:right="1440"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333-289990</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2022 Equity Incentive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S-3ASR</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333-287650</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Senior Debt Securities</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333-265742</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2022 Equity Incentive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333-229346</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BuildingConnected, Inc. 2013 Stock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333-228934</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PlanGrid 2012 Equity Incentive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333-223861</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2012 Employee Stock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333-213701</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333-205038</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 and Autodesk, Inc. 2012 Employee Stock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333-194463</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 and Autodesk, Inc. 2012 Employee Stock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333-187338</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w:t>
            </w:r>
          </w:p>
        </w:tc>
      </w:tr>
      <w:tr>
        <w:trPr>
          <w:trHeight w:val="178"/>
        </w:trPr>
        <w:tc>
          <w:tcPr>
            <w:tcW w:w="1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333-179514</w:t>
            </w:r>
          </w:p>
        </w:tc>
        <w:tc>
          <w:tcPr>
            <w:tcW w:w="826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8"/>
                <w:szCs w:val="18"/>
                <w:color w:val="auto"/>
                <w:w w:val="99"/>
              </w:rPr>
              <w:t>Autodesk, Inc. 1998 Employee Qualified Stock Purchase Plan, Autodesk, Inc. 2012 Employee Stock Plan and</w:t>
            </w:r>
          </w:p>
        </w:tc>
      </w:tr>
      <w:tr>
        <w:trPr>
          <w:trHeight w:val="232"/>
        </w:trPr>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2012 Outside Directors' Stock Plan</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333-172936</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w:t>
            </w:r>
          </w:p>
        </w:tc>
      </w:tr>
      <w:tr>
        <w:trPr>
          <w:trHeight w:val="178"/>
        </w:trPr>
        <w:tc>
          <w:tcPr>
            <w:tcW w:w="1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333-165561</w:t>
            </w:r>
          </w:p>
        </w:tc>
        <w:tc>
          <w:tcPr>
            <w:tcW w:w="826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8"/>
                <w:szCs w:val="18"/>
                <w:color w:val="auto"/>
                <w:w w:val="97"/>
              </w:rPr>
              <w:t>Autodesk, Inc. 1998 Employee Qualified Stock Purchase Plan and Autodesk, Inc. 2010 Outside Directors' Stock</w:t>
            </w:r>
          </w:p>
        </w:tc>
      </w:tr>
      <w:tr>
        <w:trPr>
          <w:trHeight w:val="232"/>
        </w:trPr>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c>
          <w:tcPr>
            <w:tcW w:w="7560" w:type="dxa"/>
            <w:vAlign w:val="bottom"/>
          </w:tcPr>
          <w:p>
            <w:pPr>
              <w:spacing w:after="0"/>
              <w:rPr>
                <w:sz w:val="20"/>
                <w:szCs w:val="20"/>
                <w:color w:val="auto"/>
              </w:rPr>
            </w:pP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333-158131</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1998 Employee Qualified Stock Purchase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333-149964</w:t>
            </w: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Autodesk, Inc. 2008 Employee Stock Plan, Autodesk, Inc. 1998 Employee Qualified Stock Purchase Plan</w:t>
            </w:r>
          </w:p>
        </w:tc>
      </w:tr>
      <w:tr>
        <w:trPr>
          <w:trHeight w:val="178"/>
        </w:trPr>
        <w:tc>
          <w:tcPr>
            <w:tcW w:w="1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333-133015</w:t>
            </w:r>
          </w:p>
        </w:tc>
        <w:tc>
          <w:tcPr>
            <w:tcW w:w="826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8"/>
                <w:szCs w:val="18"/>
                <w:color w:val="auto"/>
              </w:rPr>
              <w:t>Autodesk, Inc. 2006 Employee Stock Plan, Autodesk, Inc. 2000 Directors' Option Plan, Autodesk, Inc. 1998</w:t>
            </w:r>
          </w:p>
        </w:tc>
      </w:tr>
      <w:tr>
        <w:trPr>
          <w:trHeight w:val="232"/>
        </w:trPr>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Employee Qualified Stock Purchase Plan, and Alias Systems Holdings Inc. 2004 Stock Option Plan</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333-116203</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and 1998 Employee Qualified Stock Purchase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333-106556</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and 1998 Employee Qualified Stock Purchase Plan</w:t>
            </w:r>
          </w:p>
        </w:tc>
      </w:tr>
      <w:tr>
        <w:trPr>
          <w:trHeight w:val="178"/>
        </w:trPr>
        <w:tc>
          <w:tcPr>
            <w:tcW w:w="1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333-88682</w:t>
            </w:r>
          </w:p>
        </w:tc>
        <w:tc>
          <w:tcPr>
            <w:tcW w:w="826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8"/>
                <w:szCs w:val="18"/>
                <w:color w:val="auto"/>
                <w:w w:val="98"/>
              </w:rPr>
              <w:t>Revit Technology Corporation 1998 Stock Plan, 1996 Stock Plan and 1998 Employee Qualified Stock Purchase</w:t>
            </w:r>
          </w:p>
        </w:tc>
      </w:tr>
      <w:tr>
        <w:trPr>
          <w:trHeight w:val="232"/>
        </w:trPr>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c>
          <w:tcPr>
            <w:tcW w:w="7560" w:type="dxa"/>
            <w:vAlign w:val="bottom"/>
          </w:tcPr>
          <w:p>
            <w:pPr>
              <w:spacing w:after="0"/>
              <w:rPr>
                <w:sz w:val="20"/>
                <w:szCs w:val="20"/>
                <w:color w:val="auto"/>
              </w:rPr>
            </w:pP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333-67974</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1998 Employee Qualified Stock Purchase Plan and Nonstatutory Stock Option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333-45928</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2000 Directors' Option Plan and 1998 Employee Qualified Stock Purchase Plan</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333-81207</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1998 Employee Qualified Stock Purchase Plan and Nonstatutory Stock Option Plan</w:t>
            </w: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333-62655</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1996</w:t>
            </w: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and 1998 Employee Qualified Stock Purchase Plan</w:t>
            </w:r>
          </w:p>
        </w:tc>
      </w:tr>
    </w:tbl>
    <w:p>
      <w:pPr>
        <w:spacing w:after="0" w:line="299"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of our reports dated March 3, 2026, with respect to the consolidated financial statements of Autodesk, Inc., and the effectiveness of internal control over financial reporting of Autodesk, Inc., included in this Annual Report (Form 10-K) of Autodesk, Inc. for the year ended January 31,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RNST</w:t>
      </w:r>
      <w:r>
        <w:rPr>
          <w:rFonts w:ascii="Times New Roman" w:cs="Times New Roman" w:eastAsia="Times New Roman" w:hAnsi="Times New Roman"/>
          <w:sz w:val="18"/>
          <w:szCs w:val="18"/>
          <w:color w:val="auto"/>
        </w:rPr>
        <w:t xml:space="preserve"> &amp; Y</w:t>
      </w:r>
      <w:r>
        <w:rPr>
          <w:rFonts w:ascii="Times New Roman" w:cs="Times New Roman" w:eastAsia="Times New Roman" w:hAnsi="Times New Roman"/>
          <w:sz w:val="14"/>
          <w:szCs w:val="14"/>
          <w:color w:val="auto"/>
        </w:rPr>
        <w:t>OUNG</w:t>
      </w:r>
      <w:r>
        <w:rPr>
          <w:rFonts w:ascii="Times New Roman" w:cs="Times New Roman" w:eastAsia="Times New Roman" w:hAnsi="Times New Roman"/>
          <w:sz w:val="18"/>
          <w:szCs w:val="18"/>
          <w:color w:val="auto"/>
        </w:rPr>
        <w:t xml:space="preserv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ectPr>
          <w:pgSz w:w="11900" w:h="16838" w:orient="portrait"/>
          <w:cols w:equalWidth="0" w:num="1">
            <w:col w:w="11240"/>
          </w:cols>
          <w:pgMar w:left="320" w:top="87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8" w:lineRule="exact"/>
        <w:rPr>
          <w:sz w:val="20"/>
          <w:szCs w:val="20"/>
          <w:color w:val="auto"/>
        </w:rPr>
      </w:pPr>
    </w:p>
    <w:p>
      <w:pPr>
        <w:ind w:left="320" w:hanging="314"/>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Autodesk, Inc.;</w:t>
      </w:r>
    </w:p>
    <w:p>
      <w:pPr>
        <w:spacing w:after="0" w:line="84" w:lineRule="exact"/>
        <w:rPr>
          <w:rFonts w:ascii="Times New Roman" w:cs="Times New Roman" w:eastAsia="Times New Roman" w:hAnsi="Times New Roman"/>
          <w:sz w:val="18"/>
          <w:szCs w:val="18"/>
          <w:color w:val="auto"/>
        </w:rPr>
      </w:pPr>
    </w:p>
    <w:p>
      <w:pPr>
        <w:ind w:left="320" w:right="140" w:hanging="314"/>
        <w:spacing w:after="0" w:line="304" w:lineRule="auto"/>
        <w:tabs>
          <w:tab w:leader="none" w:pos="3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80" w:hanging="314"/>
        <w:spacing w:after="0" w:line="260" w:lineRule="auto"/>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8"/>
          <w:szCs w:val="18"/>
          <w:color w:val="auto"/>
        </w:rPr>
      </w:pPr>
    </w:p>
    <w:p>
      <w:pPr>
        <w:ind w:left="640" w:right="60" w:hanging="316"/>
        <w:spacing w:after="0" w:line="260" w:lineRule="auto"/>
        <w:tabs>
          <w:tab w:leader="none" w:pos="63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left="640" w:right="60" w:hanging="316"/>
        <w:spacing w:after="0" w:line="260" w:lineRule="auto"/>
        <w:tabs>
          <w:tab w:leader="none" w:pos="6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8"/>
          <w:szCs w:val="18"/>
          <w:color w:val="auto"/>
        </w:rPr>
      </w:pPr>
    </w:p>
    <w:p>
      <w:pPr>
        <w:ind w:left="640" w:right="140" w:hanging="316"/>
        <w:spacing w:after="0" w:line="260" w:lineRule="auto"/>
        <w:tabs>
          <w:tab w:leader="none" w:pos="6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640" w:right="200" w:hanging="316"/>
        <w:spacing w:after="0" w:line="274"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960" w:right="160" w:hanging="317"/>
        <w:spacing w:after="0" w:line="274" w:lineRule="auto"/>
        <w:tabs>
          <w:tab w:leader="none" w:pos="95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8"/>
          <w:szCs w:val="18"/>
          <w:color w:val="auto"/>
        </w:rPr>
      </w:pPr>
    </w:p>
    <w:p>
      <w:pPr>
        <w:ind w:left="960" w:right="120" w:hanging="317"/>
        <w:spacing w:after="0" w:line="274" w:lineRule="auto"/>
        <w:tabs>
          <w:tab w:leader="none" w:pos="94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15240</wp:posOffset>
            </wp:positionV>
            <wp:extent cx="3057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1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8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ectPr>
          <w:pgSz w:w="11900" w:h="16838" w:orient="portrait"/>
          <w:cols w:equalWidth="0" w:num="1">
            <w:col w:w="11240"/>
          </w:cols>
          <w:pgMar w:left="320" w:top="120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Janesh Moorjani, certify that:</w:t>
      </w:r>
    </w:p>
    <w:p>
      <w:pPr>
        <w:spacing w:after="0" w:line="98" w:lineRule="exact"/>
        <w:rPr>
          <w:sz w:val="20"/>
          <w:szCs w:val="20"/>
          <w:color w:val="auto"/>
        </w:rPr>
      </w:pPr>
    </w:p>
    <w:p>
      <w:pPr>
        <w:ind w:left="320" w:hanging="314"/>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Autodesk, Inc.;</w:t>
      </w:r>
    </w:p>
    <w:p>
      <w:pPr>
        <w:spacing w:after="0" w:line="84" w:lineRule="exact"/>
        <w:rPr>
          <w:rFonts w:ascii="Times New Roman" w:cs="Times New Roman" w:eastAsia="Times New Roman" w:hAnsi="Times New Roman"/>
          <w:sz w:val="18"/>
          <w:szCs w:val="18"/>
          <w:color w:val="auto"/>
        </w:rPr>
      </w:pPr>
    </w:p>
    <w:p>
      <w:pPr>
        <w:ind w:left="320" w:right="140" w:hanging="314"/>
        <w:spacing w:after="0" w:line="304" w:lineRule="auto"/>
        <w:tabs>
          <w:tab w:leader="none" w:pos="3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80" w:hanging="314"/>
        <w:spacing w:after="0" w:line="260" w:lineRule="auto"/>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8"/>
          <w:szCs w:val="18"/>
          <w:color w:val="auto"/>
        </w:rPr>
      </w:pPr>
    </w:p>
    <w:p>
      <w:pPr>
        <w:ind w:left="640" w:right="60" w:hanging="316"/>
        <w:spacing w:after="0" w:line="260" w:lineRule="auto"/>
        <w:tabs>
          <w:tab w:leader="none" w:pos="6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left="640" w:right="60" w:hanging="316"/>
        <w:spacing w:after="0" w:line="260" w:lineRule="auto"/>
        <w:tabs>
          <w:tab w:leader="none" w:pos="6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8"/>
          <w:szCs w:val="18"/>
          <w:color w:val="auto"/>
        </w:rPr>
      </w:pPr>
    </w:p>
    <w:p>
      <w:pPr>
        <w:ind w:left="640" w:right="140" w:hanging="316"/>
        <w:spacing w:after="0" w:line="260" w:lineRule="auto"/>
        <w:tabs>
          <w:tab w:leader="none" w:pos="6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640" w:right="200" w:hanging="316"/>
        <w:spacing w:after="0" w:line="274"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960" w:right="160" w:hanging="317"/>
        <w:spacing w:after="0" w:line="274" w:lineRule="auto"/>
        <w:tabs>
          <w:tab w:leader="none" w:pos="95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8"/>
          <w:szCs w:val="18"/>
          <w:color w:val="auto"/>
        </w:rPr>
      </w:pPr>
    </w:p>
    <w:p>
      <w:pPr>
        <w:ind w:left="960" w:right="120" w:hanging="317"/>
        <w:spacing w:after="0" w:line="274" w:lineRule="auto"/>
        <w:tabs>
          <w:tab w:leader="none" w:pos="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15240</wp:posOffset>
            </wp:positionV>
            <wp:extent cx="33528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3352800" cy="8255"/>
                    </a:xfrm>
                    <a:prstGeom prst="rect">
                      <a:avLst/>
                    </a:prstGeom>
                    <a:noFill/>
                  </pic:spPr>
                </pic:pic>
              </a:graphicData>
            </a:graphic>
          </wp:anchor>
        </w:drawing>
      </w:r>
    </w:p>
    <w:p>
      <w:pPr>
        <w:spacing w:after="0" w:line="1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1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ectPr>
          <w:pgSz w:w="11900" w:h="16838" w:orient="portrait"/>
          <w:cols w:equalWidth="0" w:num="1">
            <w:col w:w="11240"/>
          </w:cols>
          <w:pgMar w:left="320" w:top="120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2026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0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15240</wp:posOffset>
            </wp:positionV>
            <wp:extent cx="3057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1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8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Based on my knowledge, I, Janesh Moorjani, certify, pursuant to 18 U.S.C. Section 1350, as adopted pursuant to Section 906 of the Sarbanes-Oxley Act of 2002, that the Annual Report of Autodesk, Inc. on Form 10-K for the annual period ended January 31, 2026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10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15240</wp:posOffset>
            </wp:positionV>
            <wp:extent cx="3057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9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12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sectPr>
      <w:pgSz w:w="11900" w:h="16838" w:orient="portrait"/>
      <w:cols w:equalWidth="0" w:num="1">
        <w:col w:w="11240"/>
      </w:cols>
      <w:pgMar w:left="320" w:top="1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1"/>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3"/>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4"/>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6"/>
    </w:lvl>
  </w:abstractNum>
  <w:abstractNum w:abstractNumId="50">
    <w:nsid w:val="7BD3EE7B"/>
    <w:multiLevelType w:val="hybridMultilevel"/>
    <w:lvl w:ilvl="0">
      <w:lvlJc w:val="left"/>
      <w:lvlText w:val="%1."/>
      <w:numFmt w:val="decimal"/>
      <w:start w:val="7"/>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1."/>
      <w:numFmt w:val="decimal"/>
      <w:start w:val="8"/>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2"/>
    </w:lvl>
  </w:abstractNum>
  <w:abstractNum w:abstractNumId="57">
    <w:nsid w:val="8F2B15E"/>
    <w:multiLevelType w:val="hybridMultilevel"/>
    <w:lvl w:ilvl="0">
      <w:lvlJc w:val="left"/>
      <w:lvlText w:val="%1."/>
      <w:numFmt w:val="decimal"/>
      <w:start w:val="13"/>
    </w:lvl>
  </w:abstractNum>
  <w:abstractNum w:abstractNumId="58">
    <w:nsid w:val="1A32234B"/>
    <w:multiLevelType w:val="hybridMultilevel"/>
    <w:lvl w:ilvl="0">
      <w:lvlJc w:val="left"/>
      <w:lvlText w:val="%1."/>
      <w:numFmt w:val="decimal"/>
      <w:start w:val="14"/>
    </w:lvl>
  </w:abstractNum>
  <w:abstractNum w:abstractNumId="59">
    <w:nsid w:val="3B0FD379"/>
    <w:multiLevelType w:val="hybridMultilevel"/>
    <w:lvl w:ilvl="0">
      <w:lvlJc w:val="left"/>
      <w:lvlText w:val="%1."/>
      <w:numFmt w:val="decimal"/>
      <w:start w:val="15"/>
    </w:lvl>
  </w:abstractNum>
  <w:abstractNum w:abstractNumId="60">
    <w:nsid w:val="68EB2F63"/>
    <w:multiLevelType w:val="hybridMultilevel"/>
    <w:lvl w:ilvl="0">
      <w:lvlJc w:val="left"/>
      <w:lvlText w:val="%1."/>
      <w:numFmt w:val="decimal"/>
      <w:start w:val="16"/>
    </w:lvl>
  </w:abstractNum>
  <w:abstractNum w:abstractNumId="61">
    <w:nsid w:val="4962813B"/>
    <w:multiLevelType w:val="hybridMultilevel"/>
    <w:lvl w:ilvl="0">
      <w:lvlJc w:val="left"/>
      <w:lvlText w:val="%1."/>
      <w:numFmt w:val="decimal"/>
      <w:start w:val="17"/>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8"/>
    </w:lvl>
  </w:abstractNum>
  <w:abstractNum w:abstractNumId="64">
    <w:nsid w:val="14330624"/>
    <w:multiLevelType w:val="hybridMultilevel"/>
    <w:lvl w:ilvl="0">
      <w:lvlJc w:val="left"/>
      <w:lvlText w:val="(%1)"/>
      <w:numFmt w:val="lowerRoman"/>
      <w:start w:val="1"/>
    </w:lvl>
  </w:abstractNum>
  <w:abstractNum w:abstractNumId="65">
    <w:nsid w:val="7FFFCA11"/>
    <w:multiLevelType w:val="hybridMultilevel"/>
    <w:lvl w:ilvl="0">
      <w:lvlJc w:val="left"/>
      <w:lvlText w:val="(%1)"/>
      <w:numFmt w:val="lowerLetter"/>
      <w:start w:val="1"/>
    </w:lvl>
    <w:lvl w:ilvl="1">
      <w:lvlJc w:val="left"/>
      <w:lvlText w:val="%2."/>
      <w:numFmt w:val="decimal"/>
      <w:start w:val="1"/>
    </w:lvl>
  </w:abstractNum>
  <w:abstractNum w:abstractNumId="66">
    <w:nsid w:val="1A27709E"/>
    <w:multiLevelType w:val="hybridMultilevel"/>
    <w:lvl w:ilvl="0">
      <w:lvlJc w:val="left"/>
      <w:lvlText w:val="(%1)"/>
      <w:numFmt w:val="lowerLetter"/>
      <w:start w:val="3"/>
    </w:lvl>
  </w:abstractNum>
  <w:abstractNum w:abstractNumId="67">
    <w:nsid w:val="71EA1109"/>
    <w:multiLevelType w:val="hybridMultilevel"/>
    <w:lvl w:ilvl="0">
      <w:lvlJc w:val="left"/>
      <w:lvlText w:val="%1"/>
      <w:numFmt w:val="decimal"/>
      <w:start w:val="104"/>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1">
    <w:nsid w:val="6F6DD9AC"/>
    <w:multiLevelType w:val="hybridMultilevel"/>
    <w:lvl w:ilvl="0">
      <w:lvlJc w:val="left"/>
      <w:lvlText w:val="(%1)"/>
      <w:numFmt w:val="lowerRoman"/>
      <w:start w:val="3"/>
    </w:lvl>
  </w:abstractNum>
  <w:abstractNum w:abstractNumId="72">
    <w:nsid w:val="94211F2"/>
    <w:multiLevelType w:val="hybridMultilevel"/>
    <w:lvl w:ilvl="0">
      <w:lvlJc w:val="left"/>
      <w:lvlText w:val="%1."/>
      <w:numFmt w:val="decimal"/>
      <w:start w:val="5"/>
    </w:lvl>
  </w:abstractNum>
  <w:abstractNum w:abstractNumId="73">
    <w:nsid w:val="885E1B"/>
    <w:multiLevelType w:val="hybridMultilevel"/>
    <w:lvl w:ilvl="0">
      <w:lvlJc w:val="left"/>
      <w:lvlText w:val="%1."/>
      <w:numFmt w:val="decimal"/>
      <w:start w:val="9"/>
    </w:lvl>
    <w:lvl w:ilvl="1">
      <w:lvlJc w:val="left"/>
      <w:lvlText w:val="(%2)"/>
      <w:numFmt w:val="lowerLetter"/>
      <w:start w:val="1"/>
    </w:lvl>
  </w:abstractNum>
  <w:abstractNum w:abstractNumId="74">
    <w:nsid w:val="76272110"/>
    <w:multiLevelType w:val="hybridMultilevel"/>
    <w:lvl w:ilvl="0">
      <w:lvlJc w:val="left"/>
      <w:lvlText w:val="%1."/>
      <w:numFmt w:val="decimal"/>
      <w:start w:val="14"/>
    </w:lvl>
  </w:abstractNum>
  <w:abstractNum w:abstractNumId="75">
    <w:nsid w:val="4C04A8AF"/>
    <w:multiLevelType w:val="hybridMultilevel"/>
    <w:lvl w:ilvl="0">
      <w:lvlJc w:val="left"/>
      <w:lvlText w:val="%1"/>
      <w:numFmt w:val="decimal"/>
      <w:start w:val="1"/>
    </w:lvl>
    <w:lvl w:ilvl="1">
      <w:lvlJc w:val="left"/>
      <w:lvlText w:val="%2."/>
      <w:numFmt w:val="decimal"/>
      <w:start w:val="15"/>
    </w:lvl>
  </w:abstractNum>
  <w:abstractNum w:abstractNumId="76">
    <w:nsid w:val="1716703B"/>
    <w:multiLevelType w:val="hybridMultilevel"/>
    <w:lvl w:ilvl="0">
      <w:lvlJc w:val="left"/>
      <w:lvlText w:val="%1."/>
      <w:numFmt w:val="decimal"/>
      <w:start w:val="3"/>
    </w:lvl>
    <w:lvl w:ilvl="1">
      <w:lvlJc w:val="left"/>
      <w:lvlText w:val="%2."/>
      <w:numFmt w:val="decimal"/>
      <w:start w:val="1"/>
    </w:lvl>
  </w:abstractNum>
  <w:abstractNum w:abstractNumId="77">
    <w:nsid w:val="14E17E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8">
    <w:nsid w:val="3222E7CD"/>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81">
    <w:nsid w:val="2DF6D648"/>
    <w:multiLevelType w:val="hybridMultilevel"/>
    <w:lvl w:ilvl="0">
      <w:lvlJc w:val="left"/>
      <w:lvlText w:val="(%1)"/>
      <w:numFmt w:val="decimal"/>
      <w:start w:val="18"/>
    </w:lvl>
    <w:lvl w:ilvl="1">
      <w:lvlJc w:val="left"/>
      <w:lvlText w:val="%2."/>
      <w:numFmt w:val="decimal"/>
      <w:start w:val="7"/>
    </w:lvl>
    <w:lvl w:ilvl="2">
      <w:lvlJc w:val="left"/>
      <w:lvlText w:val="%3."/>
      <w:numFmt w:val="decimal"/>
    </w:lvl>
    <w:lvl w:ilvl="3">
      <w:lvlJc w:val="left"/>
      <w:lvlText w:val="(%4)"/>
      <w:numFmt w:val="lowerLetter"/>
      <w:start w:val="1"/>
    </w:lvl>
  </w:abstractNum>
  <w:abstractNum w:abstractNumId="82">
    <w:nsid w:val="46B7D447"/>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83">
    <w:nsid w:val="4A2AC315"/>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abstractNum>
  <w:abstractNum w:abstractNumId="84">
    <w:nsid w:val="39EE015C"/>
    <w:multiLevelType w:val="hybridMultilevel"/>
    <w:lvl w:ilvl="0">
      <w:lvlJc w:val="left"/>
      <w:lvlText w:val="%1"/>
      <w:numFmt w:val="decimal"/>
      <w:start w:val="1"/>
    </w:lvl>
    <w:lvl w:ilvl="1">
      <w:lvlJc w:val="left"/>
      <w:lvlText w:val="%2."/>
      <w:numFmt w:val="decimal"/>
      <w:start w:val="3"/>
    </w:lvl>
  </w:abstractNum>
  <w:abstractNum w:abstractNumId="85">
    <w:nsid w:val="57FC4FBB"/>
    <w:multiLevelType w:val="hybridMultilevel"/>
    <w:lvl w:ilvl="0">
      <w:lvlJc w:val="left"/>
      <w:lvlText w:val="%1."/>
      <w:numFmt w:val="decimal"/>
      <w:start w:val="9"/>
    </w:lvl>
    <w:lvl w:ilvl="1">
      <w:lvlJc w:val="left"/>
      <w:lvlText w:val="%2"/>
      <w:numFmt w:val="decimal"/>
      <w:start w:val="1"/>
    </w:lvl>
  </w:abstractNum>
  <w:abstractNum w:abstractNumId="86">
    <w:nsid w:val="CC1016F"/>
    <w:multiLevelType w:val="hybridMultilevel"/>
    <w:lvl w:ilvl="0">
      <w:lvlJc w:val="left"/>
      <w:lvlText w:val="%1."/>
      <w:numFmt w:val="decimal"/>
      <w:start w:val="10"/>
    </w:lvl>
    <w:lvl w:ilvl="1">
      <w:lvlJc w:val="left"/>
      <w:lvlText w:val="%2."/>
      <w:numFmt w:val="decimal"/>
      <w:start w:val="1"/>
    </w:lvl>
  </w:abstractNum>
  <w:abstractNum w:abstractNumId="87">
    <w:nsid w:val="43F18422"/>
    <w:multiLevelType w:val="hybridMultilevel"/>
    <w:lvl w:ilvl="0">
      <w:lvlJc w:val="left"/>
      <w:lvlText w:val="%1"/>
      <w:numFmt w:val="decimal"/>
      <w:start w:val="1"/>
    </w:lvl>
    <w:lvl w:ilvl="1">
      <w:lvlJc w:val="left"/>
      <w:lvlText w:val="%2."/>
      <w:numFmt w:val="decimal"/>
      <w:start w:val="4"/>
    </w:lvl>
  </w:abstractNum>
  <w:abstractNum w:abstractNumId="88">
    <w:nsid w:val="60EF0119"/>
    <w:multiLevelType w:val="hybridMultilevel"/>
    <w:lvl w:ilvl="0">
      <w:lvlJc w:val="left"/>
      <w:lvlText w:val="%1."/>
      <w:numFmt w:val="decimal"/>
      <w:start w:val="12"/>
    </w:lvl>
    <w:lvl w:ilvl="1">
      <w:lvlJc w:val="left"/>
      <w:lvlText w:val="%2"/>
      <w:numFmt w:val="decimal"/>
      <w:start w:val="1"/>
    </w:lvl>
  </w:abstractNum>
  <w:abstractNum w:abstractNumId="89">
    <w:nsid w:val="26F324BA"/>
    <w:multiLevelType w:val="hybridMultilevel"/>
    <w:lvl w:ilvl="0">
      <w:lvlJc w:val="left"/>
      <w:lvlText w:val="%1."/>
      <w:numFmt w:val="decimal"/>
      <w:start w:val="17"/>
    </w:lvl>
    <w:lvl w:ilvl="1">
      <w:lvlJc w:val="left"/>
      <w:lvlText w:val="%2."/>
      <w:numFmt w:val="decimal"/>
      <w:start w:val="1"/>
    </w:lvl>
  </w:abstractNum>
  <w:abstractNum w:abstractNumId="90">
    <w:nsid w:val="7F01579B"/>
    <w:multiLevelType w:val="hybridMultilevel"/>
    <w:lvl w:ilvl="0">
      <w:lvlJc w:val="left"/>
      <w:lvlText w:val="%1"/>
      <w:numFmt w:val="decimal"/>
      <w:start w:val="1"/>
    </w:lvl>
    <w:lvl w:ilvl="1">
      <w:lvlJc w:val="left"/>
      <w:lvlText w:val="%2."/>
      <w:numFmt w:val="decimal"/>
      <w:start w:val="4"/>
    </w:lvl>
  </w:abstractNum>
  <w:abstractNum w:abstractNumId="91">
    <w:nsid w:val="49DA307D"/>
    <w:multiLevelType w:val="hybridMultilevel"/>
    <w:lvl w:ilvl="0">
      <w:lvlJc w:val="left"/>
      <w:lvlText w:val="%1."/>
      <w:numFmt w:val="decimal"/>
      <w:start w:val="18"/>
    </w:lvl>
    <w:lvl w:ilvl="1">
      <w:lvlJc w:val="left"/>
      <w:lvlText w:val="%2."/>
      <w:numFmt w:val="decimal"/>
      <w:start w:val="1"/>
    </w:lvl>
  </w:abstractNum>
  <w:abstractNum w:abstractNumId="92">
    <w:nsid w:val="7055A5F5"/>
    <w:multiLevelType w:val="hybridMultilevel"/>
    <w:lvl w:ilvl="0">
      <w:lvlJc w:val="left"/>
      <w:lvlText w:val="%1."/>
      <w:numFmt w:val="decimal"/>
      <w:start w:val="22"/>
    </w:lvl>
  </w:abstractNum>
  <w:abstractNum w:abstractNumId="93">
    <w:nsid w:val="5FB8370B"/>
    <w:multiLevelType w:val="hybridMultilevel"/>
    <w:lvl w:ilvl="0">
      <w:lvlJc w:val="left"/>
      <w:lvlText w:val="%1."/>
      <w:numFmt w:val="decimal"/>
      <w:start w:val="29"/>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5"/>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52"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24" Type="http://schemas.openxmlformats.org/officeDocument/2006/relationships/hyperlink" Target="https://www.sec.gov/Archives/edgar/data/769397/000121390024062270/ea020958401ex3-1_autodesk.htm" TargetMode="External"/><Relationship Id="rId125" Type="http://schemas.openxmlformats.org/officeDocument/2006/relationships/hyperlink" Target="https://www.sec.gov/Archives/edgar/data/769397/000121390024062270/ea020958401ex3-2_autodesk.htm" TargetMode="External"/><Relationship Id="rId126" Type="http://schemas.openxmlformats.org/officeDocument/2006/relationships/hyperlink" Target="https://www.sec.gov/Archives/edgar/data/769397/000119312512501656/d452709dex41.htm" TargetMode="External"/><Relationship Id="rId127" Type="http://schemas.openxmlformats.org/officeDocument/2006/relationships/hyperlink" Target="https://www.sec.gov/Archives/edgar/data/769397/000119312512501656/d452709dex42.htm" TargetMode="External"/><Relationship Id="rId128" Type="http://schemas.openxmlformats.org/officeDocument/2006/relationships/hyperlink" Target="https://www.sec.gov/Archives/edgar/data/769397/000119312517198513/d399645dex41.htm" TargetMode="External"/><Relationship Id="rId129" Type="http://schemas.openxmlformats.org/officeDocument/2006/relationships/hyperlink" Target="https://www.sec.gov/Archives/edgar/data/769397/000119312520006887/d817406dex41.htm" TargetMode="External"/><Relationship Id="rId130" Type="http://schemas.openxmlformats.org/officeDocument/2006/relationships/hyperlink" Target="https://www.sec.gov/Archives/edgar/data/769397/000119312521294288/d221160dex41.htm" TargetMode="External"/><Relationship Id="rId131" Type="http://schemas.openxmlformats.org/officeDocument/2006/relationships/hyperlink" Target="https://www.sec.gov/Archives/edgar/data/769397/000119312525137060/d910339dex41.htm" TargetMode="External"/><Relationship Id="rId132" Type="http://schemas.openxmlformats.org/officeDocument/2006/relationships/hyperlink" Target="https://www.sec.gov/Archives/edgar/data/769397/000076939720000013/ex46autodesk-descripti.htm" TargetMode="External"/><Relationship Id="rId133" Type="http://schemas.openxmlformats.org/officeDocument/2006/relationships/hyperlink" Target="https://www.sec.gov/ix?doc=/Archives/edgar/data/769397/000119312520108139/d907969d8k.htm" TargetMode="External"/><Relationship Id="rId134" Type="http://schemas.openxmlformats.org/officeDocument/2006/relationships/hyperlink" Target="https://www.sec.gov/Archives/edgar/data/769397/000076939718000042/ex102-2012employeestoc.htm" TargetMode="External"/><Relationship Id="rId135" Type="http://schemas.openxmlformats.org/officeDocument/2006/relationships/hyperlink" Target="https://www.sec.gov/Archives/edgar/data/769397/000076939716000087/adsk07312016ex102.htm" TargetMode="External"/><Relationship Id="rId136" Type="http://schemas.openxmlformats.org/officeDocument/2006/relationships/hyperlink" Target="https://www.sec.gov/Archives/edgar/data/769397/000076939716000087/adsk07312016ex103.htm" TargetMode="External"/><Relationship Id="rId137" Type="http://schemas.openxmlformats.org/officeDocument/2006/relationships/hyperlink" Target="https://www.sec.gov/Archives/edgar/data/769397/000119312512112024/d314351dex102.htm" TargetMode="External"/><Relationship Id="rId138" Type="http://schemas.openxmlformats.org/officeDocument/2006/relationships/hyperlink" Target="https://www.sec.gov/Archives/edgar/data/769397/000119312512112024/d314351dex104.htm" TargetMode="External"/><Relationship Id="rId139" Type="http://schemas.openxmlformats.org/officeDocument/2006/relationships/hyperlink" Target="https://www.sec.gov/Archives/edgar/data/769397/000076939718000057/plangrid2012equityincentiv.htm" TargetMode="External"/><Relationship Id="rId140" Type="http://schemas.openxmlformats.org/officeDocument/2006/relationships/hyperlink" Target="https://www.sec.gov/Archives/edgar/data/769397/000076939719000002/ex991buildingconnected2013.htm" TargetMode="External"/><Relationship Id="rId141" Type="http://schemas.openxmlformats.org/officeDocument/2006/relationships/hyperlink" Target="https://www.sec.gov/Archives/edgar/data/769397/000076939717000014/adsk01312017ex1018.htm" TargetMode="External"/><Relationship Id="rId142" Type="http://schemas.openxmlformats.org/officeDocument/2006/relationships/hyperlink" Target="https://www.sec.gov/Archives/edgar/data/769397/000119312512112024/d314351dex105.htm" TargetMode="External"/><Relationship Id="rId143" Type="http://schemas.openxmlformats.org/officeDocument/2006/relationships/hyperlink" Target="https://www.sec.gov/Archives/edgar/data/769397/000076939719000030/exhibit101-directordef.htm" TargetMode="External"/><Relationship Id="rId144" Type="http://schemas.openxmlformats.org/officeDocument/2006/relationships/hyperlink" Target="https://www.sec.gov/Archives/edgar/data/769397/000076939716000067/adsk01312016ex1023.htm" TargetMode="External"/><Relationship Id="rId145" Type="http://schemas.openxmlformats.org/officeDocument/2006/relationships/hyperlink" Target="https://www.sec.gov/Archives/edgar/data/769397/000119312509249297/dex101.htm" TargetMode="External"/><Relationship Id="rId146" Type="http://schemas.openxmlformats.org/officeDocument/2006/relationships/hyperlink" Target="https://www.sec.gov/Archives/edgar/data/769397/000076939722000051/exhibit101amendedandrestat.htm" TargetMode="External"/><Relationship Id="rId147" Type="http://schemas.openxmlformats.org/officeDocument/2006/relationships/hyperlink" Target="https://www.sec.gov/Archives/edgar/data/769397/000119312505067261/dex108.htm" TargetMode="External"/><Relationship Id="rId148" Type="http://schemas.openxmlformats.org/officeDocument/2006/relationships/hyperlink" Target="https://www.sec.gov/Archives/edgar/data/769397/000076939721000075/exh101formofqualifiedretir.htm" TargetMode="External"/><Relationship Id="rId149" Type="http://schemas.openxmlformats.org/officeDocument/2006/relationships/hyperlink" Target="https://www.sec.gov/Archives/edgar/data/769397/000119312517207116/d372890dex101.htm" TargetMode="External"/><Relationship Id="rId150" Type="http://schemas.openxmlformats.org/officeDocument/2006/relationships/hyperlink" Target="https://www.sec.gov/Archives/edgar/data/769397/000076939722000051/exhibit102firstamendmentto.htm" TargetMode="External"/><Relationship Id="rId151" Type="http://schemas.openxmlformats.org/officeDocument/2006/relationships/hyperlink" Target="https://www.sec.gov/Archives/edgar/data/769397/000076939721000014/adsk01312021ex1021.htm" TargetMode="External"/><Relationship Id="rId153" Type="http://schemas.openxmlformats.org/officeDocument/2006/relationships/hyperlink" Target="https://www.sec.gov/Archives/edgar/data/769397/000076939722000148/amendmentno1tothecredita.htm" TargetMode="External"/><Relationship Id="rId154" Type="http://schemas.openxmlformats.org/officeDocument/2006/relationships/hyperlink" Target="https://www.sec.gov/Archives/edgar/data/769397/000076939725000075/autodeskinc2022equityincen.htm" TargetMode="External"/><Relationship Id="rId155" Type="http://schemas.openxmlformats.org/officeDocument/2006/relationships/hyperlink" Target="https://www.sec.gov/Archives/edgar/data/769397/000076939724000090/autodesk-globalrsuagreemen.htm" TargetMode="External"/><Relationship Id="rId156" Type="http://schemas.openxmlformats.org/officeDocument/2006/relationships/hyperlink" Target="https://www.sec.gov/Archives/edgar/data/769397/000076939722000110/directorcompensationpolicy.htm" TargetMode="External"/><Relationship Id="rId157" Type="http://schemas.openxmlformats.org/officeDocument/2006/relationships/hyperlink" Target="https://www.sec.gov/Archives/edgar/data/769397/000076939722000110/formofdirectorrsu.htm" TargetMode="External"/><Relationship Id="rId158" Type="http://schemas.openxmlformats.org/officeDocument/2006/relationships/hyperlink" Target="https://www.sec.gov/Archives/edgar/data/769397/000076939723000036/registrant1998esppasamende.htm" TargetMode="External"/><Relationship Id="rId159" Type="http://schemas.openxmlformats.org/officeDocument/2006/relationships/hyperlink" Target="https://www.sec.gov/Archives/edgar/data/769397/000076939725000019/cfoofferletterfinal-janesh.htm" TargetMode="External"/><Relationship Id="rId160" Type="http://schemas.openxmlformats.org/officeDocument/2006/relationships/hyperlink" Target="https://www.sec.gov/Archives/edgar/data/769397/000076939725000051/adsk-starboardsettlementag.htm" TargetMode="External"/><Relationship Id="rId161" Type="http://schemas.openxmlformats.org/officeDocument/2006/relationships/hyperlink" Target="https://www.sec.gov/Archives/edgar/data/769397/000076939725000071/adsk-globalrsuagreementx20.htm" TargetMode="External"/><Relationship Id="rId162" Type="http://schemas.openxmlformats.org/officeDocument/2006/relationships/hyperlink" Target="https://www.sec.gov/Archives/edgar/data/769397/000076939724000090/adskinsidertradingpolicy.htm" TargetMode="External"/><Relationship Id="rId163" Type="http://schemas.openxmlformats.org/officeDocument/2006/relationships/hyperlink" Target="https://www.sec.gov/Archives/edgar/data/769397/000076939724000090/clawbackpolicyupd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2026-03-03T15:21:31Z</dcterms:created>
  <dcterms:modified xsi:type="dcterms:W3CDTF">2026-03-03T15:21:31Z</dcterms:modified>
</cp:coreProperties>
</file>