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214630</wp:posOffset>
            </wp:positionH>
            <wp:positionV relativeFrom="page">
              <wp:posOffset>665480</wp:posOffset>
            </wp:positionV>
            <wp:extent cx="711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690245</wp:posOffset>
            </wp:positionV>
            <wp:extent cx="7118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98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2184400</wp:posOffset>
            </wp:positionH>
            <wp:positionV relativeFrom="paragraph">
              <wp:posOffset>111760</wp:posOffset>
            </wp:positionV>
            <wp:extent cx="27825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04" w:lineRule="exact"/>
        <w:rPr>
          <w:sz w:val="24"/>
          <w:szCs w:val="24"/>
          <w:color w:val="auto"/>
        </w:rPr>
      </w:pPr>
    </w:p>
    <w:p>
      <w:pPr>
        <w:ind w:left="680" w:right="300" w:hanging="657"/>
        <w:spacing w:after="0" w:line="247" w:lineRule="auto"/>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July 31, 2024</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91" w:lineRule="exact"/>
        <w:rPr>
          <w:sz w:val="24"/>
          <w:szCs w:val="24"/>
          <w:color w:val="auto"/>
        </w:rPr>
      </w:pPr>
    </w:p>
    <w:p>
      <w:pPr>
        <w:ind w:left="680" w:right="280" w:hanging="657"/>
        <w:spacing w:after="0" w:line="247" w:lineRule="auto"/>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69" w:lineRule="exact"/>
        <w:rPr>
          <w:sz w:val="24"/>
          <w:szCs w:val="24"/>
          <w:color w:val="auto"/>
        </w:rPr>
      </w:pPr>
    </w:p>
    <w:p>
      <w:pPr>
        <w:ind w:left="3960"/>
        <w:spacing w:after="0"/>
        <w:tabs>
          <w:tab w:leader="none" w:pos="66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6"/>
          <w:szCs w:val="16"/>
          <w:color w:val="auto"/>
        </w:rPr>
        <w:t>to</w:t>
      </w:r>
    </w:p>
    <w:p>
      <w:pPr>
        <w:spacing w:after="0" w:line="2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Commission File Number: 0-14338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2184400</wp:posOffset>
            </wp:positionH>
            <wp:positionV relativeFrom="paragraph">
              <wp:posOffset>245110</wp:posOffset>
            </wp:positionV>
            <wp:extent cx="27825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525"/>
        </w:trPr>
        <w:tc>
          <w:tcPr>
            <w:tcW w:w="2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60" w:type="dxa"/>
            <w:vAlign w:val="bottom"/>
            <w:gridSpan w:val="3"/>
          </w:tcPr>
          <w:p>
            <w:pPr>
              <w:jc w:val="center"/>
              <w:ind w:right="2820"/>
              <w:spacing w:after="0"/>
              <w:rPr>
                <w:sz w:val="20"/>
                <w:szCs w:val="20"/>
                <w:color w:val="auto"/>
              </w:rPr>
            </w:pPr>
            <w:r>
              <w:rPr>
                <w:rFonts w:ascii="Times New Roman" w:cs="Times New Roman" w:eastAsia="Times New Roman" w:hAnsi="Times New Roman"/>
                <w:sz w:val="42"/>
                <w:szCs w:val="42"/>
                <w:b w:val="1"/>
                <w:bCs w:val="1"/>
                <w:color w:val="auto"/>
                <w:w w:val="99"/>
              </w:rPr>
              <w:t>AUTODESK, INC.</w:t>
            </w:r>
          </w:p>
        </w:tc>
      </w:tr>
      <w:tr>
        <w:trPr>
          <w:trHeight w:val="185"/>
        </w:trPr>
        <w:tc>
          <w:tcPr>
            <w:tcW w:w="2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60" w:type="dxa"/>
            <w:vAlign w:val="bottom"/>
            <w:gridSpan w:val="3"/>
          </w:tcPr>
          <w:p>
            <w:pPr>
              <w:jc w:val="center"/>
              <w:ind w:right="28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28"/>
        </w:trPr>
        <w:tc>
          <w:tcPr>
            <w:tcW w:w="2800" w:type="dxa"/>
            <w:vAlign w:val="bottom"/>
          </w:tcPr>
          <w:p>
            <w:pPr>
              <w:jc w:val="center"/>
              <w:ind w:left="18"/>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80" w:type="dxa"/>
            <w:vAlign w:val="bottom"/>
            <w:gridSpan w:val="2"/>
          </w:tcPr>
          <w:p>
            <w:pPr>
              <w:jc w:val="right"/>
              <w:ind w:right="2120"/>
              <w:spacing w:after="0"/>
              <w:rPr>
                <w:sz w:val="20"/>
                <w:szCs w:val="20"/>
                <w:color w:val="auto"/>
              </w:rPr>
            </w:pPr>
            <w:r>
              <w:rPr>
                <w:rFonts w:ascii="Times New Roman" w:cs="Times New Roman" w:eastAsia="Times New Roman" w:hAnsi="Times New Roman"/>
                <w:sz w:val="18"/>
                <w:szCs w:val="18"/>
                <w:b w:val="1"/>
                <w:bCs w:val="1"/>
                <w:color w:val="auto"/>
              </w:rPr>
              <w:t>94-2819853</w:t>
            </w:r>
          </w:p>
        </w:tc>
      </w:tr>
      <w:tr>
        <w:trPr>
          <w:trHeight w:val="145"/>
        </w:trPr>
        <w:tc>
          <w:tcPr>
            <w:tcW w:w="2800" w:type="dxa"/>
            <w:vAlign w:val="bottom"/>
          </w:tcPr>
          <w:p>
            <w:pPr>
              <w:jc w:val="center"/>
              <w:ind w:left="18"/>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680" w:type="dxa"/>
            <w:vAlign w:val="bottom"/>
            <w:gridSpan w:val="2"/>
          </w:tcPr>
          <w:p>
            <w:pPr>
              <w:jc w:val="center"/>
              <w:ind w:right="14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(I.R.S. employer</w:t>
            </w:r>
          </w:p>
        </w:tc>
      </w:tr>
      <w:tr>
        <w:trPr>
          <w:trHeight w:val="185"/>
        </w:trPr>
        <w:tc>
          <w:tcPr>
            <w:tcW w:w="2800" w:type="dxa"/>
            <w:vAlign w:val="bottom"/>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8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0"/>
        </w:trPr>
        <w:tc>
          <w:tcPr>
            <w:tcW w:w="2800" w:type="dxa"/>
            <w:vAlign w:val="bottom"/>
          </w:tcPr>
          <w:p>
            <w:pPr>
              <w:jc w:val="center"/>
              <w:ind w:left="38"/>
              <w:spacing w:after="0"/>
              <w:rPr>
                <w:sz w:val="20"/>
                <w:szCs w:val="20"/>
                <w:color w:val="auto"/>
              </w:rPr>
            </w:pPr>
            <w:r>
              <w:rPr>
                <w:rFonts w:ascii="Times New Roman" w:cs="Times New Roman" w:eastAsia="Times New Roman" w:hAnsi="Times New Roman"/>
                <w:sz w:val="18"/>
                <w:szCs w:val="18"/>
                <w:b w:val="1"/>
                <w:bCs w:val="1"/>
                <w:color w:val="auto"/>
                <w:w w:val="97"/>
              </w:rPr>
              <w:t>One Market Street, Ste. 400</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0"/>
        </w:trPr>
        <w:tc>
          <w:tcPr>
            <w:tcW w:w="2800" w:type="dxa"/>
            <w:vAlign w:val="bottom"/>
          </w:tcPr>
          <w:p>
            <w:pPr>
              <w:jc w:val="center"/>
              <w:ind w:left="18"/>
              <w:spacing w:after="0"/>
              <w:rPr>
                <w:sz w:val="20"/>
                <w:szCs w:val="20"/>
                <w:color w:val="auto"/>
              </w:rPr>
            </w:pPr>
            <w:r>
              <w:rPr>
                <w:rFonts w:ascii="Times New Roman" w:cs="Times New Roman" w:eastAsia="Times New Roman" w:hAnsi="Times New Roman"/>
                <w:sz w:val="18"/>
                <w:szCs w:val="18"/>
                <w:b w:val="1"/>
                <w:bCs w:val="1"/>
                <w:color w:val="auto"/>
                <w:w w:val="97"/>
              </w:rPr>
              <w:t>San Francisco,</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2780" w:type="dxa"/>
            <w:vAlign w:val="bottom"/>
          </w:tcPr>
          <w:p>
            <w:pPr>
              <w:spacing w:after="0"/>
              <w:rPr>
                <w:sz w:val="19"/>
                <w:szCs w:val="19"/>
                <w:color w:val="auto"/>
              </w:rPr>
            </w:pPr>
          </w:p>
        </w:tc>
        <w:tc>
          <w:tcPr>
            <w:tcW w:w="3680" w:type="dxa"/>
            <w:vAlign w:val="bottom"/>
            <w:gridSpan w:val="2"/>
          </w:tcPr>
          <w:p>
            <w:pPr>
              <w:jc w:val="right"/>
              <w:ind w:right="2340"/>
              <w:spacing w:after="0"/>
              <w:rPr>
                <w:sz w:val="20"/>
                <w:szCs w:val="20"/>
                <w:color w:val="auto"/>
              </w:rPr>
            </w:pPr>
            <w:r>
              <w:rPr>
                <w:rFonts w:ascii="Times New Roman" w:cs="Times New Roman" w:eastAsia="Times New Roman" w:hAnsi="Times New Roman"/>
                <w:sz w:val="18"/>
                <w:szCs w:val="18"/>
                <w:b w:val="1"/>
                <w:bCs w:val="1"/>
                <w:color w:val="auto"/>
              </w:rPr>
              <w:t>94105</w:t>
            </w:r>
          </w:p>
        </w:tc>
      </w:tr>
      <w:tr>
        <w:trPr>
          <w:trHeight w:val="185"/>
        </w:trPr>
        <w:tc>
          <w:tcPr>
            <w:tcW w:w="2800" w:type="dxa"/>
            <w:vAlign w:val="bottom"/>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8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02"/>
        </w:trPr>
        <w:tc>
          <w:tcPr>
            <w:tcW w:w="2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7"/>
              </w:rPr>
              <w:t>(415) 507-5000</w:t>
            </w:r>
          </w:p>
        </w:tc>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85"/>
        </w:trPr>
        <w:tc>
          <w:tcPr>
            <w:tcW w:w="2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60" w:type="dxa"/>
            <w:vAlign w:val="bottom"/>
            <w:gridSpan w:val="3"/>
          </w:tcPr>
          <w:p>
            <w:pPr>
              <w:jc w:val="center"/>
              <w:ind w:right="282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169"/>
        </w:trPr>
        <w:tc>
          <w:tcPr>
            <w:tcW w:w="3440" w:type="dxa"/>
            <w:vAlign w:val="bottom"/>
            <w:gridSpan w:val="2"/>
          </w:tcPr>
          <w:p>
            <w:pPr>
              <w:spacing w:after="0"/>
              <w:rPr>
                <w:sz w:val="14"/>
                <w:szCs w:val="14"/>
                <w:color w:val="auto"/>
              </w:rPr>
            </w:pPr>
          </w:p>
        </w:tc>
        <w:tc>
          <w:tcPr>
            <w:tcW w:w="3140" w:type="dxa"/>
            <w:vAlign w:val="bottom"/>
            <w:tcBorders>
              <w:bottom w:val="single" w:sz="8" w:color="auto"/>
            </w:tcBorders>
            <w:gridSpan w:val="2"/>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440" w:type="dxa"/>
            <w:vAlign w:val="bottom"/>
          </w:tcPr>
          <w:p>
            <w:pPr>
              <w:spacing w:after="0"/>
              <w:rPr>
                <w:sz w:val="14"/>
                <w:szCs w:val="14"/>
                <w:color w:val="auto"/>
              </w:rPr>
            </w:pPr>
          </w:p>
        </w:tc>
      </w:tr>
      <w:tr>
        <w:trPr>
          <w:trHeight w:val="532"/>
        </w:trPr>
        <w:tc>
          <w:tcPr>
            <w:tcW w:w="6580" w:type="dxa"/>
            <w:vAlign w:val="bottom"/>
            <w:gridSpan w:val="4"/>
          </w:tcPr>
          <w:p>
            <w:pPr>
              <w:jc w:val="center"/>
              <w:ind w:right="2438"/>
              <w:spacing w:after="0"/>
              <w:rPr>
                <w:sz w:val="20"/>
                <w:szCs w:val="20"/>
                <w:color w:val="auto"/>
              </w:rPr>
            </w:pPr>
            <w:r>
              <w:rPr>
                <w:rFonts w:ascii="Times New Roman" w:cs="Times New Roman" w:eastAsia="Times New Roman" w:hAnsi="Times New Roman"/>
                <w:sz w:val="18"/>
                <w:szCs w:val="18"/>
                <w:color w:val="auto"/>
                <w:w w:val="97"/>
              </w:rPr>
              <w:t>Securities registered pursuant to Section 12(b) of the Act:</w:t>
            </w:r>
          </w:p>
        </w:tc>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38"/>
        </w:trPr>
        <w:tc>
          <w:tcPr>
            <w:tcW w:w="2800" w:type="dxa"/>
            <w:vAlign w:val="bottom"/>
          </w:tcPr>
          <w:p>
            <w:pPr>
              <w:jc w:val="center"/>
              <w:ind w:left="1158"/>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jc w:val="center"/>
              <w:ind w:right="198"/>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680" w:type="dxa"/>
            <w:vAlign w:val="bottom"/>
            <w:gridSpan w:val="2"/>
          </w:tcPr>
          <w:p>
            <w:pPr>
              <w:jc w:val="center"/>
              <w:ind w:left="340"/>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8"/>
        </w:trPr>
        <w:tc>
          <w:tcPr>
            <w:tcW w:w="3800" w:type="dxa"/>
            <w:vAlign w:val="bottom"/>
            <w:gridSpan w:val="3"/>
          </w:tcPr>
          <w:p>
            <w:pPr>
              <w:jc w:val="center"/>
              <w:ind w:left="158"/>
              <w:spacing w:after="0"/>
              <w:rPr>
                <w:sz w:val="20"/>
                <w:szCs w:val="20"/>
                <w:color w:val="auto"/>
              </w:rPr>
            </w:pPr>
            <w:r>
              <w:rPr>
                <w:rFonts w:ascii="Times New Roman" w:cs="Times New Roman" w:eastAsia="Times New Roman" w:hAnsi="Times New Roman"/>
                <w:sz w:val="18"/>
                <w:szCs w:val="18"/>
                <w:color w:val="auto"/>
                <w:w w:val="97"/>
              </w:rPr>
              <w:t>Common Stock, par value $0.01 per share</w:t>
            </w:r>
          </w:p>
        </w:tc>
        <w:tc>
          <w:tcPr>
            <w:tcW w:w="2780" w:type="dxa"/>
            <w:vAlign w:val="bottom"/>
          </w:tcPr>
          <w:p>
            <w:pPr>
              <w:jc w:val="center"/>
              <w:ind w:right="198"/>
              <w:spacing w:after="0"/>
              <w:rPr>
                <w:sz w:val="20"/>
                <w:szCs w:val="20"/>
                <w:color w:val="auto"/>
              </w:rPr>
            </w:pPr>
            <w:r>
              <w:rPr>
                <w:rFonts w:ascii="Times New Roman" w:cs="Times New Roman" w:eastAsia="Times New Roman" w:hAnsi="Times New Roman"/>
                <w:sz w:val="18"/>
                <w:szCs w:val="18"/>
                <w:color w:val="auto"/>
                <w:w w:val="97"/>
              </w:rPr>
              <w:t>ADSK</w:t>
            </w:r>
          </w:p>
        </w:tc>
        <w:tc>
          <w:tcPr>
            <w:tcW w:w="3680" w:type="dxa"/>
            <w:vAlign w:val="bottom"/>
            <w:gridSpan w:val="2"/>
          </w:tcPr>
          <w:p>
            <w:pPr>
              <w:jc w:val="center"/>
              <w:ind w:left="340"/>
              <w:spacing w:after="0"/>
              <w:rPr>
                <w:sz w:val="20"/>
                <w:szCs w:val="20"/>
                <w:color w:val="auto"/>
              </w:rPr>
            </w:pPr>
            <w:r>
              <w:rPr>
                <w:rFonts w:ascii="Times New Roman" w:cs="Times New Roman" w:eastAsia="Times New Roman" w:hAnsi="Times New Roman"/>
                <w:sz w:val="18"/>
                <w:szCs w:val="18"/>
                <w:color w:val="auto"/>
                <w:w w:val="97"/>
              </w:rPr>
              <w:t>The Nasdaq Global Select Market</w:t>
            </w:r>
          </w:p>
        </w:tc>
      </w:tr>
    </w:tbl>
    <w:p>
      <w:pPr>
        <w:spacing w:after="0" w:line="298" w:lineRule="exact"/>
        <w:rPr>
          <w:sz w:val="24"/>
          <w:szCs w:val="24"/>
          <w:color w:val="auto"/>
        </w:rPr>
      </w:pPr>
    </w:p>
    <w:p>
      <w:pPr>
        <w:ind w:right="180" w:firstLine="395"/>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3" w:lineRule="exact"/>
        <w:rPr>
          <w:sz w:val="24"/>
          <w:szCs w:val="24"/>
          <w:color w:val="auto"/>
        </w:rPr>
      </w:pPr>
    </w:p>
    <w:p>
      <w:pPr>
        <w:ind w:right="200" w:firstLine="434"/>
        <w:spacing w:after="0" w:line="2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522605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8"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7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7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7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5"/>
        </w:trPr>
        <w:tc>
          <w:tcPr>
            <w:tcW w:w="18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0" w:lineRule="exact"/>
        <w:rPr>
          <w:sz w:val="20"/>
          <w:szCs w:val="20"/>
          <w:color w:val="auto"/>
        </w:rPr>
      </w:pPr>
    </w:p>
    <w:p>
      <w:pPr>
        <w:ind w:firstLine="434"/>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August 23, 2024, registrant had outstanding 215 million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728345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106045</wp:posOffset>
            </wp:positionV>
            <wp:extent cx="7118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130810</wp:posOffset>
            </wp:positionV>
            <wp:extent cx="7118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AUTODESK, INC. FORM 10-Q</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1000" w:type="dxa"/>
            <w:vAlign w:val="bottom"/>
          </w:tcPr>
          <w:p>
            <w:pPr>
              <w:spacing w:after="0"/>
              <w:rPr>
                <w:sz w:val="2"/>
                <w:szCs w:val="2"/>
                <w:color w:val="auto"/>
              </w:rPr>
            </w:pPr>
          </w:p>
        </w:tc>
        <w:tc>
          <w:tcPr>
            <w:tcW w:w="6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520" w:type="dxa"/>
            <w:vAlign w:val="bottom"/>
            <w:vMerge w:val="restart"/>
          </w:tcPr>
          <w:p>
            <w:pPr>
              <w:spacing w:after="0"/>
              <w:rPr>
                <w:sz w:val="2"/>
                <w:szCs w:val="2"/>
                <w:color w:val="auto"/>
              </w:rPr>
            </w:pPr>
          </w:p>
        </w:tc>
        <w:tc>
          <w:tcPr>
            <w:tcW w:w="500" w:type="dxa"/>
            <w:vAlign w:val="bottom"/>
            <w:vMerge w:val="restart"/>
          </w:tcPr>
          <w:p>
            <w:pPr>
              <w:spacing w:after="0"/>
              <w:rPr>
                <w:sz w:val="2"/>
                <w:szCs w:val="2"/>
                <w:color w:val="auto"/>
              </w:rPr>
            </w:pPr>
          </w:p>
        </w:tc>
        <w:tc>
          <w:tcPr>
            <w:tcW w:w="300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6"/>
              </w:rPr>
              <w:t>PART I. FINANCIAL INFORMATION</w:t>
            </w:r>
          </w:p>
        </w:tc>
        <w:tc>
          <w:tcPr>
            <w:tcW w:w="2900" w:type="dxa"/>
            <w:vAlign w:val="bottom"/>
            <w:gridSpan w:val="5"/>
            <w:vMerge w:val="restart"/>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000" w:type="dxa"/>
            <w:vAlign w:val="bottom"/>
            <w:tcBorders>
              <w:bottom w:val="single" w:sz="8" w:color="0000FF"/>
            </w:tcBorders>
            <w:gridSpan w:val="7"/>
            <w:vMerge w:val="continue"/>
          </w:tcPr>
          <w:p>
            <w:pPr>
              <w:spacing w:after="0"/>
              <w:rPr>
                <w:sz w:val="14"/>
                <w:szCs w:val="14"/>
                <w:color w:val="auto"/>
              </w:rPr>
            </w:pPr>
          </w:p>
        </w:tc>
        <w:tc>
          <w:tcPr>
            <w:tcW w:w="2900" w:type="dxa"/>
            <w:vAlign w:val="bottom"/>
            <w:gridSpan w:val="5"/>
            <w:vMerge w:val="continue"/>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w:t>
            </w: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spacing w:after="0"/>
              <w:rPr>
                <w:sz w:val="22"/>
                <w:szCs w:val="22"/>
                <w:color w:val="auto"/>
              </w:rPr>
            </w:pPr>
          </w:p>
        </w:tc>
        <w:tc>
          <w:tcPr>
            <w:tcW w:w="78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Operations for the Three and Six Months Ended July 31, 2024 and 2023</w:t>
            </w:r>
          </w:p>
        </w:tc>
        <w:tc>
          <w:tcPr>
            <w:tcW w:w="920" w:type="dxa"/>
            <w:vAlign w:val="bottom"/>
            <w:gridSpan w:val="2"/>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87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Comprehensive Income for the Three and Six Months Ended July 31, 2024 and 2023</w:t>
            </w:r>
          </w:p>
        </w:tc>
        <w:tc>
          <w:tcPr>
            <w:tcW w:w="20" w:type="dxa"/>
            <w:vAlign w:val="bottom"/>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57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Condensed Consolidated Balance Sheets as of July 31, 2024 and January 31, 2024</w:t>
            </w:r>
          </w:p>
        </w:tc>
        <w:tc>
          <w:tcPr>
            <w:tcW w:w="3000" w:type="dxa"/>
            <w:vAlign w:val="bottom"/>
            <w:gridSpan w:val="6"/>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71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Cash Flows for the Six Months Ended July 31, 2024 and 2023</w:t>
            </w:r>
          </w:p>
        </w:tc>
        <w:tc>
          <w:tcPr>
            <w:tcW w:w="1620" w:type="dxa"/>
            <w:vAlign w:val="bottom"/>
            <w:gridSpan w:val="3"/>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w w:val="97"/>
              </w:rPr>
              <w:t>Management’s Discussion and Analysis of Financial Condition and Results of Operations</w:t>
            </w:r>
          </w:p>
        </w:tc>
        <w:tc>
          <w:tcPr>
            <w:tcW w:w="2120" w:type="dxa"/>
            <w:vAlign w:val="bottom"/>
            <w:gridSpan w:val="4"/>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2120" w:type="dxa"/>
            <w:vAlign w:val="bottom"/>
            <w:gridSpan w:val="4"/>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5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4240" w:type="dxa"/>
            <w:vAlign w:val="bottom"/>
            <w:gridSpan w:val="8"/>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900" w:type="dxa"/>
            <w:vAlign w:val="bottom"/>
            <w:gridSpan w:val="12"/>
          </w:tcPr>
          <w:p>
            <w:pPr>
              <w:jc w:val="center"/>
              <w:ind w:right="2900"/>
              <w:spacing w:after="0"/>
              <w:rPr>
                <w:sz w:val="20"/>
                <w:szCs w:val="20"/>
                <w:color w:val="auto"/>
              </w:rPr>
            </w:pPr>
            <w:r>
              <w:rPr>
                <w:rFonts w:ascii="Times New Roman" w:cs="Times New Roman" w:eastAsia="Times New Roman" w:hAnsi="Times New Roman"/>
                <w:sz w:val="18"/>
                <w:szCs w:val="18"/>
                <w:b w:val="1"/>
                <w:bCs w:val="1"/>
                <w:color w:val="0000FF"/>
                <w:w w:val="95"/>
              </w:rPr>
              <w:t>PART II. OTHER INFORMATION</w:t>
            </w:r>
          </w:p>
        </w:tc>
        <w:tc>
          <w:tcPr>
            <w:tcW w:w="126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0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2680" w:type="dxa"/>
            <w:vAlign w:val="bottom"/>
            <w:tcBorders>
              <w:top w:val="single" w:sz="8" w:color="0000FF"/>
            </w:tcBorders>
            <w:gridSpan w:val="4"/>
          </w:tcPr>
          <w:p>
            <w:pPr>
              <w:spacing w:after="0"/>
              <w:rPr>
                <w:sz w:val="22"/>
                <w:szCs w:val="22"/>
                <w:color w:val="auto"/>
              </w:rPr>
            </w:pPr>
          </w:p>
        </w:tc>
        <w:tc>
          <w:tcPr>
            <w:tcW w:w="3060" w:type="dxa"/>
            <w:vAlign w:val="bottom"/>
            <w:gridSpan w:val="7"/>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Risk Factors</w:t>
            </w:r>
          </w:p>
        </w:tc>
        <w:tc>
          <w:tcPr>
            <w:tcW w:w="7420" w:type="dxa"/>
            <w:vAlign w:val="bottom"/>
            <w:gridSpan w:val="18"/>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3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w w:val="96"/>
              </w:rPr>
              <w:t>Defaults Upon Senior Securities</w:t>
            </w:r>
          </w:p>
        </w:tc>
        <w:tc>
          <w:tcPr>
            <w:tcW w:w="2060" w:type="dxa"/>
            <w:vAlign w:val="bottom"/>
            <w:gridSpan w:val="4"/>
          </w:tcPr>
          <w:p>
            <w:pPr>
              <w:spacing w:after="0"/>
              <w:rPr>
                <w:sz w:val="22"/>
                <w:szCs w:val="22"/>
                <w:color w:val="auto"/>
              </w:rPr>
            </w:pPr>
          </w:p>
        </w:tc>
        <w:tc>
          <w:tcPr>
            <w:tcW w:w="4340" w:type="dxa"/>
            <w:vAlign w:val="bottom"/>
            <w:gridSpan w:val="9"/>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400" w:type="dxa"/>
            <w:vAlign w:val="bottom"/>
            <w:gridSpan w:val="1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3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6400" w:type="dxa"/>
            <w:vAlign w:val="bottom"/>
            <w:gridSpan w:val="13"/>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000" w:type="dxa"/>
            <w:vAlign w:val="bottom"/>
            <w:gridSpan w:val="15"/>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380" w:type="dxa"/>
            <w:vAlign w:val="bottom"/>
            <w:gridSpan w:val="1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7380" w:type="dxa"/>
            <w:vAlign w:val="bottom"/>
            <w:gridSpan w:val="17"/>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980" w:type="dxa"/>
            <w:vAlign w:val="bottom"/>
            <w:gridSpan w:val="2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spacing w:after="0"/>
              <w:rPr>
                <w:sz w:val="22"/>
                <w:szCs w:val="22"/>
                <w:color w:val="auto"/>
              </w:rPr>
            </w:pP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0"/>
        </w:trPr>
        <w:tc>
          <w:tcPr>
            <w:tcW w:w="100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20" w:type="dxa"/>
            <w:vAlign w:val="bottom"/>
          </w:tcPr>
          <w:p>
            <w:pPr>
              <w:spacing w:after="0"/>
              <w:rPr>
                <w:sz w:val="16"/>
                <w:szCs w:val="16"/>
                <w:color w:val="auto"/>
              </w:rPr>
            </w:pPr>
          </w:p>
        </w:tc>
        <w:tc>
          <w:tcPr>
            <w:tcW w:w="22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9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Subscription</w:t>
            </w:r>
          </w:p>
        </w:tc>
        <w:tc>
          <w:tcPr>
            <w:tcW w:w="840" w:type="dxa"/>
            <w:vAlign w:val="bottom"/>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00" w:type="dxa"/>
            <w:vAlign w:val="bottom"/>
          </w:tcPr>
          <w:p>
            <w:pPr>
              <w:spacing w:after="0"/>
              <w:rPr>
                <w:sz w:val="18"/>
                <w:szCs w:val="18"/>
                <w:color w:val="auto"/>
              </w:rPr>
            </w:pPr>
          </w:p>
        </w:tc>
        <w:tc>
          <w:tcPr>
            <w:tcW w:w="820" w:type="dxa"/>
            <w:vAlign w:val="bottom"/>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1,270</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12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0" w:type="dxa"/>
            <w:vAlign w:val="bottom"/>
          </w:tcPr>
          <w:p>
            <w:pPr>
              <w:spacing w:after="0"/>
              <w:rPr>
                <w:sz w:val="1"/>
                <w:szCs w:val="1"/>
                <w:color w:val="auto"/>
              </w:rPr>
            </w:pPr>
          </w:p>
        </w:tc>
      </w:tr>
      <w:tr>
        <w:trPr>
          <w:trHeight w:val="212"/>
        </w:trPr>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Maintenance</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2"/>
        </w:trPr>
        <w:tc>
          <w:tcPr>
            <w:tcW w:w="59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subscription and maintenance revenue</w:t>
            </w: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1,284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2,491</w:t>
            </w:r>
          </w:p>
        </w:tc>
        <w:tc>
          <w:tcPr>
            <w:tcW w:w="0" w:type="dxa"/>
            <w:vAlign w:val="bottom"/>
          </w:tcPr>
          <w:p>
            <w:pPr>
              <w:spacing w:after="0"/>
              <w:rPr>
                <w:sz w:val="1"/>
                <w:szCs w:val="1"/>
                <w:color w:val="auto"/>
              </w:rPr>
            </w:pPr>
          </w:p>
        </w:tc>
      </w:tr>
      <w:tr>
        <w:trPr>
          <w:trHeight w:val="212"/>
        </w:trPr>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2"/>
        </w:trPr>
        <w:tc>
          <w:tcPr>
            <w:tcW w:w="59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net revenue</w:t>
            </w: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1,345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2,614</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subscription and maintenance revenue</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12"/>
        </w:trPr>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other revenue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9"/>
        </w:trPr>
        <w:tc>
          <w:tcPr>
            <w:tcW w:w="5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6"/>
        </w:trPr>
        <w:tc>
          <w:tcPr>
            <w:tcW w:w="5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cost of revenue</w:t>
            </w:r>
          </w:p>
        </w:tc>
        <w:tc>
          <w:tcPr>
            <w:tcW w:w="8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02"/>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1,218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0" w:type="dxa"/>
            <w:vAlign w:val="bottom"/>
          </w:tcPr>
          <w:p>
            <w:pPr>
              <w:spacing w:after="0"/>
              <w:rPr>
                <w:sz w:val="1"/>
                <w:szCs w:val="1"/>
                <w:color w:val="auto"/>
              </w:rPr>
            </w:pPr>
          </w:p>
        </w:tc>
      </w:tr>
      <w:tr>
        <w:trPr>
          <w:trHeight w:val="212"/>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Marketing and sales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0" w:type="dxa"/>
            <w:vAlign w:val="bottom"/>
          </w:tcPr>
          <w:p>
            <w:pPr>
              <w:spacing w:after="0"/>
              <w:rPr>
                <w:sz w:val="1"/>
                <w:szCs w:val="1"/>
                <w:color w:val="auto"/>
              </w:rPr>
            </w:pPr>
          </w:p>
        </w:tc>
      </w:tr>
      <w:tr>
        <w:trPr>
          <w:trHeight w:val="212"/>
        </w:trPr>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0" w:type="dxa"/>
            <w:vAlign w:val="bottom"/>
          </w:tcPr>
          <w:p>
            <w:pPr>
              <w:spacing w:after="0"/>
              <w:rPr>
                <w:sz w:val="1"/>
                <w:szCs w:val="1"/>
                <w:color w:val="auto"/>
              </w:rPr>
            </w:pPr>
          </w:p>
        </w:tc>
      </w:tr>
      <w:tr>
        <w:trPr>
          <w:trHeight w:val="209"/>
        </w:trPr>
        <w:tc>
          <w:tcPr>
            <w:tcW w:w="5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12"/>
        </w:trPr>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2"/>
        </w:trPr>
        <w:tc>
          <w:tcPr>
            <w:tcW w:w="59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0" w:type="dxa"/>
            <w:vAlign w:val="bottom"/>
          </w:tcPr>
          <w:p>
            <w:pPr>
              <w:spacing w:after="0"/>
              <w:rPr>
                <w:sz w:val="1"/>
                <w:szCs w:val="1"/>
                <w:color w:val="auto"/>
              </w:rPr>
            </w:pPr>
          </w:p>
        </w:tc>
      </w:tr>
      <w:tr>
        <w:trPr>
          <w:trHeight w:val="20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209"/>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and other income (expense), net</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209"/>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29"/>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tcBorders>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20" w:type="dxa"/>
            <w:vAlign w:val="bottom"/>
            <w:vMerge w:val="continue"/>
          </w:tcPr>
          <w:p>
            <w:pPr>
              <w:spacing w:after="0"/>
              <w:rPr>
                <w:sz w:val="15"/>
                <w:szCs w:val="15"/>
                <w:color w:val="auto"/>
              </w:rPr>
            </w:pPr>
          </w:p>
        </w:tc>
        <w:tc>
          <w:tcPr>
            <w:tcW w:w="84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5"/>
                <w:szCs w:val="15"/>
                <w:color w:val="auto"/>
              </w:rPr>
            </w:pPr>
          </w:p>
        </w:tc>
        <w:tc>
          <w:tcPr>
            <w:tcW w:w="82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40" w:type="dxa"/>
            <w:vAlign w:val="bottom"/>
            <w:tcBorders>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in computing basic net income per share</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20" w:type="dxa"/>
            <w:vAlign w:val="bottom"/>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in computing diluted net income per share</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2360" w:type="dxa"/>
            <w:vAlign w:val="bottom"/>
            <w:gridSpan w:val="4"/>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4"/>
        </w:trPr>
        <w:tc>
          <w:tcPr>
            <w:tcW w:w="56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09"/>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reclassifications:</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660" w:type="dxa"/>
            <w:vAlign w:val="bottom"/>
            <w:shd w:val="clear" w:color="auto" w:fill="CCEEFF"/>
          </w:tcPr>
          <w:p>
            <w:pPr>
              <w:ind w:left="220"/>
              <w:spacing w:after="0" w:line="160" w:lineRule="exact"/>
              <w:rPr>
                <w:sz w:val="20"/>
                <w:szCs w:val="20"/>
                <w:color w:val="auto"/>
              </w:rPr>
            </w:pPr>
            <w:r>
              <w:rPr>
                <w:rFonts w:ascii="Times New Roman" w:cs="Times New Roman" w:eastAsia="Times New Roman" w:hAnsi="Times New Roman"/>
                <w:sz w:val="16"/>
                <w:szCs w:val="16"/>
                <w:color w:val="auto"/>
              </w:rPr>
              <w:t>Net loss on derivative instruments (net of tax effect of $1,$1, $1, and $3,</w:t>
            </w:r>
          </w:p>
        </w:tc>
        <w:tc>
          <w:tcPr>
            <w:tcW w:w="88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1"/>
        </w:trPr>
        <w:tc>
          <w:tcPr>
            <w:tcW w:w="5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respectively)</w:t>
            </w:r>
          </w:p>
        </w:tc>
        <w:tc>
          <w:tcPr>
            <w:tcW w:w="88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60" w:type="dxa"/>
            <w:vAlign w:val="bottom"/>
          </w:tcPr>
          <w:p>
            <w:pPr>
              <w:ind w:left="220"/>
              <w:spacing w:after="0" w:line="158" w:lineRule="exact"/>
              <w:rPr>
                <w:sz w:val="20"/>
                <w:szCs w:val="20"/>
                <w:color w:val="auto"/>
              </w:rPr>
            </w:pPr>
            <w:r>
              <w:rPr>
                <w:rFonts w:ascii="Times New Roman" w:cs="Times New Roman" w:eastAsia="Times New Roman" w:hAnsi="Times New Roman"/>
                <w:sz w:val="16"/>
                <w:szCs w:val="16"/>
                <w:color w:val="auto"/>
              </w:rPr>
              <w:t>Change in net unrealized gain (loss) on available-for-sale debt securities (net of tax</w:t>
            </w:r>
          </w:p>
        </w:tc>
        <w:tc>
          <w:tcPr>
            <w:tcW w:w="880" w:type="dxa"/>
            <w:vAlign w:val="bottom"/>
          </w:tcPr>
          <w:p>
            <w:pPr>
              <w:spacing w:after="0"/>
              <w:rPr>
                <w:sz w:val="13"/>
                <w:szCs w:val="13"/>
                <w:color w:val="auto"/>
              </w:rPr>
            </w:pPr>
          </w:p>
        </w:tc>
        <w:tc>
          <w:tcPr>
            <w:tcW w:w="4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56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effect of zero for all periods presented)</w:t>
            </w:r>
          </w:p>
        </w:tc>
        <w:tc>
          <w:tcPr>
            <w:tcW w:w="88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660" w:type="dxa"/>
            <w:vAlign w:val="bottom"/>
            <w:shd w:val="clear" w:color="auto" w:fill="CCEEFF"/>
          </w:tcPr>
          <w:p>
            <w:pPr>
              <w:ind w:left="220"/>
              <w:spacing w:after="0" w:line="160" w:lineRule="exact"/>
              <w:rPr>
                <w:sz w:val="20"/>
                <w:szCs w:val="20"/>
                <w:color w:val="auto"/>
              </w:rPr>
            </w:pPr>
            <w:r>
              <w:rPr>
                <w:rFonts w:ascii="Times New Roman" w:cs="Times New Roman" w:eastAsia="Times New Roman" w:hAnsi="Times New Roman"/>
                <w:sz w:val="16"/>
                <w:szCs w:val="16"/>
                <w:color w:val="auto"/>
                <w:w w:val="99"/>
              </w:rPr>
              <w:t>Net change in cumulative foreign currency translation gain (loss) (net of tax effect of</w:t>
            </w:r>
          </w:p>
        </w:tc>
        <w:tc>
          <w:tcPr>
            <w:tcW w:w="88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1"/>
        </w:trPr>
        <w:tc>
          <w:tcPr>
            <w:tcW w:w="5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zero, zero, zero, and $5, respectively)</w:t>
            </w:r>
          </w:p>
        </w:tc>
        <w:tc>
          <w:tcPr>
            <w:tcW w:w="8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8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1"/>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 w:name="page6"/>
    <w:bookmarkEnd w:id="5"/>
    <w:p>
      <w:pPr>
        <w:ind w:left="5220"/>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80" w:type="dxa"/>
            <w:vAlign w:val="bottom"/>
          </w:tcPr>
          <w:p>
            <w:pPr>
              <w:spacing w:after="0"/>
              <w:rPr>
                <w:sz w:val="16"/>
                <w:szCs w:val="16"/>
                <w:color w:val="auto"/>
              </w:rPr>
            </w:pPr>
          </w:p>
        </w:tc>
        <w:tc>
          <w:tcPr>
            <w:tcW w:w="13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4"/>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8000" w:type="dxa"/>
            <w:vAlign w:val="bottom"/>
            <w:shd w:val="clear" w:color="auto" w:fill="CCEEFF"/>
          </w:tcPr>
          <w:p>
            <w:pPr>
              <w:ind w:left="37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1,513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Marketable securities</w:t>
            </w:r>
          </w:p>
        </w:tc>
        <w:tc>
          <w:tcPr>
            <w:tcW w:w="2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478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2,758</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w:t>
            </w:r>
          </w:p>
        </w:tc>
        <w:tc>
          <w:tcPr>
            <w:tcW w:w="0" w:type="dxa"/>
            <w:vAlign w:val="bottom"/>
          </w:tcPr>
          <w:p>
            <w:pPr>
              <w:spacing w:after="0"/>
              <w:rPr>
                <w:sz w:val="1"/>
                <w:szCs w:val="1"/>
                <w:color w:val="auto"/>
              </w:rPr>
            </w:pPr>
          </w:p>
        </w:tc>
      </w:tr>
      <w:tr>
        <w:trPr>
          <w:trHeight w:val="202"/>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marketable securities</w:t>
            </w:r>
          </w:p>
        </w:tc>
        <w:tc>
          <w:tcPr>
            <w:tcW w:w="24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software, furniture and leasehold improvements, net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4,253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3,653</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Long-term other assets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659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9,960</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2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0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174</w:t>
            </w:r>
          </w:p>
        </w:tc>
        <w:tc>
          <w:tcPr>
            <w:tcW w:w="14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income taxes</w:t>
            </w:r>
          </w:p>
        </w:tc>
        <w:tc>
          <w:tcPr>
            <w:tcW w:w="2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notes payable, net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4,337</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4,351</w:t>
            </w:r>
          </w:p>
        </w:tc>
        <w:tc>
          <w:tcPr>
            <w:tcW w:w="0" w:type="dxa"/>
            <w:vAlign w:val="bottom"/>
          </w:tcPr>
          <w:p>
            <w:pPr>
              <w:spacing w:after="0"/>
              <w:rPr>
                <w:sz w:val="1"/>
                <w:szCs w:val="1"/>
                <w:color w:val="auto"/>
              </w:rPr>
            </w:pPr>
          </w:p>
        </w:tc>
      </w:tr>
      <w:tr>
        <w:trPr>
          <w:trHeight w:val="202"/>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deferred revenue</w:t>
            </w:r>
          </w:p>
        </w:tc>
        <w:tc>
          <w:tcPr>
            <w:tcW w:w="24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income taxes payable</w:t>
            </w:r>
          </w:p>
        </w:tc>
        <w:tc>
          <w:tcPr>
            <w:tcW w:w="2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deferred income taxes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notes payable, net</w:t>
            </w:r>
          </w:p>
        </w:tc>
        <w:tc>
          <w:tcPr>
            <w:tcW w:w="2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1,986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other liabilities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 and additional paid-in capital</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4,009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0" w:type="dxa"/>
            <w:vAlign w:val="bottom"/>
          </w:tcPr>
          <w:p>
            <w:pPr>
              <w:spacing w:after="0"/>
              <w:rPr>
                <w:sz w:val="1"/>
                <w:szCs w:val="1"/>
                <w:color w:val="auto"/>
              </w:rPr>
            </w:pPr>
          </w:p>
        </w:tc>
      </w:tr>
      <w:tr>
        <w:trPr>
          <w:trHeight w:val="202"/>
        </w:trPr>
        <w:tc>
          <w:tcPr>
            <w:tcW w:w="80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2,474</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9,960</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69" w:right="37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2640" w:type="dxa"/>
            <w:vAlign w:val="bottom"/>
            <w:gridSpan w:val="4"/>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52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4"/>
        </w:trPr>
        <w:tc>
          <w:tcPr>
            <w:tcW w:w="8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r>
      <w:tr>
        <w:trPr>
          <w:trHeight w:val="19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tcPr>
          <w:p>
            <w:pPr>
              <w:spacing w:after="0"/>
              <w:rPr>
                <w:sz w:val="18"/>
                <w:szCs w:val="18"/>
                <w:color w:val="auto"/>
              </w:rPr>
            </w:pPr>
          </w:p>
        </w:tc>
        <w:tc>
          <w:tcPr>
            <w:tcW w:w="1000" w:type="dxa"/>
            <w:vAlign w:val="bottom"/>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costs to obtain a contract with a customer</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Lease-related asset impairments</w:t>
            </w:r>
          </w:p>
        </w:tc>
        <w:tc>
          <w:tcPr>
            <w:tcW w:w="10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business combinations: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income taxes</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02"/>
        </w:trPr>
        <w:tc>
          <w:tcPr>
            <w:tcW w:w="802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w:t>
            </w:r>
          </w:p>
        </w:tc>
      </w:tr>
      <w:tr>
        <w:trPr>
          <w:trHeight w:val="19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maturities of marketable securities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Capital expenditures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2"/>
        </w:trPr>
        <w:tc>
          <w:tcPr>
            <w:tcW w:w="802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r>
      <w:tr>
        <w:trPr>
          <w:trHeight w:val="19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09"/>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w:t>
            </w:r>
          </w:p>
        </w:tc>
      </w:tr>
      <w:tr>
        <w:trPr>
          <w:trHeight w:val="206"/>
        </w:trPr>
        <w:tc>
          <w:tcPr>
            <w:tcW w:w="8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202"/>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0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1,947</w:t>
            </w:r>
          </w:p>
        </w:tc>
      </w:tr>
      <w:tr>
        <w:trPr>
          <w:trHeight w:val="22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000" w:type="dxa"/>
            <w:vAlign w:val="bottom"/>
            <w:tcBorders>
              <w:bottom w:val="single" w:sz="8" w:color="auto"/>
            </w:tcBorders>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cash flow disclosure: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financing activities: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Fair value of common stock issued to settle liability-classified restricted common stock</w:t>
            </w:r>
          </w:p>
        </w:tc>
        <w:tc>
          <w:tcPr>
            <w:tcW w:w="100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bl>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69" w:right="3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share and per share data, or as otherwise noted)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Basis of Presentation</w:t>
      </w:r>
    </w:p>
    <w:p>
      <w:pPr>
        <w:spacing w:after="0" w:line="244" w:lineRule="exact"/>
        <w:rPr>
          <w:sz w:val="20"/>
          <w:szCs w:val="20"/>
          <w:color w:val="auto"/>
        </w:rPr>
      </w:pPr>
    </w:p>
    <w:p>
      <w:pPr>
        <w:ind w:firstLine="434"/>
        <w:spacing w:after="0" w:line="24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Autodesk, Inc. (“Autodesk,” “we,” “us,” “our,” or the “Company”) as of July 31, 2024, and for the three and six months ended July 31, 2024 and 2023,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six months ended July 31, 2024, are not necessarily indicative of the results for the entire fiscal year ending January 31, 2025, or for any other period. Further, the balance sheet as of January 31, 2024, has been derived from the audited Consolidated Balance Sheet as of this date. There have been no material changes, other than what is discussed herein, to Autodesk's significant accounting policies as compared to the significant accounting policies disclosed in the Annual Report on Form 10-K for the fiscal year ended January 31, 2024.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2024, filed on June 10,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presentation</w:t>
      </w:r>
    </w:p>
    <w:p>
      <w:pPr>
        <w:spacing w:after="0" w:line="242" w:lineRule="exact"/>
        <w:rPr>
          <w:sz w:val="20"/>
          <w:szCs w:val="20"/>
          <w:color w:val="auto"/>
        </w:rPr>
      </w:pPr>
    </w:p>
    <w:p>
      <w:pPr>
        <w:ind w:right="200" w:firstLine="434"/>
        <w:spacing w:after="0" w:line="249" w:lineRule="auto"/>
        <w:rPr>
          <w:sz w:val="20"/>
          <w:szCs w:val="20"/>
          <w:color w:val="auto"/>
        </w:rPr>
      </w:pPr>
      <w:r>
        <w:rPr>
          <w:rFonts w:ascii="Times New Roman" w:cs="Times New Roman" w:eastAsia="Times New Roman" w:hAnsi="Times New Roman"/>
          <w:sz w:val="18"/>
          <w:szCs w:val="18"/>
          <w:color w:val="auto"/>
        </w:rPr>
        <w:t>During the six months ended July 31, 2024, the Company changed its presentation of the amortization of costs capitalized to obtain a contract with a customer in our Condensed Consolidated Statements of Cash Flows. Amortization of costs capitalized to obtain a contract with a customer were previously presented in “Changes in operating assets and liabilities, net of business combinations” and are now presented in “Adjustments to reconcile net income to net cash provided by operating activities.” Accordingly, prior period amounts have been reclassified to conform to the current period presentation. These reclassifications did not impact total net cash provided by operating activities. The effect of the change on the Condensed Consolidated Statement of Cash Flows for the six months ended July 31, 2023 was $63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Recently Issued Accounting Standards</w:t>
      </w:r>
    </w:p>
    <w:p>
      <w:pPr>
        <w:spacing w:after="0" w:line="244" w:lineRule="exact"/>
        <w:rPr>
          <w:sz w:val="20"/>
          <w:szCs w:val="20"/>
          <w:color w:val="auto"/>
        </w:rPr>
      </w:pPr>
    </w:p>
    <w:p>
      <w:pPr>
        <w:ind w:right="480" w:firstLine="434"/>
        <w:spacing w:after="0" w:line="268" w:lineRule="auto"/>
        <w:rPr>
          <w:sz w:val="20"/>
          <w:szCs w:val="20"/>
          <w:color w:val="auto"/>
        </w:rPr>
      </w:pPr>
      <w:r>
        <w:rPr>
          <w:rFonts w:ascii="Times New Roman" w:cs="Times New Roman" w:eastAsia="Times New Roman" w:hAnsi="Times New Roman"/>
          <w:sz w:val="18"/>
          <w:szCs w:val="18"/>
          <w:color w:val="auto"/>
        </w:rPr>
        <w:t>With the exception of those discussed below, there have been no recent changes in accounting pronouncements issued by the Financial Accounting Standards Board (“FASB”) or adopted by the Company during the six months ended July 31, 2024, that are applicable to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242" w:lineRule="exact"/>
        <w:rPr>
          <w:sz w:val="20"/>
          <w:szCs w:val="20"/>
          <w:color w:val="auto"/>
        </w:rPr>
      </w:pPr>
    </w:p>
    <w:p>
      <w:pPr>
        <w:ind w:right="180" w:firstLine="395"/>
        <w:spacing w:after="0" w:line="249"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 to Income Tax Disclosures” (“ASU 2023-09”), to enhance the transparency and decision usefulness of income tax disclosures. ASU 2023-09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ASU 2023-09 is effective for Autodesk’s fiscal year beginning February 1, 2025 on a prospective basis. Early adoption is permitted. Autodesk is currently evaluating the effect of adopting ASU 2023-09 on its disclosures.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42"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which are intended to improve reportable segment disclosure requirements. ASU 2023-07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All disclosure requirements of ASU 2023-07 are required for entities with a single reportable segment. ASU 2023-07 is effective for Autodesk’s fiscal year beginning February 1, 2024, and interim periods for Autodesk’s fiscal year beginning February 1, 2025, and should be applied on a retrospective basis to all periods presented. Autodesk is currently evaluating the effect of adopting ASU 2023-07 on its fiscal year 2025 disclosures.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Revenue Recognition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Disaggregation</w:t>
      </w:r>
    </w:p>
    <w:p>
      <w:pPr>
        <w:spacing w:after="0" w:line="242" w:lineRule="exact"/>
        <w:rPr>
          <w:sz w:val="20"/>
          <w:szCs w:val="20"/>
          <w:color w:val="auto"/>
        </w:rPr>
      </w:pPr>
    </w:p>
    <w:p>
      <w:pPr>
        <w:ind w:right="220" w:firstLine="434"/>
        <w:spacing w:after="0" w:line="256" w:lineRule="auto"/>
        <w:rPr>
          <w:sz w:val="20"/>
          <w:szCs w:val="20"/>
          <w:color w:val="auto"/>
        </w:rPr>
      </w:pPr>
      <w:r>
        <w:rPr>
          <w:rFonts w:ascii="Times New Roman" w:cs="Times New Roman" w:eastAsia="Times New Roman" w:hAnsi="Times New Roman"/>
          <w:sz w:val="18"/>
          <w:szCs w:val="18"/>
          <w:color w:val="auto"/>
        </w:rPr>
        <w:t>Autodesk recognizes revenue from the sale of (1) product subscriptions, cloud service offerings, and enterprise business agreements (“EBAs”), (2) renewal fees for existing maintenance plan agreements that were initially purchased with a perpetual software license, and (3) consulting and other products and services. The three categories are presented as line items on Autodesk's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69" w:right="399" w:bottom="1440" w:gutter="0" w:footer="0" w:header="0"/>
        </w:sectPr>
      </w:pPr>
    </w:p>
    <w:bookmarkStart w:id="9" w:name="page10"/>
    <w:bookmarkEnd w:id="9"/>
    <w:p>
      <w:pPr>
        <w:ind w:right="240" w:firstLine="434"/>
        <w:spacing w:after="0" w:line="268" w:lineRule="auto"/>
        <w:rPr>
          <w:sz w:val="20"/>
          <w:szCs w:val="20"/>
          <w:color w:val="auto"/>
        </w:rPr>
      </w:pPr>
      <w:r>
        <w:rPr>
          <w:rFonts w:ascii="Times New Roman" w:cs="Times New Roman" w:eastAsia="Times New Roman" w:hAnsi="Times New Roman"/>
          <w:sz w:val="18"/>
          <w:szCs w:val="18"/>
          <w:color w:val="auto"/>
        </w:rPr>
        <w:t>Information regarding the components of Autodesk's net revenue from contracts with customers by product family, geographic location, sales channel, and product type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4"/>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56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9"/>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Architecture, Engineering and Construction</w:t>
            </w: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w:t>
            </w:r>
          </w:p>
        </w:tc>
      </w:tr>
      <w:tr>
        <w:trPr>
          <w:trHeight w:val="212"/>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AutoCAD and AutoCAD LT</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r>
      <w:tr>
        <w:trPr>
          <w:trHeight w:val="209"/>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Manufacturing</w:t>
            </w:r>
          </w:p>
        </w:tc>
        <w:tc>
          <w:tcPr>
            <w:tcW w:w="86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r>
      <w:tr>
        <w:trPr>
          <w:trHeight w:val="212"/>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Media and Entertainment</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09"/>
        </w:trPr>
        <w:tc>
          <w:tcPr>
            <w:tcW w:w="5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2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1,345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geographic area:</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Americas</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5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U.S.</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r>
      <w:tr>
        <w:trPr>
          <w:trHeight w:val="209"/>
        </w:trPr>
        <w:tc>
          <w:tcPr>
            <w:tcW w:w="56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 Americas</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06"/>
        </w:trPr>
        <w:tc>
          <w:tcPr>
            <w:tcW w:w="56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Americas</w:t>
            </w: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w:t>
            </w:r>
          </w:p>
        </w:tc>
      </w:tr>
      <w:tr>
        <w:trPr>
          <w:trHeight w:val="209"/>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86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r>
      <w:tr>
        <w:trPr>
          <w:trHeight w:val="212"/>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Asia Pacific</w:t>
            </w: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202"/>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1,345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2,614</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8"/>
        </w:trPr>
        <w:tc>
          <w:tcPr>
            <w:tcW w:w="5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 by sales channel:</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Indirect</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w:t>
            </w:r>
          </w:p>
        </w:tc>
      </w:tr>
      <w:tr>
        <w:trPr>
          <w:trHeight w:val="209"/>
        </w:trPr>
        <w:tc>
          <w:tcPr>
            <w:tcW w:w="5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Direct</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w:t>
            </w:r>
          </w:p>
        </w:tc>
      </w:tr>
      <w:tr>
        <w:trPr>
          <w:trHeight w:val="22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1,345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type:</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Design</w:t>
            </w: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1,257</w:t>
            </w:r>
          </w:p>
        </w:tc>
        <w:tc>
          <w:tcPr>
            <w:tcW w:w="10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1,154</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w:t>
            </w:r>
          </w:p>
        </w:tc>
      </w:tr>
      <w:tr>
        <w:trPr>
          <w:trHeight w:val="212"/>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Make</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09"/>
        </w:trPr>
        <w:tc>
          <w:tcPr>
            <w:tcW w:w="5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2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1,345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Payments for product subscriptions, cloud subscriptions, and maintenance subscriptions are typically due in annual installments or up front with payment terms of 30 to 45 days. Payments on EBAs are due up front or in annual installments over the contract term, with payment terms of 30 to 60 days. Autodesk does not have any material variable consideration, such as obligations for returns, refunds, warranties, or amounts due to customers for which significant estimation or judgment is required as of the reporting date.</w:t>
      </w:r>
    </w:p>
    <w:p>
      <w:pPr>
        <w:spacing w:after="0" w:line="210" w:lineRule="exact"/>
        <w:rPr>
          <w:sz w:val="20"/>
          <w:szCs w:val="20"/>
          <w:color w:val="auto"/>
        </w:rPr>
      </w:pPr>
    </w:p>
    <w:p>
      <w:pPr>
        <w:ind w:right="220" w:firstLine="395"/>
        <w:spacing w:after="0" w:line="252" w:lineRule="auto"/>
        <w:rPr>
          <w:sz w:val="20"/>
          <w:szCs w:val="20"/>
          <w:color w:val="auto"/>
        </w:rPr>
      </w:pPr>
      <w:r>
        <w:rPr>
          <w:rFonts w:ascii="Times New Roman" w:cs="Times New Roman" w:eastAsia="Times New Roman" w:hAnsi="Times New Roman"/>
          <w:sz w:val="18"/>
          <w:szCs w:val="18"/>
          <w:color w:val="auto"/>
        </w:rPr>
        <w:t>Remaining performance obligations consist of total short-term, long-term, and unbilled deferred revenue. As of July 31, 2024, Autodesk had remaining performance obligations of $5.86 billion, which represents the total transaction price allocated to remaining performance obligations, which are generally recognized over the next three years. We expect to recognize $3.90 billion or 66% of our remaining performance obligations as revenue during the next 12 months. We expect to recognize the remaining $1.96 billion or 34% of our remaining performance obligations as revenue thereafter.</w:t>
      </w:r>
    </w:p>
    <w:p>
      <w:pPr>
        <w:spacing w:after="0" w:line="210" w:lineRule="exact"/>
        <w:rPr>
          <w:sz w:val="20"/>
          <w:szCs w:val="20"/>
          <w:color w:val="auto"/>
        </w:rPr>
      </w:pPr>
    </w:p>
    <w:p>
      <w:pPr>
        <w:ind w:right="520" w:firstLine="395"/>
        <w:spacing w:after="0" w:line="268" w:lineRule="auto"/>
        <w:rPr>
          <w:sz w:val="20"/>
          <w:szCs w:val="20"/>
          <w:color w:val="auto"/>
        </w:rPr>
      </w:pPr>
      <w:r>
        <w:rPr>
          <w:rFonts w:ascii="Times New Roman" w:cs="Times New Roman" w:eastAsia="Times New Roman" w:hAnsi="Times New Roman"/>
          <w:sz w:val="18"/>
          <w:szCs w:val="18"/>
          <w:color w:val="auto"/>
        </w:rPr>
        <w:t>The amount of remaining performance obligations may be impacted by the specific timing, duration, and size of customer subscription and support agreements, the specific timing of customer renewals, and foreign currency fluctuations.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42" w:lineRule="exact"/>
        <w:rPr>
          <w:sz w:val="20"/>
          <w:szCs w:val="20"/>
          <w:color w:val="auto"/>
        </w:rPr>
      </w:pPr>
    </w:p>
    <w:p>
      <w:pPr>
        <w:ind w:right="480" w:firstLine="395"/>
        <w:spacing w:after="0" w:line="268" w:lineRule="auto"/>
        <w:rPr>
          <w:sz w:val="20"/>
          <w:szCs w:val="20"/>
          <w:color w:val="auto"/>
        </w:rPr>
      </w:pPr>
      <w:r>
        <w:rPr>
          <w:rFonts w:ascii="Times New Roman" w:cs="Times New Roman" w:eastAsia="Times New Roman" w:hAnsi="Times New Roman"/>
          <w:sz w:val="18"/>
          <w:szCs w:val="18"/>
          <w:color w:val="auto"/>
        </w:rPr>
        <w:t>We receive payments from customers based on a billing schedule as established in our contracts. Contract assets relate to performance completed in advance of scheduled billings. Contract assets were not material as of July 31, 2024. Deferred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0" w:name="page11"/>
    <w:bookmarkEnd w:id="10"/>
    <w:p>
      <w:pPr>
        <w:ind w:right="480"/>
        <w:spacing w:after="0" w:line="268" w:lineRule="auto"/>
        <w:rPr>
          <w:sz w:val="20"/>
          <w:szCs w:val="20"/>
          <w:color w:val="auto"/>
        </w:rPr>
      </w:pPr>
      <w:r>
        <w:rPr>
          <w:rFonts w:ascii="Times New Roman" w:cs="Times New Roman" w:eastAsia="Times New Roman" w:hAnsi="Times New Roman"/>
          <w:sz w:val="18"/>
          <w:szCs w:val="18"/>
          <w:color w:val="auto"/>
        </w:rPr>
        <w:t>revenue relates to billings in advance of performance under the contract. The primary changes in our contract assets and deferred revenues are due to our performance under the contracts and billings.</w:t>
      </w:r>
    </w:p>
    <w:p>
      <w:pPr>
        <w:spacing w:after="0" w:line="196"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Revenue recognized during the three months ended July 31, 2024 and 2023, that was included in the deferred revenue balances at January 31, 2024 and 2023, was $1.02 billion and $913 million, respectively. Revenue recognized during the six months ended July 31, 2024 and 2023, that was included in the deferred revenue balances at January 31, 2024 and 2023, was $2.21 billion and $1.98 billion, respectively. The satisfaction of performance obligations typically lags behind payments received under revenue contracts from customers.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Concentration of Credit Risk</w:t>
      </w:r>
    </w:p>
    <w:p>
      <w:pPr>
        <w:spacing w:after="0" w:line="218"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$1.5 billion revolving credit facility. See Note 14, “Borrowing Arrangements,” in the Notes to Condensed Consolidated Financial Statements for further discussion.</w:t>
      </w:r>
    </w:p>
    <w:p>
      <w:pPr>
        <w:spacing w:after="0" w:line="212" w:lineRule="exact"/>
        <w:rPr>
          <w:sz w:val="20"/>
          <w:szCs w:val="20"/>
          <w:color w:val="auto"/>
        </w:rPr>
      </w:pPr>
    </w:p>
    <w:p>
      <w:pPr>
        <w:ind w:right="100" w:firstLine="395"/>
        <w:spacing w:after="0" w:line="289" w:lineRule="auto"/>
        <w:rPr>
          <w:sz w:val="20"/>
          <w:szCs w:val="20"/>
          <w:color w:val="auto"/>
        </w:rPr>
      </w:pPr>
      <w:r>
        <w:rPr>
          <w:rFonts w:ascii="Times New Roman" w:cs="Times New Roman" w:eastAsia="Times New Roman" w:hAnsi="Times New Roman"/>
          <w:sz w:val="16"/>
          <w:szCs w:val="16"/>
          <w:color w:val="auto"/>
        </w:rPr>
        <w:t>Total revenue from the Company's largest distributor TD Synnex Corporation and its global affiliates (“TD Synnex”) accounted for 36% and 37% of Autodesk’s total net revenue during the three and six months ended July 31, 2024, respectively. Total revenue from TD Synnex accounted for 40% of Autodesk’s total net revenue during both the three and six months ended July 31, 2023. The majority of the net revenue from sales to TD Synnex is from sales outside of the United States. In addition, TD Synnex accounted for 19% and 18% of trade accounts receivable at July 31, 2024, and January 31, 2024, respectively. No other customer accounted for more than 10% of Autodesk's total net revenue or trade accounts receivable for each of the respective periods.</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Financial Instruments</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summarize the Company's financial instruments by significant investment category as of July 31, 2024, and January 31, 2024:</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80" w:type="dxa"/>
            <w:vAlign w:val="bottom"/>
            <w:gridSpan w:val="3"/>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300" w:type="dxa"/>
            <w:vAlign w:val="bottom"/>
            <w:gridSpan w:val="3"/>
          </w:tcPr>
          <w:p>
            <w:pPr>
              <w:ind w:left="80"/>
              <w:spacing w:after="0" w:line="12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80" w:type="dxa"/>
            <w:vAlign w:val="bottom"/>
          </w:tcPr>
          <w:p>
            <w:pPr>
              <w:spacing w:after="0"/>
              <w:rPr>
                <w:sz w:val="11"/>
                <w:szCs w:val="11"/>
                <w:color w:val="auto"/>
              </w:rPr>
            </w:pPr>
          </w:p>
        </w:tc>
        <w:tc>
          <w:tcPr>
            <w:tcW w:w="100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38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 (1):</w:t>
            </w: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tcPr>
          <w:p>
            <w:pPr>
              <w:spacing w:after="0"/>
              <w:rPr>
                <w:sz w:val="18"/>
                <w:szCs w:val="18"/>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paper</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(2)</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09"/>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9"/>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9"/>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Agency mortgage-backed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9"/>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(4)</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Mutual funds (5) (6)</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6"/>
              </w:rPr>
              <w:t>(2)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1" w:lineRule="exact"/>
        <w:rPr>
          <w:sz w:val="20"/>
          <w:szCs w:val="20"/>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agency discount bonds and corporate debt securities.</w:t>
      </w: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agency discount bonds and mortgage-backed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agency bonds and agency collateralized mortgage obligations.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12, “Deferred Compensation” for more information.</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867" w:right="4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5"/>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720" w:type="dxa"/>
            <w:vAlign w:val="bottom"/>
          </w:tcPr>
          <w:p>
            <w:pPr>
              <w:jc w:val="center"/>
              <w:ind w:left="185"/>
              <w:spacing w:after="0" w:line="12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80" w:type="dxa"/>
            <w:vAlign w:val="bottom"/>
            <w:gridSpan w:val="3"/>
            <w:vMerge w:val="continue"/>
          </w:tcPr>
          <w:p>
            <w:pPr>
              <w:spacing w:after="0"/>
              <w:rPr>
                <w:sz w:val="12"/>
                <w:szCs w:val="12"/>
                <w:color w:val="auto"/>
              </w:rPr>
            </w:pPr>
          </w:p>
        </w:tc>
        <w:tc>
          <w:tcPr>
            <w:tcW w:w="108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16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720" w:type="dxa"/>
            <w:vAlign w:val="bottom"/>
          </w:tcPr>
          <w:p>
            <w:pPr>
              <w:jc w:val="center"/>
              <w:ind w:left="185"/>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 (1):</w:t>
            </w: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Money market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paper</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(2)</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09"/>
        </w:trPr>
        <w:tc>
          <w:tcPr>
            <w:tcW w:w="6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9"/>
        </w:trPr>
        <w:tc>
          <w:tcPr>
            <w:tcW w:w="6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9"/>
        </w:trPr>
        <w:tc>
          <w:tcPr>
            <w:tcW w:w="6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Asset backed securities</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Agency mortgage-backed securities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9"/>
        </w:trPr>
        <w:tc>
          <w:tcPr>
            <w:tcW w:w="6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Mutual funds (5) (6)</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1"/>
        </w:trPr>
        <w:tc>
          <w:tcPr>
            <w:tcW w:w="6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1,797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mortgage-backed securities and corporate debt securities.</w:t>
      </w: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discount bonds, U.S. government securities, mortgage-backed securities, certificates of deposit, and agency bonds.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bonds, agency collateralized mortgage obligations, and mortgage-backed securities.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12, “Deferred Compensation” for more information.</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spacing w:after="0" w:line="223"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summarizes the fair values of investments classified as marketable debt securities by contractual maturity date as of July 31, 2024:</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00" w:type="dxa"/>
            <w:vAlign w:val="bottom"/>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
        </w:trPr>
        <w:tc>
          <w:tcPr>
            <w:tcW w:w="9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4"/>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1 year</w:t>
            </w: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09"/>
        </w:trPr>
        <w:tc>
          <w:tcPr>
            <w:tcW w:w="9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in 1 year through 5 years</w:t>
            </w:r>
          </w:p>
        </w:tc>
        <w:tc>
          <w:tcPr>
            <w:tcW w:w="4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12"/>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in 5 years through 10 years</w:t>
            </w:r>
          </w:p>
        </w:tc>
        <w:tc>
          <w:tcPr>
            <w:tcW w:w="4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9"/>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Due after 10 years</w:t>
            </w:r>
          </w:p>
        </w:tc>
        <w:tc>
          <w:tcPr>
            <w:tcW w:w="4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31"/>
        </w:trPr>
        <w:tc>
          <w:tcPr>
            <w:tcW w:w="9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As of both July 31, 2024, and January 31, 2024, Autodesk had no material unrealized losses, individually and in the aggregate, for marketable debt securities that are in a continuous unrealized loss position for greater than 12 months. Total unrealized gains for securities with net gains in accumulated other comprehensive income were not material for the six months ended July 31, 2024.</w:t>
      </w:r>
    </w:p>
    <w:p>
      <w:pPr>
        <w:spacing w:after="0" w:line="206" w:lineRule="exact"/>
        <w:rPr>
          <w:sz w:val="20"/>
          <w:szCs w:val="20"/>
          <w:color w:val="auto"/>
        </w:rPr>
      </w:pPr>
    </w:p>
    <w:p>
      <w:pPr>
        <w:ind w:right="520" w:firstLine="395"/>
        <w:spacing w:after="0" w:line="268" w:lineRule="auto"/>
        <w:rPr>
          <w:sz w:val="20"/>
          <w:szCs w:val="20"/>
          <w:color w:val="auto"/>
        </w:rPr>
      </w:pPr>
      <w:r>
        <w:rPr>
          <w:rFonts w:ascii="Times New Roman" w:cs="Times New Roman" w:eastAsia="Times New Roman" w:hAnsi="Times New Roman"/>
          <w:sz w:val="18"/>
          <w:szCs w:val="18"/>
          <w:color w:val="auto"/>
        </w:rPr>
        <w:t>Autodesk monitors all marketable debt securities for potential credit losses by reviewing indicators such as, but not limited to, current credit rating, change in credit rating, credit outlook, and default risk. There were no allowances for credit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3" w:name="page14"/>
    <w:bookmarkEnd w:id="13"/>
    <w:p>
      <w:pPr>
        <w:ind w:right="80"/>
        <w:spacing w:after="0" w:line="268" w:lineRule="auto"/>
        <w:rPr>
          <w:sz w:val="20"/>
          <w:szCs w:val="20"/>
          <w:color w:val="auto"/>
        </w:rPr>
      </w:pPr>
      <w:r>
        <w:rPr>
          <w:rFonts w:ascii="Times New Roman" w:cs="Times New Roman" w:eastAsia="Times New Roman" w:hAnsi="Times New Roman"/>
          <w:sz w:val="18"/>
          <w:szCs w:val="18"/>
          <w:color w:val="auto"/>
        </w:rPr>
        <w:t>losses as of both July 31, 2024, and January 31, 2024. There were no write offs of accrued interest receivables for both the six months ended July 31, 2024 and 2023.</w:t>
      </w:r>
    </w:p>
    <w:p>
      <w:pPr>
        <w:spacing w:after="0" w:line="196"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There were no material realized gains or losses for the sales or redemptions of marketable debt securities during both the six months ended July 31, 2024 and 2023. Realized gains and losses from the sales or redemptions of marketable debt securities are recorded in “Interest and other income (expense), net” on the Company's Condensed Consolidated Statements of Operations.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Proceeds from the sale and maturity of marketable debt securities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2320" w:type="dxa"/>
            <w:vAlign w:val="bottom"/>
            <w:gridSpan w:val="4"/>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0" w:type="dxa"/>
            <w:vAlign w:val="bottom"/>
            <w:gridSpan w:val="4"/>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4"/>
        </w:trPr>
        <w:tc>
          <w:tcPr>
            <w:tcW w:w="58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58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debt securities</w:t>
            </w:r>
          </w:p>
        </w:tc>
        <w:tc>
          <w:tcPr>
            <w:tcW w:w="900" w:type="dxa"/>
            <w:vAlign w:val="bottom"/>
            <w:shd w:val="clear" w:color="auto" w:fill="CCEEFF"/>
          </w:tcPr>
          <w:p>
            <w:pPr>
              <w:jc w:val="right"/>
              <w:ind w:right="727"/>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r>
    </w:tbl>
    <w:p>
      <w:pPr>
        <w:spacing w:after="0" w:line="3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Strategic investments in equity securities</w:t>
      </w:r>
    </w:p>
    <w:p>
      <w:pPr>
        <w:spacing w:after="0" w:line="242"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color w:val="auto"/>
        </w:rPr>
        <w:t>As of July 31, 2024, and January 31, 2024, Autodesk had $160 million and $162 million, respectively, in direct investments in privately held companies. These strategic investments in equity securities do not have readily determined fair values, and Autodesk uses the measurement alternative to account for the adjustment to these investments in a given quarter. If Autodesk determines that an impairment has occurred, Autodesk writes down the investment to its fair value. These strategic investments in equity securities are generally subject to a security-specific restriction which limits the sale or transfer of the respective equity security during the holding period.</w:t>
      </w:r>
    </w:p>
    <w:p>
      <w:pPr>
        <w:spacing w:after="0" w:line="212"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Adjustments to the carrying value of our strategic investment equity securities with no readily determined fair values measured using the measurement alternative are included in “Interest and other income (expense), net” on the Company's Condensed Consolidated Statements of Operations. These adjustments were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0" w:type="dxa"/>
            <w:vAlign w:val="bottom"/>
          </w:tcPr>
          <w:p>
            <w:pPr>
              <w:spacing w:after="0"/>
              <w:rPr>
                <w:sz w:val="16"/>
                <w:szCs w:val="16"/>
                <w:color w:val="auto"/>
              </w:rPr>
            </w:pPr>
          </w:p>
        </w:tc>
        <w:tc>
          <w:tcPr>
            <w:tcW w:w="2140" w:type="dxa"/>
            <w:vAlign w:val="bottom"/>
            <w:gridSpan w:val="4"/>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Cumulative Amount as of</w:t>
            </w:r>
          </w:p>
        </w:tc>
      </w:tr>
      <w:tr>
        <w:trPr>
          <w:trHeight w:val="24"/>
        </w:trPr>
        <w:tc>
          <w:tcPr>
            <w:tcW w:w="68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84"/>
        </w:trPr>
        <w:tc>
          <w:tcPr>
            <w:tcW w:w="68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July 31, 2024</w:t>
            </w: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Upward adjustments</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9"/>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Negative adjustments, including impairments</w:t>
            </w: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w w:val="96"/>
              </w:rPr>
              <w:t>(6)</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06"/>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unrealized adjustments</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6"/>
              </w:rPr>
              <w:t>(6)</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bl>
    <w:p>
      <w:pPr>
        <w:spacing w:after="0" w:line="297" w:lineRule="exact"/>
        <w:rPr>
          <w:sz w:val="20"/>
          <w:szCs w:val="20"/>
          <w:color w:val="auto"/>
        </w:rPr>
      </w:pPr>
    </w:p>
    <w:p>
      <w:pPr>
        <w:ind w:right="760" w:firstLine="395"/>
        <w:spacing w:after="0" w:line="268" w:lineRule="auto"/>
        <w:rPr>
          <w:sz w:val="20"/>
          <w:szCs w:val="20"/>
          <w:color w:val="auto"/>
        </w:rPr>
      </w:pPr>
      <w:r>
        <w:rPr>
          <w:rFonts w:ascii="Times New Roman" w:cs="Times New Roman" w:eastAsia="Times New Roman" w:hAnsi="Times New Roman"/>
          <w:sz w:val="18"/>
          <w:szCs w:val="18"/>
          <w:color w:val="auto"/>
        </w:rPr>
        <w:t>Realized gains for the disposition of strategic investment equity securities for both the three and six months ended July 31, 2024 and 2023 were immaterial.</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42" w:lineRule="exact"/>
        <w:rPr>
          <w:sz w:val="20"/>
          <w:szCs w:val="20"/>
          <w:color w:val="auto"/>
        </w:rPr>
      </w:pPr>
    </w:p>
    <w:p>
      <w:pPr>
        <w:jc w:val="both"/>
        <w:ind w:right="480" w:firstLine="395"/>
        <w:spacing w:after="0" w:line="256" w:lineRule="auto"/>
        <w:rPr>
          <w:sz w:val="20"/>
          <w:szCs w:val="20"/>
          <w:color w:val="auto"/>
        </w:rPr>
      </w:pPr>
      <w:r>
        <w:rPr>
          <w:rFonts w:ascii="Times New Roman" w:cs="Times New Roman" w:eastAsia="Times New Roman" w:hAnsi="Times New Roman"/>
          <w:sz w:val="18"/>
          <w:szCs w:val="18"/>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 w:name="page15"/>
    <w:bookmarkEnd w:id="14"/>
    <w:p>
      <w:pPr>
        <w:ind w:left="400"/>
        <w:spacing w:after="0"/>
        <w:rPr>
          <w:sz w:val="20"/>
          <w:szCs w:val="20"/>
          <w:color w:val="auto"/>
        </w:rPr>
      </w:pPr>
      <w:r>
        <w:rPr>
          <w:rFonts w:ascii="Times New Roman" w:cs="Times New Roman" w:eastAsia="Times New Roman" w:hAnsi="Times New Roman"/>
          <w:sz w:val="16"/>
          <w:szCs w:val="16"/>
          <w:color w:val="auto"/>
        </w:rPr>
        <w:t>The following tables summarize the Company's financial instruments measured at fair value on a recurring basis by significant investment category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2024, and January 31, 2024:</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
        </w:trPr>
        <w:tc>
          <w:tcPr>
            <w:tcW w:w="6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4"/>
        </w:trPr>
        <w:tc>
          <w:tcPr>
            <w:tcW w:w="6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7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0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Cash equivalents (1):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209"/>
        </w:trPr>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2"/>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09"/>
        </w:trPr>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2"/>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2"/>
        </w:trPr>
        <w:tc>
          <w:tcPr>
            <w:tcW w:w="7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Agency mortgage-backed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Other (4)</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 other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Mutual funds (5)(6)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2"/>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Derivative contract assets (6)</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Derivative contract liabilities (7)</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1"/>
        </w:trPr>
        <w:tc>
          <w:tcPr>
            <w:tcW w:w="7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agency discount bonds and corporate debt securities.</w:t>
      </w: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agency discount bonds and mortgage-backed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agency bonds and agency collateralized mortgage obligations.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12, “Deferred Compensation” for more information.</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accrued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5"/>
        </w:trPr>
        <w:tc>
          <w:tcPr>
            <w:tcW w:w="7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
        </w:trPr>
        <w:tc>
          <w:tcPr>
            <w:tcW w:w="7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4"/>
        </w:trPr>
        <w:tc>
          <w:tcPr>
            <w:tcW w:w="7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09"/>
        </w:trPr>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equivalents (1):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r>
      <w:tr>
        <w:trPr>
          <w:trHeight w:val="209"/>
        </w:trPr>
        <w:tc>
          <w:tcPr>
            <w:tcW w:w="7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2"/>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09"/>
        </w:trPr>
        <w:tc>
          <w:tcPr>
            <w:tcW w:w="7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2"/>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9"/>
        </w:trPr>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 backed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2"/>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 backed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Agency bonds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(4)</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 other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Mutual funds (5) (6)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Derivative contract assets (6)</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Derivative contract liabilities (7)</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31"/>
        </w:trPr>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mortgage-backed securities and corporate debt securities.</w:t>
      </w: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discount bonds, U.S. government securities, mortgage-backed securities, certificates of deposit, and agency bonds.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bonds, agency collateralized mortgage obligations, and mortgage-backed securities.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12, “Deferred Compensation” for more information.</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accrued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left="200" w:right="9460" w:hanging="195"/>
        <w:spacing w:after="0" w:line="586" w:lineRule="auto"/>
        <w:tabs>
          <w:tab w:leader="none" w:pos="178" w:val="left"/>
        </w:tabs>
        <w:numPr>
          <w:ilvl w:val="0"/>
          <w:numId w:val="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Equity Compensation </w:t>
      </w:r>
      <w:r>
        <w:rPr>
          <w:rFonts w:ascii="Times New Roman" w:cs="Times New Roman" w:eastAsia="Times New Roman" w:hAnsi="Times New Roman"/>
          <w:sz w:val="16"/>
          <w:szCs w:val="16"/>
          <w:i w:val="1"/>
          <w:iCs w:val="1"/>
          <w:color w:val="auto"/>
        </w:rPr>
        <w:t>Restricted Stock Units</w:t>
      </w:r>
    </w:p>
    <w:p>
      <w:pPr>
        <w:ind w:left="44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A summary of restricted stock activity for the six months ended July 31, 2024,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3"/>
        </w:trPr>
        <w:tc>
          <w:tcPr>
            <w:tcW w:w="82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25"/>
              <w:spacing w:after="0" w:line="143"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5"/>
        </w:trPr>
        <w:tc>
          <w:tcPr>
            <w:tcW w:w="8240" w:type="dxa"/>
            <w:vAlign w:val="bottom"/>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restricted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25"/>
              <w:spacing w:after="0" w:line="145"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1"/>
        </w:trPr>
        <w:tc>
          <w:tcPr>
            <w:tcW w:w="824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 units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0" w:type="dxa"/>
            <w:vAlign w:val="bottom"/>
          </w:tcPr>
          <w:p>
            <w:pPr>
              <w:spacing w:after="0"/>
              <w:rPr>
                <w:sz w:val="1"/>
                <w:szCs w:val="1"/>
                <w:color w:val="auto"/>
              </w:rPr>
            </w:pPr>
          </w:p>
        </w:tc>
      </w:tr>
      <w:tr>
        <w:trPr>
          <w:trHeight w:val="191"/>
        </w:trPr>
        <w:tc>
          <w:tcPr>
            <w:tcW w:w="82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restricted stock units at January 31,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203.87</w:t>
            </w:r>
          </w:p>
        </w:tc>
        <w:tc>
          <w:tcPr>
            <w:tcW w:w="0" w:type="dxa"/>
            <w:vAlign w:val="bottom"/>
          </w:tcPr>
          <w:p>
            <w:pPr>
              <w:spacing w:after="0"/>
              <w:rPr>
                <w:sz w:val="1"/>
                <w:szCs w:val="1"/>
                <w:color w:val="auto"/>
              </w:rPr>
            </w:pPr>
          </w:p>
        </w:tc>
      </w:tr>
      <w:tr>
        <w:trPr>
          <w:trHeight w:val="209"/>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241.37</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206.42</w:t>
            </w:r>
          </w:p>
        </w:tc>
        <w:tc>
          <w:tcPr>
            <w:tcW w:w="0" w:type="dxa"/>
            <w:vAlign w:val="bottom"/>
          </w:tcPr>
          <w:p>
            <w:pPr>
              <w:spacing w:after="0"/>
              <w:rPr>
                <w:sz w:val="1"/>
                <w:szCs w:val="1"/>
                <w:color w:val="auto"/>
              </w:rPr>
            </w:pPr>
          </w:p>
        </w:tc>
      </w:tr>
      <w:tr>
        <w:trPr>
          <w:trHeight w:val="209"/>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Canceled/Forfeited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209.40</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Performance Adjustment (1)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193.79</w:t>
            </w:r>
          </w:p>
        </w:tc>
        <w:tc>
          <w:tcPr>
            <w:tcW w:w="0" w:type="dxa"/>
            <w:vAlign w:val="bottom"/>
          </w:tcPr>
          <w:p>
            <w:pPr>
              <w:spacing w:after="0"/>
              <w:rPr>
                <w:sz w:val="1"/>
                <w:szCs w:val="1"/>
                <w:color w:val="auto"/>
              </w:rPr>
            </w:pPr>
          </w:p>
        </w:tc>
      </w:t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restricted stock units at July 31,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right="440" w:hanging="395"/>
        <w:spacing w:after="0" w:line="252" w:lineRule="auto"/>
        <w:tabs>
          <w:tab w:leader="none" w:pos="4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Autodesk's financial results and relative total stockholder return for the fiscal 2024 performance period. The performance stock units were attained at rates ranging from 75% to 96% of the target award.</w:t>
      </w:r>
    </w:p>
    <w:p>
      <w:pPr>
        <w:spacing w:after="0" w:line="201"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fair value of the shares vested during the six months ended July 31, 2024 and 2023, was $514 million and $373 million, respectively.</w:t>
      </w:r>
    </w:p>
    <w:p>
      <w:pPr>
        <w:spacing w:after="0" w:line="240"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During the six months ended July 31, 2024, Autodesk granted 3 million restricted stock units. Restricted stock units are not considered outstanding stock at the time of grant, as the holders of these units are not entitled to any of the rights of a stockholder, including voting rights.</w:t>
      </w:r>
    </w:p>
    <w:p>
      <w:pPr>
        <w:spacing w:after="0" w:line="196" w:lineRule="exact"/>
        <w:rPr>
          <w:sz w:val="20"/>
          <w:szCs w:val="20"/>
          <w:color w:val="auto"/>
        </w:rPr>
      </w:pPr>
    </w:p>
    <w:p>
      <w:pPr>
        <w:jc w:val="both"/>
        <w:ind w:right="160" w:firstLine="395"/>
        <w:spacing w:after="0" w:line="256" w:lineRule="auto"/>
        <w:rPr>
          <w:sz w:val="20"/>
          <w:szCs w:val="20"/>
          <w:color w:val="auto"/>
        </w:rPr>
      </w:pPr>
      <w:r>
        <w:rPr>
          <w:rFonts w:ascii="Times New Roman" w:cs="Times New Roman" w:eastAsia="Times New Roman" w:hAnsi="Times New Roman"/>
          <w:sz w:val="18"/>
          <w:szCs w:val="18"/>
          <w:color w:val="auto"/>
        </w:rPr>
        <w:t>Autodesk recorded stock-based compensation expense related to restricted stock units of $153 million and $164 million during the three months ended July 31, 2024 and 2023, respectively. Autodesk recorded stock-based compensation expense related to restricted stock units of $280 million and $294 million during the six months ended July 31, 2024 and 2023, respectively.</w:t>
      </w:r>
    </w:p>
    <w:p>
      <w:pPr>
        <w:spacing w:after="0" w:line="206"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During the six months ended July 31, 2024, Autodesk granted 279 thousand performance stock units for which the ultimate number of shares earned is determined based on the achievement of performance criteria at the end of the stated performance and service period. The performance criteria for the majority of the performance stock units are based on revenue and free cash flow goals adopted by the Compensation and Human Resource Committee and total stockholder return compared against companies in the S&amp;P North American Technology Software Index with a market capitalization over $2.0 billion (“Relative TSR”). The fair value of the performance stock units is expensed using the accelerated attribution method over the three-year vesting period and the performance stock units have the following vesting schedule:</w:t>
      </w:r>
    </w:p>
    <w:p>
      <w:pPr>
        <w:spacing w:after="0" w:line="212" w:lineRule="exact"/>
        <w:rPr>
          <w:sz w:val="20"/>
          <w:szCs w:val="20"/>
          <w:color w:val="auto"/>
        </w:rPr>
      </w:pPr>
    </w:p>
    <w:p>
      <w:pPr>
        <w:ind w:left="640" w:right="320" w:hanging="319"/>
        <w:spacing w:after="0" w:line="268"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one, depending upon the achievement of the performance criteria for fiscal 2025 as well as 1-year Relative TSR (covering year one).</w:t>
      </w:r>
    </w:p>
    <w:p>
      <w:pPr>
        <w:spacing w:after="0" w:line="195" w:lineRule="exact"/>
        <w:rPr>
          <w:rFonts w:ascii="Times New Roman" w:cs="Times New Roman" w:eastAsia="Times New Roman" w:hAnsi="Times New Roman"/>
          <w:sz w:val="18"/>
          <w:szCs w:val="18"/>
          <w:color w:val="auto"/>
        </w:rPr>
      </w:pPr>
    </w:p>
    <w:p>
      <w:pPr>
        <w:ind w:left="640" w:right="80" w:hanging="319"/>
        <w:spacing w:after="0" w:line="268"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two, depending upon the achievement of the performance criteria for year two as well as 2-year Relative TSR (covering years one and two).</w:t>
      </w:r>
    </w:p>
    <w:p>
      <w:pPr>
        <w:spacing w:after="0" w:line="195" w:lineRule="exact"/>
        <w:rPr>
          <w:rFonts w:ascii="Times New Roman" w:cs="Times New Roman" w:eastAsia="Times New Roman" w:hAnsi="Times New Roman"/>
          <w:sz w:val="18"/>
          <w:szCs w:val="18"/>
          <w:color w:val="auto"/>
        </w:rPr>
      </w:pPr>
    </w:p>
    <w:p>
      <w:pPr>
        <w:ind w:left="640" w:right="300" w:hanging="319"/>
        <w:spacing w:after="0" w:line="268"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three, depending upon the achievement of the performance criteria for year three as well as 3-year Relative TSR (covering years one, two and three).</w:t>
      </w:r>
    </w:p>
    <w:p>
      <w:pPr>
        <w:spacing w:after="0" w:line="196" w:lineRule="exact"/>
        <w:rPr>
          <w:sz w:val="20"/>
          <w:szCs w:val="20"/>
          <w:color w:val="auto"/>
        </w:rPr>
      </w:pPr>
    </w:p>
    <w:p>
      <w:pPr>
        <w:ind w:right="360" w:firstLine="395"/>
        <w:spacing w:after="0" w:line="268" w:lineRule="auto"/>
        <w:rPr>
          <w:sz w:val="20"/>
          <w:szCs w:val="20"/>
          <w:color w:val="auto"/>
        </w:rPr>
      </w:pPr>
      <w:r>
        <w:rPr>
          <w:rFonts w:ascii="Times New Roman" w:cs="Times New Roman" w:eastAsia="Times New Roman" w:hAnsi="Times New Roman"/>
          <w:sz w:val="18"/>
          <w:szCs w:val="18"/>
          <w:color w:val="auto"/>
        </w:rPr>
        <w:t>The performance criteria for the performance stock units vested during the six months ended July 31, 2024, was based on revenue and free cash flow goals adopted by the Compensation and Human Resource Committee.</w:t>
      </w:r>
    </w:p>
    <w:p>
      <w:pPr>
        <w:spacing w:after="0" w:line="183" w:lineRule="exact"/>
        <w:rPr>
          <w:sz w:val="20"/>
          <w:szCs w:val="20"/>
          <w:color w:val="auto"/>
        </w:rPr>
      </w:pPr>
    </w:p>
    <w:p>
      <w:pPr>
        <w:ind w:right="340" w:firstLine="395"/>
        <w:spacing w:after="0" w:line="253" w:lineRule="auto"/>
        <w:rPr>
          <w:sz w:val="20"/>
          <w:szCs w:val="20"/>
          <w:color w:val="auto"/>
        </w:rPr>
      </w:pPr>
      <w:r>
        <w:rPr>
          <w:rFonts w:ascii="Times New Roman" w:cs="Times New Roman" w:eastAsia="Times New Roman" w:hAnsi="Times New Roman"/>
          <w:sz w:val="18"/>
          <w:szCs w:val="18"/>
          <w:color w:val="auto"/>
        </w:rPr>
        <w:t>Performance stock units are not considered outstanding stock at the time of grant, as the holders of these units are not entitled to any of the rights of a stockholder, including voting rights.</w:t>
      </w:r>
    </w:p>
    <w:p>
      <w:pPr>
        <w:spacing w:after="0" w:line="208" w:lineRule="exact"/>
        <w:rPr>
          <w:sz w:val="20"/>
          <w:szCs w:val="20"/>
          <w:color w:val="auto"/>
        </w:rPr>
      </w:pPr>
    </w:p>
    <w:p>
      <w:pPr>
        <w:jc w:val="both"/>
        <w:ind w:right="180" w:firstLine="395"/>
        <w:spacing w:after="0" w:line="256" w:lineRule="auto"/>
        <w:rPr>
          <w:sz w:val="20"/>
          <w:szCs w:val="20"/>
          <w:color w:val="auto"/>
        </w:rPr>
      </w:pPr>
      <w:r>
        <w:rPr>
          <w:rFonts w:ascii="Times New Roman" w:cs="Times New Roman" w:eastAsia="Times New Roman" w:hAnsi="Times New Roman"/>
          <w:sz w:val="18"/>
          <w:szCs w:val="18"/>
          <w:color w:val="auto"/>
        </w:rPr>
        <w:t>Autodesk recorded stock-based compensation expense related to performance stock units of $8 million and $10 million for the three months ended July 31, 2024 and 2023, respectively. Autodesk recorded stock-based compensation expense related to performance stock units of $14 million and $21 million for the six months ended July 31, 2024 and 2023, respectively.</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7" w:right="359" w:bottom="1440" w:gutter="0" w:footer="0" w:header="0"/>
        </w:sectPr>
      </w:pPr>
    </w:p>
    <w:bookmarkStart w:id="17" w:name="page18"/>
    <w:bookmarkEnd w:id="17"/>
    <w:p>
      <w:pPr>
        <w:ind w:left="16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Autodesk recorded stock-based compensation expense related to common stock shares of $3 million and $4 million for the three months ended July 31,</w:t>
      </w:r>
    </w:p>
    <w:p>
      <w:pPr>
        <w:spacing w:after="0" w:line="33"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8"/>
          <w:szCs w:val="18"/>
          <w:color w:val="auto"/>
        </w:rPr>
        <w:t>2024 and 2023, respectively. Autodesk recorded stock-based compensation expense related to common stock shares of $4 million and $10 million for the six months ended July 31, 2024 and 2023, respectively.</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1998 Employee Qualified Stock Purchase Plan (“ESPP”)</w:t>
      </w:r>
    </w:p>
    <w:p>
      <w:pPr>
        <w:spacing w:after="0" w:line="242" w:lineRule="exact"/>
        <w:rPr>
          <w:sz w:val="20"/>
          <w:szCs w:val="20"/>
          <w:color w:val="auto"/>
        </w:rPr>
      </w:pPr>
    </w:p>
    <w:p>
      <w:pPr>
        <w:ind w:right="140" w:firstLine="434"/>
        <w:spacing w:after="0" w:line="303" w:lineRule="auto"/>
        <w:rPr>
          <w:sz w:val="20"/>
          <w:szCs w:val="20"/>
          <w:color w:val="auto"/>
        </w:rPr>
      </w:pPr>
      <w:r>
        <w:rPr>
          <w:rFonts w:ascii="Times New Roman" w:cs="Times New Roman" w:eastAsia="Times New Roman" w:hAnsi="Times New Roman"/>
          <w:sz w:val="16"/>
          <w:szCs w:val="16"/>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ESPP activity for the six months ended July 31, 2024 and 2023,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20" w:type="dxa"/>
            <w:vAlign w:val="bottom"/>
          </w:tcPr>
          <w:p>
            <w:pPr>
              <w:spacing w:after="0"/>
              <w:rPr>
                <w:sz w:val="16"/>
                <w:szCs w:val="16"/>
                <w:color w:val="auto"/>
              </w:rPr>
            </w:pPr>
          </w:p>
        </w:tc>
        <w:tc>
          <w:tcPr>
            <w:tcW w:w="2560" w:type="dxa"/>
            <w:vAlign w:val="bottom"/>
            <w:gridSpan w:val="4"/>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560" w:type="dxa"/>
            <w:vAlign w:val="bottom"/>
          </w:tcPr>
          <w:p>
            <w:pPr>
              <w:spacing w:after="0"/>
              <w:rPr>
                <w:sz w:val="16"/>
                <w:szCs w:val="16"/>
                <w:color w:val="auto"/>
              </w:rPr>
            </w:pPr>
          </w:p>
        </w:tc>
      </w:tr>
      <w:tr>
        <w:trPr>
          <w:trHeight w:val="24"/>
        </w:trPr>
        <w:tc>
          <w:tcPr>
            <w:tcW w:w="8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8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r>
      <w:tr>
        <w:trPr>
          <w:trHeight w:val="21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 shares (in thousands)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09"/>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price of issued shares</w:t>
            </w:r>
          </w:p>
        </w:tc>
        <w:tc>
          <w:tcPr>
            <w:tcW w:w="940" w:type="dxa"/>
            <w:vAlign w:val="bottom"/>
          </w:tcPr>
          <w:p>
            <w:pPr>
              <w:jc w:val="right"/>
              <w:ind w:right="785"/>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164.81</w:t>
            </w:r>
          </w:p>
        </w:tc>
        <w:tc>
          <w:tcPr>
            <w:tcW w:w="100" w:type="dxa"/>
            <w:vAlign w:val="bottom"/>
          </w:tcPr>
          <w:p>
            <w:pPr>
              <w:spacing w:after="0"/>
              <w:rPr>
                <w:sz w:val="18"/>
                <w:szCs w:val="18"/>
                <w:color w:val="auto"/>
              </w:rPr>
            </w:pPr>
          </w:p>
        </w:tc>
        <w:tc>
          <w:tcPr>
            <w:tcW w:w="960" w:type="dxa"/>
            <w:vAlign w:val="bottom"/>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163.59</w:t>
            </w:r>
          </w:p>
        </w:tc>
      </w:tr>
      <w:tr>
        <w:trPr>
          <w:trHeight w:val="21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 of shares granted under the ESPP (1)</w:t>
            </w:r>
          </w:p>
        </w:tc>
        <w:tc>
          <w:tcPr>
            <w:tcW w:w="94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71.34</w:t>
            </w:r>
          </w:p>
        </w:tc>
      </w:tr>
    </w:tbl>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hanging="395"/>
        <w:spacing w:after="0"/>
        <w:tabs>
          <w:tab w:leader="none" w:pos="4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of the award grant date using the Black-Scholes Merton (“BSM”) option pricing model.</w:t>
      </w:r>
    </w:p>
    <w:p>
      <w:pPr>
        <w:spacing w:after="0" w:line="2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for the three and six months ended July 31, 2024 and 2023, as follows:</w:t>
      </w:r>
    </w:p>
    <w:p>
      <w:pPr>
        <w:sectPr>
          <w:pgSz w:w="11900" w:h="16838" w:orient="portrait"/>
          <w:cols w:equalWidth="0" w:num="1">
            <w:col w:w="11240"/>
          </w:cols>
          <w:pgMar w:left="320" w:top="1106" w:right="339" w:bottom="1440" w:gutter="0" w:footer="0" w:header="0"/>
        </w:sectPr>
      </w:pPr>
    </w:p>
    <w:p>
      <w:pPr>
        <w:spacing w:after="0" w:line="1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30480</wp:posOffset>
            </wp:positionV>
            <wp:extent cx="19215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21510" cy="8255"/>
                    </a:xfrm>
                    <a:prstGeom prst="rect">
                      <a:avLst/>
                    </a:prstGeom>
                    <a:noFill/>
                  </pic:spPr>
                </pic:pic>
              </a:graphicData>
            </a:graphic>
          </wp:anchor>
        </w:drawing>
      </w:r>
    </w:p>
    <w:p>
      <w:pPr>
        <w:spacing w:after="0" w:line="30" w:lineRule="exact"/>
        <w:rPr>
          <w:sz w:val="20"/>
          <w:szCs w:val="20"/>
          <w:color w:val="auto"/>
        </w:rPr>
      </w:pPr>
    </w:p>
    <w:p>
      <w:pPr>
        <w:ind w:left="5720"/>
        <w:spacing w:after="0"/>
        <w:tabs>
          <w:tab w:leader="none" w:pos="72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30480</wp:posOffset>
            </wp:positionV>
            <wp:extent cx="1913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13255" cy="8255"/>
                    </a:xfrm>
                    <a:prstGeom prst="rect">
                      <a:avLst/>
                    </a:prstGeom>
                    <a:noFill/>
                  </pic:spPr>
                </pic:pic>
              </a:graphicData>
            </a:graphic>
          </wp:anchor>
        </w:drawing>
      </w:r>
    </w:p>
    <w:p>
      <w:pPr>
        <w:spacing w:after="0" w:line="30"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8" w:lineRule="exact"/>
        <w:rPr>
          <w:sz w:val="20"/>
          <w:szCs w:val="20"/>
          <w:color w:val="auto"/>
        </w:rPr>
      </w:pPr>
    </w:p>
    <w:p>
      <w:pPr>
        <w:sectPr>
          <w:pgSz w:w="11900" w:h="16838" w:orient="portrait"/>
          <w:cols w:equalWidth="0" w:num="2">
            <w:col w:w="8120" w:space="720"/>
            <w:col w:w="2400"/>
          </w:cols>
          <w:pgMar w:left="320" w:top="1106"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subscription and maintenance revenue</w:t>
            </w:r>
          </w:p>
        </w:tc>
        <w:tc>
          <w:tcPr>
            <w:tcW w:w="640" w:type="dxa"/>
            <w:vAlign w:val="bottom"/>
            <w:tcBorders>
              <w:top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60" w:type="dxa"/>
            <w:vAlign w:val="bottom"/>
            <w:tcBorders>
              <w:top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40" w:type="dxa"/>
            <w:vAlign w:val="bottom"/>
            <w:tcBorders>
              <w:top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other revenue</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and sales</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6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2"/>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w w:val="99"/>
              </w:rPr>
              <w:t>Stock-based compensation expense related to stock awards and ESPP purchases</w:t>
            </w:r>
          </w:p>
        </w:tc>
        <w:tc>
          <w:tcPr>
            <w:tcW w:w="6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6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6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0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 expense</w:t>
            </w:r>
          </w:p>
        </w:tc>
        <w:tc>
          <w:tcPr>
            <w:tcW w:w="6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38"/>
        </w:trPr>
        <w:tc>
          <w:tcPr>
            <w:tcW w:w="5120" w:type="dxa"/>
            <w:vAlign w:val="bottom"/>
          </w:tcPr>
          <w:p>
            <w:pPr>
              <w:ind w:left="20"/>
              <w:spacing w:after="0" w:line="138" w:lineRule="exact"/>
              <w:rPr>
                <w:sz w:val="20"/>
                <w:szCs w:val="20"/>
                <w:color w:val="auto"/>
              </w:rPr>
            </w:pPr>
            <w:r>
              <w:rPr>
                <w:rFonts w:ascii="Times New Roman" w:cs="Times New Roman" w:eastAsia="Times New Roman" w:hAnsi="Times New Roman"/>
                <w:sz w:val="15"/>
                <w:szCs w:val="15"/>
                <w:color w:val="auto"/>
              </w:rPr>
              <w:t>Stock-based compensation expense related to stock awards and ESPP</w:t>
            </w:r>
          </w:p>
        </w:tc>
        <w:tc>
          <w:tcPr>
            <w:tcW w:w="640" w:type="dxa"/>
            <w:vAlign w:val="bottom"/>
            <w:vMerge w:val="restart"/>
          </w:tcPr>
          <w:p>
            <w:pPr>
              <w:jc w:val="right"/>
              <w:ind w:right="4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660" w:type="dxa"/>
            <w:vAlign w:val="bottom"/>
            <w:vMerge w:val="restart"/>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tcPr>
          <w:p>
            <w:pPr>
              <w:spacing w:after="0"/>
              <w:rPr>
                <w:sz w:val="11"/>
                <w:szCs w:val="11"/>
                <w:color w:val="auto"/>
              </w:rPr>
            </w:pPr>
          </w:p>
        </w:tc>
        <w:tc>
          <w:tcPr>
            <w:tcW w:w="660" w:type="dxa"/>
            <w:vAlign w:val="bottom"/>
            <w:vMerge w:val="restart"/>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640" w:type="dxa"/>
            <w:vAlign w:val="bottom"/>
            <w:vMerge w:val="restart"/>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189"/>
        </w:trPr>
        <w:tc>
          <w:tcPr>
            <w:tcW w:w="5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net of tax</w:t>
            </w:r>
          </w:p>
        </w:tc>
        <w:tc>
          <w:tcPr>
            <w:tcW w:w="6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18" w:name="page19"/>
    <w:bookmarkEnd w:id="18"/>
    <w:p>
      <w:pPr>
        <w:ind w:left="240"/>
        <w:spacing w:after="0"/>
        <w:rPr>
          <w:sz w:val="20"/>
          <w:szCs w:val="20"/>
          <w:color w:val="auto"/>
        </w:rPr>
      </w:pPr>
      <w:r>
        <w:rPr>
          <w:rFonts w:ascii="Times New Roman" w:cs="Times New Roman" w:eastAsia="Times New Roman" w:hAnsi="Times New Roman"/>
          <w:sz w:val="18"/>
          <w:szCs w:val="18"/>
          <w:i w:val="1"/>
          <w:iCs w:val="1"/>
          <w:color w:val="auto"/>
        </w:rPr>
        <w:t>Stock-based Compensation Expense Assumptions</w:t>
      </w:r>
    </w:p>
    <w:p>
      <w:pPr>
        <w:spacing w:after="0" w:line="242" w:lineRule="exact"/>
        <w:rPr>
          <w:sz w:val="20"/>
          <w:szCs w:val="20"/>
          <w:color w:val="auto"/>
        </w:rPr>
      </w:pPr>
    </w:p>
    <w:p>
      <w:pPr>
        <w:ind w:right="100" w:firstLine="434"/>
        <w:spacing w:after="0" w:line="252" w:lineRule="auto"/>
        <w:rPr>
          <w:sz w:val="20"/>
          <w:szCs w:val="20"/>
          <w:color w:val="auto"/>
        </w:rPr>
      </w:pPr>
      <w:r>
        <w:rPr>
          <w:rFonts w:ascii="Times New Roman" w:cs="Times New Roman" w:eastAsia="Times New Roman" w:hAnsi="Times New Roman"/>
          <w:sz w:val="18"/>
          <w:szCs w:val="18"/>
          <w:color w:val="auto"/>
        </w:rPr>
        <w:t>Autodesk determines the grant date fair value of its share-based payment awards BSM option pricing model or the quoted stock price on the date of grant, unless the awards are subject to market conditions, in which case Autodesk uses the Monte Carlo simulation model. The Monte Carlo simulation model uses multiple input variables to estimate the probability that market conditions will be achieved. Autodesk uses the following assumptions to estimate the fair value of stock-based awards: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326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Six Months Ended July 31, 2024</w:t>
            </w:r>
          </w:p>
        </w:tc>
        <w:tc>
          <w:tcPr>
            <w:tcW w:w="31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Six Months Ended July 31, 2023</w:t>
            </w: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780" w:type="dxa"/>
            <w:vAlign w:val="bottom"/>
          </w:tcPr>
          <w:p>
            <w:pPr>
              <w:spacing w:after="0"/>
              <w:rPr>
                <w:sz w:val="10"/>
                <w:szCs w:val="10"/>
                <w:color w:val="auto"/>
              </w:rPr>
            </w:pPr>
          </w:p>
        </w:tc>
        <w:tc>
          <w:tcPr>
            <w:tcW w:w="1620" w:type="dxa"/>
            <w:vAlign w:val="bottom"/>
            <w:gridSpan w:val="2"/>
          </w:tcPr>
          <w:p>
            <w:pPr>
              <w:ind w:left="180"/>
              <w:spacing w:after="0" w:line="125" w:lineRule="exact"/>
              <w:rPr>
                <w:sz w:val="20"/>
                <w:szCs w:val="20"/>
                <w:color w:val="auto"/>
              </w:rPr>
            </w:pPr>
            <w:r>
              <w:rPr>
                <w:rFonts w:ascii="Times New Roman" w:cs="Times New Roman" w:eastAsia="Times New Roman" w:hAnsi="Times New Roman"/>
                <w:sz w:val="14"/>
                <w:szCs w:val="14"/>
                <w:b w:val="1"/>
                <w:bCs w:val="1"/>
                <w:color w:val="auto"/>
              </w:rPr>
              <w:t>Performance Stock</w:t>
            </w:r>
          </w:p>
        </w:tc>
        <w:tc>
          <w:tcPr>
            <w:tcW w:w="16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ESPP (1)</w:t>
            </w:r>
          </w:p>
        </w:tc>
        <w:tc>
          <w:tcPr>
            <w:tcW w:w="162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4"/>
                <w:szCs w:val="14"/>
                <w:b w:val="1"/>
                <w:bCs w:val="1"/>
                <w:color w:val="auto"/>
                <w:w w:val="99"/>
              </w:rPr>
              <w:t>Performance Stock</w:t>
            </w:r>
          </w:p>
        </w:tc>
        <w:tc>
          <w:tcPr>
            <w:tcW w:w="154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ESPP (2)</w:t>
            </w: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40" w:type="dxa"/>
            <w:vAlign w:val="bottom"/>
            <w:gridSpan w:val="2"/>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 (2)</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Range of expected volatilities</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29.4 - 31.4%</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28.7 - 34.5%</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40.9 - 42.5%</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40.0 - 42.4%</w:t>
            </w:r>
          </w:p>
        </w:tc>
        <w:tc>
          <w:tcPr>
            <w:tcW w:w="0" w:type="dxa"/>
            <w:vAlign w:val="bottom"/>
          </w:tcPr>
          <w:p>
            <w:pPr>
              <w:spacing w:after="0"/>
              <w:rPr>
                <w:sz w:val="1"/>
                <w:szCs w:val="1"/>
                <w:color w:val="auto"/>
              </w:rPr>
            </w:pPr>
          </w:p>
        </w:tc>
      </w:tr>
      <w:tr>
        <w:trPr>
          <w:trHeight w:val="20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expected lives (in years)</w:t>
            </w: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N/A</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0.5 - 2.0</w:t>
            </w:r>
          </w:p>
        </w:tc>
        <w:tc>
          <w:tcPr>
            <w:tcW w:w="1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0.5 - 2.0</w:t>
            </w:r>
          </w:p>
        </w:tc>
        <w:tc>
          <w:tcPr>
            <w:tcW w:w="0" w:type="dxa"/>
            <w:vAlign w:val="bottom"/>
          </w:tcPr>
          <w:p>
            <w:pPr>
              <w:spacing w:after="0"/>
              <w:rPr>
                <w:sz w:val="1"/>
                <w:szCs w:val="1"/>
                <w:color w:val="auto"/>
              </w:rPr>
            </w:pPr>
          </w:p>
        </w:tc>
      </w:tr>
      <w:tr>
        <w:trPr>
          <w:trHeight w:val="21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dividends</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1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5"/>
              </w:rPr>
              <w:t>—%</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risk-free interest rates</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5.2%</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4.6 - 5.4%</w:t>
            </w: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4.3 - 4.7%</w:t>
            </w: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4.3 - 5.0%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00" w:hanging="395"/>
        <w:spacing w:after="0"/>
        <w:tabs>
          <w:tab w:leader="none" w:pos="4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There were no ESPP awards granted during the three months ended July 31, 2024.</w:t>
      </w:r>
    </w:p>
    <w:p>
      <w:pPr>
        <w:spacing w:after="0" w:line="95"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There were no ESPP awards or performance stock units granted during the three months ended July 31, 2023.</w:t>
      </w:r>
    </w:p>
    <w:p>
      <w:pPr>
        <w:spacing w:after="0" w:line="83" w:lineRule="exact"/>
        <w:rPr>
          <w:sz w:val="20"/>
          <w:szCs w:val="20"/>
          <w:color w:val="auto"/>
        </w:rPr>
      </w:pPr>
    </w:p>
    <w:p>
      <w:pPr>
        <w:ind w:right="40" w:firstLine="434"/>
        <w:spacing w:after="0" w:line="252" w:lineRule="auto"/>
        <w:rPr>
          <w:sz w:val="20"/>
          <w:szCs w:val="20"/>
          <w:color w:val="auto"/>
        </w:rPr>
      </w:pPr>
      <w:r>
        <w:rPr>
          <w:rFonts w:ascii="Times New Roman" w:cs="Times New Roman" w:eastAsia="Times New Roman" w:hAnsi="Times New Roman"/>
          <w:sz w:val="18"/>
          <w:szCs w:val="18"/>
          <w:color w:val="auto"/>
        </w:rPr>
        <w:t>Autodesk estimates expected volatility for stock-based awards based on the average of the following two measures: (1) a measure of historical volatility in the trading market for the Company’s common stock, and (2) the implied volatility of traded options to purchase shares of the Company’s common stock. The expected volatility for performance stock units subject to market conditions includes the expected volatility of companies within the S&amp;P North American Technology Software Index with a market capitalization over $2.0 billion, depending on the award type.</w:t>
      </w: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range of expected lives of ESPP awards are based upon the four six-month exercise periods within a 24-month offering period.</w:t>
      </w:r>
    </w:p>
    <w:p>
      <w:pPr>
        <w:spacing w:after="0" w:line="240" w:lineRule="exact"/>
        <w:rPr>
          <w:sz w:val="20"/>
          <w:szCs w:val="20"/>
          <w:color w:val="auto"/>
        </w:rPr>
      </w:pPr>
    </w:p>
    <w:p>
      <w:pPr>
        <w:ind w:right="100" w:firstLine="434"/>
        <w:spacing w:after="0" w:line="268" w:lineRule="auto"/>
        <w:rPr>
          <w:sz w:val="20"/>
          <w:szCs w:val="20"/>
          <w:color w:val="auto"/>
        </w:rPr>
      </w:pPr>
      <w:r>
        <w:rPr>
          <w:rFonts w:ascii="Times New Roman" w:cs="Times New Roman" w:eastAsia="Times New Roman" w:hAnsi="Times New Roman"/>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96" w:lineRule="exact"/>
        <w:rPr>
          <w:sz w:val="20"/>
          <w:szCs w:val="20"/>
          <w:color w:val="auto"/>
        </w:rPr>
      </w:pPr>
    </w:p>
    <w:p>
      <w:pPr>
        <w:ind w:right="100" w:firstLine="434"/>
        <w:spacing w:after="0" w:line="268" w:lineRule="auto"/>
        <w:rPr>
          <w:sz w:val="20"/>
          <w:szCs w:val="20"/>
          <w:color w:val="auto"/>
        </w:rPr>
      </w:pPr>
      <w:r>
        <w:rPr>
          <w:rFonts w:ascii="Times New Roman" w:cs="Times New Roman" w:eastAsia="Times New Roman" w:hAnsi="Times New Roman"/>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96" w:lineRule="exact"/>
        <w:rPr>
          <w:sz w:val="20"/>
          <w:szCs w:val="20"/>
          <w:color w:val="auto"/>
        </w:rPr>
      </w:pPr>
    </w:p>
    <w:p>
      <w:pPr>
        <w:ind w:right="100" w:firstLine="434"/>
        <w:spacing w:after="0" w:line="268" w:lineRule="auto"/>
        <w:rPr>
          <w:sz w:val="20"/>
          <w:szCs w:val="20"/>
          <w:color w:val="auto"/>
        </w:rPr>
      </w:pPr>
      <w:r>
        <w:rPr>
          <w:rFonts w:ascii="Times New Roman" w:cs="Times New Roman" w:eastAsia="Times New Roman" w:hAnsi="Times New Roman"/>
          <w:sz w:val="18"/>
          <w:szCs w:val="18"/>
          <w:color w:val="auto"/>
        </w:rPr>
        <w:t>Autodesk recognizes expense only for the stock-based awards that ultimately vest. Autodesk accounts for forfeitures of our stock-based awards as those forfeitures occur.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69"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7. Income Tax</w:t>
      </w:r>
    </w:p>
    <w:p>
      <w:pPr>
        <w:spacing w:after="0" w:line="244" w:lineRule="exact"/>
        <w:rPr>
          <w:sz w:val="20"/>
          <w:szCs w:val="20"/>
          <w:color w:val="auto"/>
        </w:rPr>
      </w:pPr>
    </w:p>
    <w:p>
      <w:pPr>
        <w:ind w:right="100" w:firstLine="468"/>
        <w:spacing w:after="0" w:line="250" w:lineRule="auto"/>
        <w:rPr>
          <w:sz w:val="20"/>
          <w:szCs w:val="20"/>
          <w:color w:val="auto"/>
        </w:rPr>
      </w:pPr>
      <w:r>
        <w:rPr>
          <w:rFonts w:ascii="Times New Roman" w:cs="Times New Roman" w:eastAsia="Times New Roman" w:hAnsi="Times New Roman"/>
          <w:sz w:val="18"/>
          <w:szCs w:val="18"/>
          <w:color w:val="auto"/>
        </w:rPr>
        <w:t>Autodesk had income tax expense of $70 million, relative to pre-tax income of $352 million for the three months ended July 31, 2024, and income tax expense of $36 million, relative to pre-tax income of $258 million for the three months ended July 31, 2023. Income tax expense for the three months ended July 31, 2024, reflects U.S. and foreign tax expense, including withholding tax, reduced by tax-deductible stock-based compensation and the foreign derived intangibles tax benefit in the U.S. The tax expense increased compared to July 31, 2023, mainly due to a nonrecurring tax benefit in the prior year arising from the temporary relief provided by Notice 2023-55 relating to U.S. foreign tax credit regulations.</w:t>
      </w:r>
    </w:p>
    <w:p>
      <w:pPr>
        <w:spacing w:after="0" w:line="212" w:lineRule="exact"/>
        <w:rPr>
          <w:sz w:val="20"/>
          <w:szCs w:val="20"/>
          <w:color w:val="auto"/>
        </w:rPr>
      </w:pPr>
    </w:p>
    <w:p>
      <w:pPr>
        <w:ind w:right="60" w:firstLine="468"/>
        <w:spacing w:after="0" w:line="249" w:lineRule="auto"/>
        <w:rPr>
          <w:sz w:val="20"/>
          <w:szCs w:val="20"/>
          <w:color w:val="auto"/>
        </w:rPr>
      </w:pPr>
      <w:r>
        <w:rPr>
          <w:rFonts w:ascii="Times New Roman" w:cs="Times New Roman" w:eastAsia="Times New Roman" w:hAnsi="Times New Roman"/>
          <w:sz w:val="18"/>
          <w:szCs w:val="18"/>
          <w:color w:val="auto"/>
        </w:rPr>
        <w:t>Autodesk had income tax expense of $127 million, relative to pre-tax income of $661 million for the six months ended July 31, 2024, and income tax expense of $96 million, relative to pre-tax income of $479 million for the six months ended July 31, 2023. Income tax expense for the six months ended July 31, 2024, reflects U.S. and foreign tax expense, including withholding tax, reduced by tax-deductible stock-based compensation and the foreign derived intangibles tax benefit in the U.S. The tax expense increased compared to July 31, 2023, due to increased profit before tax, offset by an increase in tax-deductible stock-based compensation. The period to July 31, 2023 had a nonrecurring tax benefit arising from the temporary relief provided by Notice 2023-55 relating to U.S. foreign tax credit regulations.</w:t>
      </w:r>
    </w:p>
    <w:p>
      <w:pPr>
        <w:spacing w:after="0" w:line="198" w:lineRule="exact"/>
        <w:rPr>
          <w:sz w:val="20"/>
          <w:szCs w:val="20"/>
          <w:color w:val="auto"/>
        </w:rPr>
      </w:pPr>
    </w:p>
    <w:p>
      <w:pPr>
        <w:ind w:firstLine="434"/>
        <w:spacing w:after="0" w:line="236" w:lineRule="auto"/>
        <w:rPr>
          <w:sz w:val="20"/>
          <w:szCs w:val="20"/>
          <w:color w:val="auto"/>
        </w:rPr>
      </w:pPr>
      <w:r>
        <w:rPr>
          <w:rFonts w:ascii="Times New Roman" w:cs="Times New Roman" w:eastAsia="Times New Roman" w:hAnsi="Times New Roman"/>
          <w:sz w:val="18"/>
          <w:szCs w:val="18"/>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The Company continues to retain a valuation allowance against Australia, Portugal, New Zealand, California, Massachusetts, and Michigan deferred tax assets and deferred tax assets that will convert to a capital loss upon reversal in the U.S., as we do not have sufficient income of the appropriate character to benefit these deferred tax assets.</w:t>
      </w:r>
    </w:p>
    <w:p>
      <w:pPr>
        <w:spacing w:after="0" w:line="206" w:lineRule="exact"/>
        <w:rPr>
          <w:sz w:val="20"/>
          <w:szCs w:val="20"/>
          <w:color w:val="auto"/>
        </w:rPr>
      </w:pPr>
    </w:p>
    <w:p>
      <w:pPr>
        <w:ind w:right="340" w:firstLine="474"/>
        <w:spacing w:after="0" w:line="235" w:lineRule="auto"/>
        <w:rPr>
          <w:sz w:val="20"/>
          <w:szCs w:val="20"/>
          <w:color w:val="auto"/>
        </w:rPr>
      </w:pPr>
      <w:r>
        <w:rPr>
          <w:rFonts w:ascii="Times New Roman" w:cs="Times New Roman" w:eastAsia="Times New Roman" w:hAnsi="Times New Roman"/>
          <w:sz w:val="18"/>
          <w:szCs w:val="18"/>
          <w:color w:val="auto"/>
        </w:rPr>
        <w:t>As of July 31, 2024, the Company had $271 million of gross unrecognized tax benefits, of which $228 million would impact the effective tax rate, if recognized. The remaining $43 million would reduce our valuation allowance, if recognized. The amount of unrecognized tax benefits will immaterially decrease in the next twelve months for statute lapses.</w:t>
      </w:r>
    </w:p>
    <w:p>
      <w:pPr>
        <w:spacing w:after="0" w:line="221"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Signed into law on August 16, 2022 in the U.S., the Inflation Reduction Act contains many revisions to the Internal Revenue Code effective in taxable years beginning after December 31, 2022, including a 15% corporate alternative minimum tax. Autodesk continues to monitor the impact of the Inflation Reduction Act on its consolidated financial statements.</w:t>
      </w:r>
    </w:p>
    <w:p>
      <w:pPr>
        <w:spacing w:after="0" w:line="193" w:lineRule="exact"/>
        <w:rPr>
          <w:sz w:val="20"/>
          <w:szCs w:val="20"/>
          <w:color w:val="auto"/>
        </w:rPr>
      </w:pPr>
    </w:p>
    <w:p>
      <w:pPr>
        <w:ind w:right="160" w:firstLine="395"/>
        <w:spacing w:after="0" w:line="236" w:lineRule="auto"/>
        <w:rPr>
          <w:sz w:val="20"/>
          <w:szCs w:val="20"/>
          <w:color w:val="auto"/>
        </w:rPr>
      </w:pPr>
      <w:r>
        <w:rPr>
          <w:rFonts w:ascii="Times New Roman" w:cs="Times New Roman" w:eastAsia="Times New Roman" w:hAnsi="Times New Roman"/>
          <w:sz w:val="18"/>
          <w:szCs w:val="18"/>
          <w:color w:val="auto"/>
        </w:rPr>
        <w:t>Signed into law on December 18, 2023 in Ireland, the Finance (No. 2) Act 2023 provides legislation to implement tax principles arising from proposals made by the Organization for Economic Co-operation and Development to establish a global minimum tax rate of 15%. The Company’s assessment of this legislation resulted in additional tax expense having a minimal impact to the consolidated financial statements. Other countries have enacted legislation or are actively considering changes to their tax law. The Company will continue to monitor proposed and enacted legislation for potential future impact on its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Acquisitions</w:t>
      </w:r>
    </w:p>
    <w:p>
      <w:pPr>
        <w:spacing w:after="0" w:line="244" w:lineRule="exact"/>
        <w:rPr>
          <w:sz w:val="20"/>
          <w:szCs w:val="20"/>
          <w:color w:val="auto"/>
        </w:rPr>
      </w:pPr>
    </w:p>
    <w:p>
      <w:pPr>
        <w:ind w:right="300" w:firstLine="395"/>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following acquisitions are included in the accompanying Condensed Consolidated Statements of Operations since the acquisition date. Pro forma results of operations have not been presented because the effects of the acquisition are not material to Autodesk’s Condensed Consolidated Financial Statements.</w:t>
      </w:r>
    </w:p>
    <w:p>
      <w:pPr>
        <w:spacing w:after="0" w:line="193" w:lineRule="exact"/>
        <w:rPr>
          <w:sz w:val="20"/>
          <w:szCs w:val="20"/>
          <w:color w:val="auto"/>
        </w:rPr>
      </w:pPr>
    </w:p>
    <w:p>
      <w:pPr>
        <w:ind w:right="120" w:firstLine="395"/>
        <w:spacing w:after="0" w:line="233" w:lineRule="auto"/>
        <w:rPr>
          <w:sz w:val="20"/>
          <w:szCs w:val="20"/>
          <w:color w:val="auto"/>
        </w:rPr>
      </w:pPr>
      <w:r>
        <w:rPr>
          <w:rFonts w:ascii="Times New Roman" w:cs="Times New Roman" w:eastAsia="Times New Roman" w:hAnsi="Times New Roman"/>
          <w:sz w:val="18"/>
          <w:szCs w:val="18"/>
          <w:color w:val="auto"/>
        </w:rPr>
        <w:t>On February 20, 2024, Autodesk acquired 100% of the outstanding stock of Payapps Limited (“Payapps”), a leading cloud-based software platform for managing construction-related payments, for total consideration of $387 million in cash. Of the total consideration transferred, $381 million is considered purchase consideration. The remaining amount of $6 million was recorded in “Prepaid expenses and other current assets” and “Long-term other assets” on our Condensed Consolidated Balance Sheets and will be amortized to compensation expense using the straight-line method over the vesting period. Autodesk expects to deepen Autodesk Construction Cloud’s footprint and provide a robust payment management offering to serve the needs of general contractors and trade contractors. Through automating the application of the payment process, Payapps’ solution provides greater transparency, reduces risk and helps accelerate time-to-payment.</w:t>
      </w:r>
    </w:p>
    <w:p>
      <w:pPr>
        <w:spacing w:after="0" w:line="199" w:lineRule="exact"/>
        <w:rPr>
          <w:sz w:val="20"/>
          <w:szCs w:val="20"/>
          <w:color w:val="auto"/>
        </w:rPr>
      </w:pPr>
    </w:p>
    <w:p>
      <w:pPr>
        <w:jc w:val="both"/>
        <w:ind w:right="440" w:firstLine="395"/>
        <w:spacing w:after="0" w:line="241" w:lineRule="auto"/>
        <w:rPr>
          <w:sz w:val="20"/>
          <w:szCs w:val="20"/>
          <w:color w:val="auto"/>
        </w:rPr>
      </w:pPr>
      <w:r>
        <w:rPr>
          <w:rFonts w:ascii="Times New Roman" w:cs="Times New Roman" w:eastAsia="Times New Roman" w:hAnsi="Times New Roman"/>
          <w:sz w:val="18"/>
          <w:szCs w:val="18"/>
          <w:color w:val="auto"/>
        </w:rPr>
        <w:t>On March 15, 2024, Autodesk acquired 100% of the PIX business of X2X, LLC (“PIX”), a production management solution for secure review and content collaboration in the media and entertainment industry for total consideration of $266 million in cash. The acquisition is expected to foster broader collaboration and communication, as well as help drive greater efficiencies, in the production process.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0" w:name="page21"/>
    <w:bookmarkEnd w:id="20"/>
    <w:p>
      <w:pPr>
        <w:ind w:right="40" w:firstLine="395"/>
        <w:spacing w:after="0" w:line="234" w:lineRule="auto"/>
        <w:rPr>
          <w:sz w:val="20"/>
          <w:szCs w:val="20"/>
          <w:color w:val="auto"/>
        </w:rPr>
      </w:pPr>
      <w:r>
        <w:rPr>
          <w:rFonts w:ascii="Times New Roman" w:cs="Times New Roman" w:eastAsia="Times New Roman" w:hAnsi="Times New Roman"/>
          <w:sz w:val="18"/>
          <w:szCs w:val="18"/>
          <w:color w:val="auto"/>
        </w:rPr>
        <w:t>On May 20, 2024, Autodesk acquired 100% of Aether Media, Inc. (“Aether”), a provider of a cloud-based artificial intelligence pipeline for creating computer-generated 3D characters into live-action scenes, for total consideration of $131 million in cash. Of the total consideration transferred, $122 million is considered purchase consideration. The remaining amount of $9 million was primarily recorded in “Prepaid expenses and other current assets” and “Long-term other assets” on our Condensed Consolidated Balance Sheets and will be amortized to compensation expense using the straight-line method over the vesting period. Autodesk expects to enhance artificial intelligence capabilities for Autodesk’s visual effects (“VFX”) creation tools and democratize high end VFX work on Autodesk’s Flow platform.</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29"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The acquisitions were accounted for as business combinations, and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 The goodwill recorded was primarily attributable to synergies expected to arise after the respective acquisition. Goodwill of $159 million and $188 million is expected to be deductible for U.S. income tax purposes for Payapps and PIX, respectively. No goodwill is deductible for U.S. income tax purposes for Aether. The transaction costs related to the acquisitions were not material.</w:t>
      </w:r>
    </w:p>
    <w:p>
      <w:pPr>
        <w:spacing w:after="0" w:line="212" w:lineRule="exact"/>
        <w:rPr>
          <w:sz w:val="20"/>
          <w:szCs w:val="20"/>
          <w:color w:val="auto"/>
        </w:rPr>
      </w:pPr>
    </w:p>
    <w:p>
      <w:pPr>
        <w:ind w:right="14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fair value of the assets acquired and liabilities assumed by major class for the significant business combinations that were completed during the six months ended July 31,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Payapps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PIX</w:t>
            </w:r>
          </w:p>
        </w:tc>
        <w:tc>
          <w:tcPr>
            <w:tcW w:w="340" w:type="dxa"/>
            <w:vAlign w:val="bottom"/>
          </w:tcPr>
          <w:p>
            <w:pPr>
              <w:spacing w:after="0"/>
              <w:rPr>
                <w:sz w:val="16"/>
                <w:szCs w:val="16"/>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Aether</w:t>
            </w:r>
          </w:p>
        </w:tc>
        <w:tc>
          <w:tcPr>
            <w:tcW w:w="340" w:type="dxa"/>
            <w:vAlign w:val="bottom"/>
          </w:tcPr>
          <w:p>
            <w:pPr>
              <w:spacing w:after="0"/>
              <w:rPr>
                <w:sz w:val="16"/>
                <w:szCs w:val="16"/>
                <w:color w:val="auto"/>
              </w:rPr>
            </w:pPr>
          </w:p>
        </w:tc>
        <w:tc>
          <w:tcPr>
            <w:tcW w:w="118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48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technologies</w:t>
            </w: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2"/>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12"/>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and long-term deferred revenue</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deferred income taxes liability</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tangible assets (liabilities)</w:t>
            </w:r>
          </w:p>
        </w:tc>
        <w:tc>
          <w:tcPr>
            <w:tcW w:w="1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6"/>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w:t>
            </w:r>
          </w:p>
        </w:tc>
      </w:tr>
      <w:tr>
        <w:trPr>
          <w:trHeight w:val="20"/>
        </w:trPr>
        <w:tc>
          <w:tcPr>
            <w:tcW w:w="4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For the business combinations, the allocation of purchase price consideration to certain assets and liabilities as well as the final amount of purchase consideration is not yet finalized. For the items not yet finalized, Autodesk's estimates and assumptions are subject to change within the measurement period (up to one year from the acquisition date). The primary areas of the preliminary purchase price allocation that are not yet finalized include, but are not limited to, amounts for intangible assets, tax assets and liabilities, deferred revenue, and residual goodwill.</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Intangible Assets, Net</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summarize the Company's intangible assets, net, as of July 31, 2024, and January 31,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0"/>
                <w:szCs w:val="10"/>
                <w:color w:val="auto"/>
              </w:rPr>
            </w:pPr>
          </w:p>
        </w:tc>
        <w:tc>
          <w:tcPr>
            <w:tcW w:w="1380" w:type="dxa"/>
            <w:vAlign w:val="bottom"/>
            <w:gridSpan w:val="2"/>
          </w:tcPr>
          <w:p>
            <w:pPr>
              <w:ind w:left="14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0"/>
                <w:szCs w:val="10"/>
                <w:color w:val="auto"/>
              </w:rPr>
            </w:pPr>
          </w:p>
        </w:tc>
        <w:tc>
          <w:tcPr>
            <w:tcW w:w="1040" w:type="dxa"/>
            <w:vAlign w:val="bottom"/>
            <w:vMerge w:val="restart"/>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08"/>
        </w:trPr>
        <w:tc>
          <w:tcPr>
            <w:tcW w:w="6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 (1)</w:t>
            </w:r>
          </w:p>
        </w:tc>
        <w:tc>
          <w:tcPr>
            <w:tcW w:w="220" w:type="dxa"/>
            <w:vAlign w:val="bottom"/>
          </w:tcPr>
          <w:p>
            <w:pPr>
              <w:spacing w:after="0"/>
              <w:rPr>
                <w:sz w:val="9"/>
                <w:szCs w:val="9"/>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technologies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1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 and patents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9"/>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6"/>
          <w:szCs w:val="16"/>
          <w:color w:val="auto"/>
        </w:rPr>
        <w:t>(1)</w:t>
        <w:tab/>
        <w:t>Includes the effects of foreign currency translation.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0"/>
                <w:szCs w:val="10"/>
                <w:color w:val="auto"/>
              </w:rPr>
            </w:pPr>
          </w:p>
        </w:tc>
        <w:tc>
          <w:tcPr>
            <w:tcW w:w="1400" w:type="dxa"/>
            <w:vAlign w:val="bottom"/>
            <w:gridSpan w:val="2"/>
          </w:tcPr>
          <w:p>
            <w:pPr>
              <w:ind w:left="16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0"/>
                <w:szCs w:val="10"/>
                <w:color w:val="auto"/>
              </w:rPr>
            </w:pPr>
          </w:p>
        </w:tc>
        <w:tc>
          <w:tcPr>
            <w:tcW w:w="1120" w:type="dxa"/>
            <w:vAlign w:val="bottom"/>
            <w:vMerge w:val="restart"/>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08"/>
        </w:trPr>
        <w:tc>
          <w:tcPr>
            <w:tcW w:w="6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 (1)</w:t>
            </w:r>
          </w:p>
        </w:tc>
        <w:tc>
          <w:tcPr>
            <w:tcW w:w="180" w:type="dxa"/>
            <w:vAlign w:val="bottom"/>
          </w:tcPr>
          <w:p>
            <w:pPr>
              <w:spacing w:after="0"/>
              <w:rPr>
                <w:sz w:val="9"/>
                <w:szCs w:val="9"/>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technologies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 and patents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hanging="395"/>
        <w:spacing w:after="0"/>
        <w:tabs>
          <w:tab w:leader="none" w:pos="4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effects of foreign currency translation.</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Cloud Computing Arrangements</w:t>
      </w:r>
    </w:p>
    <w:p>
      <w:pPr>
        <w:spacing w:after="0" w:line="244" w:lineRule="exact"/>
        <w:rPr>
          <w:sz w:val="20"/>
          <w:szCs w:val="20"/>
          <w:color w:val="auto"/>
        </w:rPr>
      </w:pPr>
    </w:p>
    <w:p>
      <w:pPr>
        <w:ind w:right="60" w:firstLine="395"/>
        <w:spacing w:after="0" w:line="247" w:lineRule="auto"/>
        <w:rPr>
          <w:sz w:val="20"/>
          <w:szCs w:val="20"/>
          <w:color w:val="auto"/>
        </w:rPr>
      </w:pPr>
      <w:r>
        <w:rPr>
          <w:rFonts w:ascii="Times New Roman" w:cs="Times New Roman" w:eastAsia="Times New Roman" w:hAnsi="Times New Roman"/>
          <w:sz w:val="18"/>
          <w:szCs w:val="18"/>
          <w:color w:val="auto"/>
        </w:rPr>
        <w:t>Autodesk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Autodesk amortizes the capitalized development costs straight-line over the fixed, non-cancellable term of the associated hosting arrangement plus any reasonably certain renewal periods. The capitalized costs are included in “Prepaid expenses and other current assets” and “Long-term other assets” on our Condensed Consolidated Balance Sheets. Capitalized costs were $291 million and $254 million at July 31, 2024, and January 31, 2024, respectively. Accumulated amortization was $113 million and $83 million at July 31, 2024, and January 31, 2024, respectively. Amortization expense for the three months ended July 31, 2024 and 2023, was $17 million and $9 million, respectively. Amortization expense for the six months ended July 31, 2024 and 2023, was $30 million and $18 million,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Goodwill</w:t>
      </w:r>
    </w:p>
    <w:p>
      <w:pPr>
        <w:spacing w:after="0" w:line="244"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Goodwill consists of the excess of the consideration transferred over the fair value of net assets acquired in business combinations. The following table summarizes the changes in the carrying amount of goodwill for the six months ended July 31, 2024,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31, 2024 (1)</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w:t>
            </w:r>
          </w:p>
        </w:tc>
      </w:tr>
      <w:tr>
        <w:trPr>
          <w:trHeight w:val="209"/>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arising from acquisitions during the period</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r>
      <w:tr>
        <w:trPr>
          <w:trHeight w:val="21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currency translation and measurement period adjustments (2)</w:t>
            </w: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2"/>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July 31, 2024 (1)</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4,253</w:t>
            </w:r>
          </w:p>
        </w:tc>
      </w:tr>
      <w:tr>
        <w:trPr>
          <w:trHeight w:val="21"/>
        </w:trPr>
        <w:tc>
          <w:tcPr>
            <w:tcW w:w="9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hanging="395"/>
        <w:spacing w:after="0"/>
        <w:tabs>
          <w:tab w:leader="none" w:pos="4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Accumulated impairment losses as of both </w:t>
      </w:r>
      <w:r>
        <w:rPr>
          <w:rFonts w:ascii="Times New Roman" w:cs="Times New Roman" w:eastAsia="Times New Roman" w:hAnsi="Times New Roman"/>
          <w:sz w:val="17"/>
          <w:szCs w:val="17"/>
          <w:color w:val="auto"/>
        </w:rPr>
        <w:t>January 31, 2024 and July 31, 2024, were $149 million.</w:t>
      </w:r>
    </w:p>
    <w:p>
      <w:pPr>
        <w:spacing w:after="0" w:line="15"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Measurement period adjustments reflect revisions made to the Company's preliminary determination of estimated fair value of assets and liabilities assumed.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12. Deferred Compensation</w:t>
      </w:r>
    </w:p>
    <w:p>
      <w:pPr>
        <w:spacing w:after="0" w:line="244"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At July 31, 2024, Autodesk had investments in debt and equity securities that are held in a rabbi trust under non-qualified deferred compensation plans and a corresponding deferred compensation liability totaling $116 million. Of this amount, $12 million was classified as current and $104 million was classified as non-current in the Condensed Consolidated Balance Sheets. Of the $100 million related to the investments in a rabbi trust as of January 31, 2024, $10 million was classified as current and $90 million was classified as non-current. The current and non-current asset portions of the investments in debt and equity securities that are held in a rabbi trust under non-qualified deferred compensation plans are recorded in the Condensed Consolidated Balance Sheets under “Prepaid expenses and other current assets” and “Long-term other assets,” respectively. The current and non-current portions of the liability are recorded in the Condensed Consolidated Balance Sheets under “Accrued compensation” and “Long-term other liabilities,” respectively.</w:t>
      </w:r>
    </w:p>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Costs to obtain a contract with a customer</w:t>
      </w:r>
    </w:p>
    <w:p>
      <w:pPr>
        <w:spacing w:after="0" w:line="242" w:lineRule="exact"/>
        <w:rPr>
          <w:sz w:val="20"/>
          <w:szCs w:val="20"/>
          <w:color w:val="auto"/>
        </w:rPr>
      </w:pPr>
    </w:p>
    <w:p>
      <w:pPr>
        <w:ind w:right="180" w:firstLine="395"/>
        <w:spacing w:after="0" w:line="280" w:lineRule="auto"/>
        <w:rPr>
          <w:sz w:val="20"/>
          <w:szCs w:val="20"/>
          <w:color w:val="auto"/>
        </w:rPr>
      </w:pPr>
      <w:r>
        <w:rPr>
          <w:rFonts w:ascii="Times New Roman" w:cs="Times New Roman" w:eastAsia="Times New Roman" w:hAnsi="Times New Roman"/>
          <w:sz w:val="16"/>
          <w:szCs w:val="16"/>
          <w:color w:val="auto"/>
        </w:rPr>
        <w:t>Sales commissions earned by our internal sales personnel and our solution providers are considered incremental and recoverable costs of obtaining a contract with a customer. The ending balance of assets recognized from costs to obtain a contract with a customer was $240 million as of July 31, 2024, and $210 million as of January 31, 2024. These assets are recorded in “Prepaid expenses and other current assets” and “Long-term other assets” in the Condensed Consolidated Balance Sheet. Of the total amount as of July 31, 2024, $133 million was recorded in “Prepaid expenses and other current assets” and</w:t>
      </w:r>
    </w:p>
    <w:p>
      <w:pPr>
        <w:spacing w:after="0" w:line="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6"/>
          <w:szCs w:val="16"/>
          <w:color w:val="auto"/>
        </w:rPr>
        <w:t>$107 million was recorded in “Long-term other assets” in the Condensed Consolidated Balance Sheets. Amortization expense related to assets recognized from costs to obtain a contract with a customer was $44 million and $85 million during the three and six months ended July 31, 2024, respectively. Amortization expense related to assets recognized from costs to obtain a contract with a customer was $33 million and $63 million during the three and six months ended July 31, 2023, respectively. Autodesk did not recognize any contract cost impairment losses during the three and six months ended July 31, 2024 and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Computer Equipment, Software, Furniture, and Leasehold Improvements, Net</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Computer equipment, software, furniture and equipment, and leasehold improvements, and the related accumulated depreciation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60" w:type="dxa"/>
            <w:vAlign w:val="bottom"/>
          </w:tcPr>
          <w:p>
            <w:pPr>
              <w:spacing w:after="0"/>
              <w:rPr>
                <w:sz w:val="16"/>
                <w:szCs w:val="16"/>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4"/>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at cost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software, at cost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equipment, at cost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Leasehold improvements, land and buildings, at cost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206"/>
        </w:trPr>
        <w:tc>
          <w:tcPr>
            <w:tcW w:w="8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r>
      <w:tr>
        <w:trPr>
          <w:trHeight w:val="20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3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software, furniture, and leasehold improvements, net</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 Borrowing Arrangements</w:t>
      </w:r>
    </w:p>
    <w:p>
      <w:pPr>
        <w:spacing w:after="0" w:line="244" w:lineRule="exact"/>
        <w:rPr>
          <w:sz w:val="20"/>
          <w:szCs w:val="20"/>
          <w:color w:val="auto"/>
        </w:rPr>
      </w:pPr>
    </w:p>
    <w:p>
      <w:pPr>
        <w:ind w:right="40" w:firstLine="395"/>
        <w:spacing w:after="0" w:line="279" w:lineRule="auto"/>
        <w:rPr>
          <w:sz w:val="20"/>
          <w:szCs w:val="20"/>
          <w:color w:val="auto"/>
        </w:rPr>
      </w:pPr>
      <w:r>
        <w:rPr>
          <w:rFonts w:ascii="Times New Roman" w:cs="Times New Roman" w:eastAsia="Times New Roman" w:hAnsi="Times New Roman"/>
          <w:sz w:val="16"/>
          <w:szCs w:val="16"/>
          <w:color w:val="auto"/>
        </w:rPr>
        <w:t>In November 2022, the Company entered into an Amended and Restated Credit Agreement (the “Credit Agreement”) by and among the Company, the lenders party thereto and Citibank, N.A. (“Citibank”), as administrative agent, which provides for an unsecured revolving loan facility in the aggregate principal amount of $1.5 billion, with an option to be increased up to $2.0 billion. The revolving credit facility is available for working capital or other business needs. The Credit Agreement contains customary covenants that could, among other things, restrict the imposition of liens on Autodesk’s assets, and restrict Autodesk’s ability to incur additional indebtedness or make dispositions of assets if Autodesk fails to maintain compliance with the financial covenants. The Credit Agreement requires the Company to maintain a maximum leverage ratio of Consolidated Covenant Debt to Consolidated EBITDA (each as defined in the Credit Agreement) no greater than 3.50:1.00 during the term of the credit facility, subject to adjustment following the consummation of certain acquisitions up to 4.00:1.00 for up to four consecutive fiscal quarters. At July 31, 2024, Autodesk was in compliance with the Credit Agreement covenants. At July 31, 2024, Autodesk had no outstanding borrowings under the Credit Agreement. Revolving loans under the Credit Agreement will bear interest, at the Company’s option, at either (i) a per annum rate equal to the Base Rate (as defined in the Credit Agreement) plus a margin of between 0.000% and 0.375%, depending on the Company’s Public Debt Rating (as defined in the Credit Agreement), or (ii) a per annum rate equal to the rate at which dollar deposits are offered in the Secured Overnight Financing Rate, plus a margin of between 0.785% and 1.375%, depending on Company’s Public Debt Rating. The interest rates for the revolving credit facility are subject to upward or downward adjustments, on an annual basis, if the Company achieves, or fails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3" w:name="page24"/>
    <w:bookmarkEnd w:id="23"/>
    <w:p>
      <w:pPr>
        <w:ind w:right="20"/>
        <w:spacing w:after="0" w:line="252" w:lineRule="auto"/>
        <w:rPr>
          <w:sz w:val="20"/>
          <w:szCs w:val="20"/>
          <w:color w:val="auto"/>
        </w:rPr>
      </w:pPr>
      <w:r>
        <w:rPr>
          <w:rFonts w:ascii="Times New Roman" w:cs="Times New Roman" w:eastAsia="Times New Roman" w:hAnsi="Times New Roman"/>
          <w:sz w:val="18"/>
          <w:szCs w:val="18"/>
          <w:color w:val="auto"/>
        </w:rPr>
        <w:t>to achieve, certain sustainability-linked targets based on two key performance indicator metrics: (i) the amount of scope 1 and 2 greenhouse gas emissions from the global operations of the Company and its subsidiaries during a fiscal year less qualified emissions reduction instruments and (ii) the percentage of employees of the Company and its subsidiaries identifying as female working in technical roles. The maturity date on the Credit Agreement is September 30, 2026.</w:t>
      </w:r>
    </w:p>
    <w:p>
      <w:pPr>
        <w:spacing w:after="0" w:line="210"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In October 2021, Autodesk issued $1.0 billion aggregate principal amount of 2.4% notes due December 15, 2031 (“2021 Notes”). Net of a discount of $3 million and issuance costs of $9 million, Autodesk received net proceeds of $988 million from issuance of the 2021 Notes. Both the discount and issuance costs are being amortized to interest expense over the term of the 2021 Notes using the effective interest method. The 2021 Notes were designated as sustainability bonds, the net proceeds of which are used to fund environmentally and socially responsible projects in the following areas: eco-efficient products, production technologies, and processes, sustainable water and wastewater management, renewable energy &amp; energy efficiency, green buildings, pollution prevention and control, and socioeconomic advancement and empowerment.</w:t>
      </w:r>
    </w:p>
    <w:p>
      <w:pPr>
        <w:spacing w:after="0" w:line="212"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In January 2020, Autodesk issued $500 million aggregate principal amount of 2.85% notes due January 15, 2030 (“2020 Notes”). Net of a discount of $1 million and issuance costs of $5 million, Autodesk received net proceeds of $494 million from issuance of the 2020 Notes. Both the discount and issuance costs are being amortized to interest expense over the term of the 2020 Notes using the effective interest method. The proceeds of the 2020 Notes were used for the repayment of $450 million of debt due June 15, 2020, and the remainder is available for general corporate purposes.</w:t>
      </w:r>
    </w:p>
    <w:p>
      <w:pPr>
        <w:spacing w:after="0" w:line="210"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In June 2017, Autodesk issued $500 million aggregate principal amount of 3.5% notes due June 15, 2027 (the “2017 Notes”). Net of a discount of $3 million and issuance costs of $5 million, Autodesk received net proceeds of $492 million from issuance of the 2017 Notes. Both the discount and issuance costs are being amortized to interest expense over the term of the 2017 Notes using the effective interest method. The proceeds of the 2017 Notes have been used for the repayment of $400 million of debt due December 15, 2017, and the remainder is available for general corporate purposes.</w:t>
      </w:r>
    </w:p>
    <w:p>
      <w:pPr>
        <w:spacing w:after="0" w:line="210"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In June 2015, Autodesk issued $300 million aggregate principal amount of 4.375% notes due June 15, 2025 (“2015 Notes”). Net of a discount of $1 million, and issuance costs of $3 million, Autodesk received net proceeds of $296 million from issuance of the 2015 Notes. Both the discount and issuance costs are being amortized to interest expense over the respective term of the 2015 Notes using the effective interest method. The proceeds of the 2015 Notes are available for general corporate purposes.</w:t>
      </w:r>
    </w:p>
    <w:p>
      <w:pPr>
        <w:spacing w:after="0" w:line="210" w:lineRule="exact"/>
        <w:rPr>
          <w:sz w:val="20"/>
          <w:szCs w:val="20"/>
          <w:color w:val="auto"/>
        </w:rPr>
      </w:pPr>
    </w:p>
    <w:p>
      <w:pPr>
        <w:ind w:right="120" w:firstLine="434"/>
        <w:spacing w:after="0" w:line="250" w:lineRule="auto"/>
        <w:rPr>
          <w:sz w:val="20"/>
          <w:szCs w:val="20"/>
          <w:color w:val="auto"/>
        </w:rPr>
      </w:pPr>
      <w:r>
        <w:rPr>
          <w:rFonts w:ascii="Times New Roman" w:cs="Times New Roman" w:eastAsia="Times New Roman" w:hAnsi="Times New Roman"/>
          <w:sz w:val="18"/>
          <w:szCs w:val="18"/>
          <w:color w:val="auto"/>
        </w:rPr>
        <w:t>The 2021 Notes, 2020 Notes, 2017 Notes, and the 2015 Notes may all be redeemed at any time, subject to a make whole premium. In addition, upon the occurrence of certain change of control triggering events, Autodesk may be required to repurchase all the aforementioned notes, at a price equal to 101% of their principal amount, plus accrued and unpaid interest to the date of repurchase. All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on the quoted market prices, the approximate fair value of the notes as of July 31, 2024,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300" w:type="dxa"/>
            <w:vAlign w:val="bottom"/>
          </w:tcPr>
          <w:p>
            <w:pPr>
              <w:spacing w:after="0"/>
              <w:rPr>
                <w:sz w:val="13"/>
                <w:szCs w:val="13"/>
                <w:color w:val="auto"/>
              </w:rPr>
            </w:pPr>
          </w:p>
        </w:tc>
        <w:tc>
          <w:tcPr>
            <w:tcW w:w="132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2015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09"/>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2017 Notes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 Notes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20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 Notes</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8"/>
          <w:szCs w:val="18"/>
          <w:color w:val="auto"/>
        </w:rPr>
        <w:t>The expected future principal payments for all borrowings as of July 31, 2024, were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(remainder)</w:t>
            </w: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2"/>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2"/>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31"/>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principal outstanding</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Leases</w:t>
      </w:r>
    </w:p>
    <w:p>
      <w:pPr>
        <w:spacing w:after="0" w:line="244" w:lineRule="exact"/>
        <w:rPr>
          <w:sz w:val="20"/>
          <w:szCs w:val="20"/>
          <w:color w:val="auto"/>
        </w:rPr>
      </w:pPr>
    </w:p>
    <w:p>
      <w:pPr>
        <w:ind w:right="40" w:firstLine="395"/>
        <w:spacing w:after="0" w:line="281" w:lineRule="auto"/>
        <w:rPr>
          <w:sz w:val="20"/>
          <w:szCs w:val="20"/>
          <w:color w:val="auto"/>
        </w:rPr>
      </w:pPr>
      <w:r>
        <w:rPr>
          <w:rFonts w:ascii="Times New Roman" w:cs="Times New Roman" w:eastAsia="Times New Roman" w:hAnsi="Times New Roman"/>
          <w:sz w:val="16"/>
          <w:szCs w:val="16"/>
          <w:color w:val="auto"/>
        </w:rPr>
        <w:t>Autodesk has operating leases for real estate and certain equipment. Leases have remaining lease terms of less than 1 year to 66 years, some of which include options to extend the lease with renewal terms from 1 year to 8 years and some of which include options to terminate the leases from less than 1 year to 6 years. Options to extend or terminate the lease are considered in determining the lease term when it is reasonably certain that the option will be exercised. Payments under our lease arrangements are primarily fixed; however, certain lease agreements contain variable payments, which are expensed as incurred and not included in the operating lease assets and liabilities. These amounts include payments affected by the Consumer Price Index, payments for common area maintenance that are subject to annual reconciliation, and payments for maintenance and utilities. The Company’s leases do not contain residual value guarantees or material restrictive covenants. Short-term leases are recognized in the Condensed Consolidated Statements of Operations on a straight-line basis over the lease term. Short-term lease expense was not material for the periods presented. Changes in operating lease right-of-use assets and operating lease liabilities are presented net in the “Accounts payable and other liabilities” line in the Condensed Consolidated Statements of Cash Flows with the exception of “Lease-related asset impairments” which is presented in “Adjustments to reconcile net income to net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5" w:name="page26"/>
    <w:bookmarkEnd w:id="25"/>
    <w:p>
      <w:pPr>
        <w:ind w:left="400"/>
        <w:spacing w:after="0"/>
        <w:rPr>
          <w:sz w:val="20"/>
          <w:szCs w:val="20"/>
          <w:color w:val="auto"/>
        </w:rPr>
      </w:pPr>
      <w:r>
        <w:rPr>
          <w:rFonts w:ascii="Times New Roman" w:cs="Times New Roman" w:eastAsia="Times New Roman" w:hAnsi="Times New Roman"/>
          <w:sz w:val="18"/>
          <w:szCs w:val="18"/>
          <w:color w:val="auto"/>
        </w:rPr>
        <w:t>The components of lease cost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July 31, 2024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3"/>
          </w:tcPr>
          <w:p>
            <w:pPr>
              <w:jc w:val="center"/>
              <w:ind w:right="20"/>
              <w:spacing w:after="0" w:line="127" w:lineRule="exact"/>
              <w:rPr>
                <w:sz w:val="20"/>
                <w:szCs w:val="20"/>
                <w:color w:val="auto"/>
              </w:rPr>
            </w:pPr>
            <w:r>
              <w:rPr>
                <w:rFonts w:ascii="Times New Roman" w:cs="Times New Roman" w:eastAsia="Times New Roman" w:hAnsi="Times New Roman"/>
                <w:sz w:val="14"/>
                <w:szCs w:val="14"/>
                <w:b w:val="1"/>
                <w:bCs w:val="1"/>
                <w:color w:val="auto"/>
              </w:rPr>
              <w:t>Cost of subscription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Cost of 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General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and maintenance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left="765"/>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July 31, 2024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3"/>
          </w:tcPr>
          <w:p>
            <w:pPr>
              <w:jc w:val="center"/>
              <w:ind w:right="20"/>
              <w:spacing w:after="0" w:line="127" w:lineRule="exact"/>
              <w:rPr>
                <w:sz w:val="20"/>
                <w:szCs w:val="20"/>
                <w:color w:val="auto"/>
              </w:rPr>
            </w:pPr>
            <w:r>
              <w:rPr>
                <w:rFonts w:ascii="Times New Roman" w:cs="Times New Roman" w:eastAsia="Times New Roman" w:hAnsi="Times New Roman"/>
                <w:sz w:val="14"/>
                <w:szCs w:val="14"/>
                <w:b w:val="1"/>
                <w:bCs w:val="1"/>
                <w:color w:val="auto"/>
              </w:rPr>
              <w:t>Cost of subscription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Cost of 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General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and maintenance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July 31, 2023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Cost of subscription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 of other</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General and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and maintenance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center"/>
              <w:ind w:left="805"/>
              <w:spacing w:after="0"/>
              <w:rPr>
                <w:sz w:val="20"/>
                <w:szCs w:val="20"/>
                <w:color w:val="auto"/>
              </w:rPr>
            </w:pPr>
            <w:r>
              <w:rPr>
                <w:rFonts w:ascii="Times New Roman" w:cs="Times New Roman" w:eastAsia="Times New Roman" w:hAnsi="Times New Roman"/>
                <w:sz w:val="16"/>
                <w:szCs w:val="16"/>
                <w:color w:val="auto"/>
                <w:w w:val="99"/>
              </w:rPr>
              <w:t>3</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1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left="805"/>
              <w:spacing w:after="0"/>
              <w:rPr>
                <w:sz w:val="20"/>
                <w:szCs w:val="20"/>
                <w:color w:val="auto"/>
              </w:rPr>
            </w:pPr>
            <w:r>
              <w:rPr>
                <w:rFonts w:ascii="Times New Roman" w:cs="Times New Roman" w:eastAsia="Times New Roman" w:hAnsi="Times New Roman"/>
                <w:sz w:val="16"/>
                <w:szCs w:val="16"/>
                <w:color w:val="auto"/>
                <w:w w:val="99"/>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Six Months Ended July 31, 2023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Cost of subscription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 of other</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General and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and maintenance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12</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center"/>
              <w:ind w:left="805"/>
              <w:spacing w:after="0"/>
              <w:rPr>
                <w:sz w:val="20"/>
                <w:szCs w:val="20"/>
                <w:color w:val="auto"/>
              </w:rPr>
            </w:pPr>
            <w:r>
              <w:rPr>
                <w:rFonts w:ascii="Times New Roman" w:cs="Times New Roman" w:eastAsia="Times New Roman" w:hAnsi="Times New Roman"/>
                <w:sz w:val="16"/>
                <w:szCs w:val="16"/>
                <w:color w:val="auto"/>
                <w:w w:val="99"/>
              </w:rPr>
              <w:t>5</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1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left="805"/>
              <w:spacing w:after="0"/>
              <w:rPr>
                <w:sz w:val="20"/>
                <w:szCs w:val="20"/>
                <w:color w:val="auto"/>
              </w:rPr>
            </w:pPr>
            <w:r>
              <w:rPr>
                <w:rFonts w:ascii="Times New Roman" w:cs="Times New Roman" w:eastAsia="Times New Roman" w:hAnsi="Times New Roman"/>
                <w:sz w:val="16"/>
                <w:szCs w:val="16"/>
                <w:color w:val="auto"/>
                <w:w w:val="99"/>
              </w:rPr>
              <w:t>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Supplemental operating cash flow information related to leases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2580" w:type="dxa"/>
            <w:vAlign w:val="bottom"/>
            <w:gridSpan w:val="4"/>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400" w:type="dxa"/>
            <w:vAlign w:val="bottom"/>
          </w:tcPr>
          <w:p>
            <w:pPr>
              <w:spacing w:after="0"/>
              <w:rPr>
                <w:sz w:val="16"/>
                <w:szCs w:val="16"/>
                <w:color w:val="auto"/>
              </w:rPr>
            </w:pPr>
          </w:p>
        </w:tc>
      </w:tr>
      <w:tr>
        <w:trPr>
          <w:trHeight w:val="24"/>
        </w:trPr>
        <w:tc>
          <w:tcPr>
            <w:tcW w:w="8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4"/>
        </w:trPr>
        <w:tc>
          <w:tcPr>
            <w:tcW w:w="82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leases included in operating cash flows (1)</w:t>
            </w:r>
          </w:p>
        </w:tc>
        <w:tc>
          <w:tcPr>
            <w:tcW w:w="1040" w:type="dxa"/>
            <w:vAlign w:val="bottom"/>
            <w:shd w:val="clear" w:color="auto" w:fill="CCEEFF"/>
          </w:tcPr>
          <w:p>
            <w:pPr>
              <w:jc w:val="right"/>
              <w:ind w:right="867"/>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operating lease liabilities arising from obtaining operating lease right-of-use assets</w:t>
            </w:r>
          </w:p>
        </w:tc>
        <w:tc>
          <w:tcPr>
            <w:tcW w:w="10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bl>
    <w:p>
      <w:pPr>
        <w:spacing w:after="0" w:line="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right="60" w:firstLine="5"/>
        <w:spacing w:after="0" w:line="252" w:lineRule="auto"/>
        <w:tabs>
          <w:tab w:leader="none" w:pos="22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 million and $8 million in variable lease payments for the six months ended July 31, 2024 and 2023, respectively, not included in “Operating lease liabilities” and “Long-term operating lease liabilities” on the Condensed Consolidated Balance Sheets.</w:t>
      </w:r>
    </w:p>
    <w:p>
      <w:pPr>
        <w:spacing w:after="0" w:line="201"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is 5.8 and 6.2 years at July 31, 2024, and January 31, 2024, respectively. The weighted average discount rate was 2.85% and 2.86% at July 31, 2024, and January 31, 2024, respectively.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8"/>
          <w:szCs w:val="18"/>
          <w:color w:val="auto"/>
        </w:rPr>
        <w:t>Maturities of operating lease liabilities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(remainder)</w:t>
            </w:r>
          </w:p>
        </w:tc>
        <w:tc>
          <w:tcPr>
            <w:tcW w:w="78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9"/>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2"/>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09"/>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2"/>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9"/>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06"/>
        </w:trPr>
        <w:tc>
          <w:tcPr>
            <w:tcW w:w="9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r>
      <w:tr>
        <w:trPr>
          <w:trHeight w:val="209"/>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31"/>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780" w:type="dxa"/>
            <w:vAlign w:val="bottom"/>
            <w:tcBorders>
              <w:bottom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Autodesk has subleased certain office space to a third party and has classified the sublease as an operating lease. The sublease has a remaining lease term of 7.6 years. Sublease income was $2 million and $4 million for the three and six months ended July 31, 2024, respectively. Sublease income was $2 million and $4 million for the three and six months ended July 31, 2023, respectively. Sublease income is recorded as a reduction of lease expense in the Company’s Condensed Consolidated Statements of Operations.</w:t>
      </w:r>
    </w:p>
    <w:p>
      <w:pPr>
        <w:spacing w:after="0" w:line="210" w:lineRule="exact"/>
        <w:rPr>
          <w:sz w:val="20"/>
          <w:szCs w:val="20"/>
          <w:color w:val="auto"/>
        </w:rPr>
      </w:pPr>
    </w:p>
    <w:p>
      <w:pPr>
        <w:ind w:right="560" w:firstLine="395"/>
        <w:spacing w:after="0" w:line="268" w:lineRule="auto"/>
        <w:rPr>
          <w:sz w:val="20"/>
          <w:szCs w:val="20"/>
          <w:color w:val="auto"/>
        </w:rPr>
      </w:pPr>
      <w:r>
        <w:rPr>
          <w:rFonts w:ascii="Times New Roman" w:cs="Times New Roman" w:eastAsia="Times New Roman" w:hAnsi="Times New Roman"/>
          <w:sz w:val="18"/>
          <w:szCs w:val="18"/>
          <w:color w:val="auto"/>
        </w:rPr>
        <w:t>Operating lease amounts in the table above do not include sublease income payments of $68 million. Autodesk expects to receive sublease income payments of approximately $38 million for remaining fiscal 2025 through fiscal 2029 and $30 million thereafter.</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July 31, 2024, Autodesk had no material additional operating lease minimum lease payments for executed leases that have not yet commenced.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16. Derivative Instruments</w:t>
      </w:r>
    </w:p>
    <w:p>
      <w:pPr>
        <w:spacing w:after="0" w:line="244" w:lineRule="exact"/>
        <w:rPr>
          <w:sz w:val="20"/>
          <w:szCs w:val="20"/>
          <w:color w:val="auto"/>
        </w:rPr>
      </w:pPr>
    </w:p>
    <w:p>
      <w:pPr>
        <w:ind w:right="360" w:firstLine="395"/>
        <w:spacing w:after="0" w:line="268" w:lineRule="auto"/>
        <w:rPr>
          <w:sz w:val="20"/>
          <w:szCs w:val="20"/>
          <w:color w:val="auto"/>
        </w:rPr>
      </w:pPr>
      <w:r>
        <w:rPr>
          <w:rFonts w:ascii="Times New Roman" w:cs="Times New Roman" w:eastAsia="Times New Roman" w:hAnsi="Times New Roman"/>
          <w:sz w:val="18"/>
          <w:szCs w:val="18"/>
          <w:color w:val="auto"/>
        </w:rPr>
        <w:t>The fair values of derivative instruments in Autodesk’s Condensed Consolidated Balance Sheets were as follows as of July 31, 2024, and January 31, 2024:</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1022"/>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24"/>
        </w:trPr>
        <w:tc>
          <w:tcPr>
            <w:tcW w:w="55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580" w:type="dxa"/>
            <w:vAlign w:val="bottom"/>
          </w:tcPr>
          <w:p>
            <w:pPr>
              <w:spacing w:after="0"/>
              <w:rPr>
                <w:sz w:val="22"/>
                <w:szCs w:val="22"/>
                <w:color w:val="auto"/>
              </w:rPr>
            </w:pPr>
          </w:p>
        </w:tc>
        <w:tc>
          <w:tcPr>
            <w:tcW w:w="26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60" w:type="dxa"/>
            <w:vAlign w:val="bottom"/>
          </w:tcPr>
          <w:p>
            <w:pPr>
              <w:spacing w:after="0"/>
              <w:rPr>
                <w:sz w:val="22"/>
                <w:szCs w:val="22"/>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4"/>
        </w:trPr>
        <w:tc>
          <w:tcPr>
            <w:tcW w:w="558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2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5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Foreign currency contracts designated as cash flow hedges</w:t>
            </w:r>
          </w:p>
        </w:tc>
        <w:tc>
          <w:tcPr>
            <w:tcW w:w="26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Prepaid expenses and other current</w:t>
            </w:r>
          </w:p>
        </w:tc>
        <w:tc>
          <w:tcPr>
            <w:tcW w:w="2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9"/>
        </w:trPr>
        <w:tc>
          <w:tcPr>
            <w:tcW w:w="5580" w:type="dxa"/>
            <w:vAlign w:val="bottom"/>
            <w:vMerge w:val="continue"/>
          </w:tcPr>
          <w:p>
            <w:pPr>
              <w:spacing w:after="0"/>
              <w:rPr>
                <w:sz w:val="18"/>
                <w:szCs w:val="18"/>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5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266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Prepaid expenses and other current</w:t>
            </w:r>
          </w:p>
        </w:tc>
        <w:tc>
          <w:tcPr>
            <w:tcW w:w="2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9"/>
        </w:trPr>
        <w:tc>
          <w:tcPr>
            <w:tcW w:w="5580" w:type="dxa"/>
            <w:vAlign w:val="bottom"/>
            <w:vMerge w:val="continue"/>
            <w:shd w:val="clear" w:color="auto" w:fill="CCEEFF"/>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derivative assets</w:t>
            </w: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color w:val="auto"/>
              </w:rPr>
              <w:t>Derivative Liabilities</w:t>
            </w:r>
          </w:p>
        </w:tc>
        <w:tc>
          <w:tcPr>
            <w:tcW w:w="2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Foreign currency contracts designated as cash flow hedges</w:t>
            </w:r>
          </w:p>
        </w:tc>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1"/>
        </w:trPr>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6"/>
        </w:trPr>
        <w:tc>
          <w:tcPr>
            <w:tcW w:w="5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7" w:name="page28"/>
    <w:bookmarkEnd w:id="27"/>
    <w:p>
      <w:pPr>
        <w:ind w:right="240" w:firstLine="434"/>
        <w:spacing w:after="0" w:line="263" w:lineRule="auto"/>
        <w:rPr>
          <w:sz w:val="20"/>
          <w:szCs w:val="20"/>
          <w:color w:val="auto"/>
        </w:rPr>
      </w:pPr>
      <w:r>
        <w:rPr>
          <w:rFonts w:ascii="Times New Roman" w:cs="Times New Roman" w:eastAsia="Times New Roman" w:hAnsi="Times New Roman"/>
          <w:sz w:val="18"/>
          <w:szCs w:val="18"/>
          <w:color w:val="auto"/>
        </w:rPr>
        <w:t>The effects of derivatives designated as hedging instruments on Autodesk’s Condensed Consolidated Statements of Operations were as follows for the three and six months ended July 31, 2024 and 2023 (amounts presented include any income tax effects):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2320" w:type="dxa"/>
            <w:vAlign w:val="bottom"/>
            <w:gridSpan w:val="4"/>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4"/>
        </w:trPr>
        <w:tc>
          <w:tcPr>
            <w:tcW w:w="5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57"/>
        </w:trPr>
        <w:tc>
          <w:tcPr>
            <w:tcW w:w="57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Amount of loss recognized in accumulated other comprehensive income, net of tax,</w:t>
            </w:r>
          </w:p>
        </w:tc>
        <w:tc>
          <w:tcPr>
            <w:tcW w:w="920" w:type="dxa"/>
            <w:vAlign w:val="bottom"/>
            <w:vMerge w:val="restart"/>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1"/>
        </w:trPr>
        <w:tc>
          <w:tcPr>
            <w:tcW w:w="5740" w:type="dxa"/>
            <w:vAlign w:val="bottom"/>
            <w:tcBorders>
              <w:bottom w:val="single" w:sz="8" w:color="CCEEFF"/>
            </w:tcBorders>
            <w:shd w:val="clear" w:color="auto" w:fill="CCEEFF"/>
          </w:tcPr>
          <w:p>
            <w:pPr>
              <w:ind w:left="180"/>
              <w:spacing w:after="0" w:line="171" w:lineRule="exact"/>
              <w:rPr>
                <w:sz w:val="20"/>
                <w:szCs w:val="20"/>
                <w:color w:val="auto"/>
              </w:rPr>
            </w:pPr>
            <w:r>
              <w:rPr>
                <w:rFonts w:ascii="Times New Roman" w:cs="Times New Roman" w:eastAsia="Times New Roman" w:hAnsi="Times New Roman"/>
                <w:sz w:val="16"/>
                <w:szCs w:val="16"/>
                <w:color w:val="auto"/>
                <w:shd w:val="clear" w:color="auto" w:fill="CCEEFF"/>
              </w:rPr>
              <w:t>(effective portion)</w:t>
            </w: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3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line="145" w:lineRule="exact"/>
              <w:rPr>
                <w:sz w:val="20"/>
                <w:szCs w:val="20"/>
                <w:color w:val="auto"/>
              </w:rPr>
            </w:pPr>
            <w:r>
              <w:rPr>
                <w:rFonts w:ascii="Times New Roman" w:cs="Times New Roman" w:eastAsia="Times New Roman" w:hAnsi="Times New Roman"/>
                <w:sz w:val="16"/>
                <w:szCs w:val="16"/>
                <w:color w:val="auto"/>
              </w:rPr>
              <w:t>Amount and location of gain (loss) reclassified from accumulated other comprehensive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57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into income (effective portion)</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revenue</w:t>
            </w:r>
          </w:p>
        </w:tc>
        <w:tc>
          <w:tcPr>
            <w:tcW w:w="92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9"/>
        </w:trPr>
        <w:tc>
          <w:tcPr>
            <w:tcW w:w="5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9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expenses</w:t>
            </w:r>
          </w:p>
        </w:tc>
        <w:tc>
          <w:tcPr>
            <w:tcW w:w="9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6"/>
        </w:trPr>
        <w:tc>
          <w:tcPr>
            <w:tcW w:w="57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right="60" w:firstLine="434"/>
        <w:spacing w:after="0" w:line="256" w:lineRule="auto"/>
        <w:rPr>
          <w:sz w:val="20"/>
          <w:szCs w:val="20"/>
          <w:color w:val="auto"/>
        </w:rPr>
      </w:pPr>
      <w:r>
        <w:rPr>
          <w:rFonts w:ascii="Times New Roman" w:cs="Times New Roman" w:eastAsia="Times New Roman" w:hAnsi="Times New Roman"/>
          <w:sz w:val="18"/>
          <w:szCs w:val="18"/>
          <w:color w:val="auto"/>
        </w:rPr>
        <w:t>The amount and location of gains or losses recognized in net income of derivatives not designated as hedging instruments on Autodesk’s Condensed Consolidated Statements of Operations were as follows for the three and six months ended July 31, 2024 and 2023, (amounts presented include any income tax effects):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2400" w:type="dxa"/>
            <w:vAlign w:val="bottom"/>
            <w:gridSpan w:val="4"/>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4"/>
        </w:trPr>
        <w:tc>
          <w:tcPr>
            <w:tcW w:w="56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56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and other income (expense), net</w:t>
            </w:r>
          </w:p>
        </w:tc>
        <w:tc>
          <w:tcPr>
            <w:tcW w:w="980" w:type="dxa"/>
            <w:vAlign w:val="bottom"/>
            <w:shd w:val="clear" w:color="auto" w:fill="CCEEFF"/>
          </w:tcPr>
          <w:p>
            <w:pPr>
              <w:jc w:val="right"/>
              <w:ind w:right="807"/>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bl>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Foreign currency contracts designated as cash flow hedges</w:t>
      </w:r>
    </w:p>
    <w:p>
      <w:pPr>
        <w:spacing w:after="0" w:line="242"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Autodesk uses foreign currency contracts to reduce the exchange rate impact on a portion of the net revenue or operating expense of certain anticipated transactions. These currency collars and forward contracts are designated and documented as cash flow hedges. The notional amounts of these contracts are presented net settled and were $1.61 billion at July 31, 2024, and $1.25 billion at January 31, 2024. Outstanding contracts are recognized as either assets or liabilities on the Company's Condensed Consolidated Balance Sheet at fair value. The majority of the net gain of $20 million remaining in “Accumulated other comprehensive loss” as of July 31, 2024, is expected to be recognized into earnings within the next 24 months.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8" w:name="page29"/>
    <w:bookmarkEnd w:id="28"/>
    <w:p>
      <w:pPr>
        <w:jc w:val="both"/>
        <w:ind w:right="80" w:firstLine="395"/>
        <w:spacing w:after="0" w:line="256" w:lineRule="auto"/>
        <w:rPr>
          <w:sz w:val="20"/>
          <w:szCs w:val="20"/>
          <w:color w:val="auto"/>
        </w:rPr>
      </w:pPr>
      <w:r>
        <w:rPr>
          <w:rFonts w:ascii="Times New Roman" w:cs="Times New Roman" w:eastAsia="Times New Roman" w:hAnsi="Times New Roman"/>
          <w:sz w:val="18"/>
          <w:szCs w:val="18"/>
          <w:color w:val="auto"/>
        </w:rPr>
        <w:t>The location and amount of gain or loss recognized in income on cash flow hedges together with the total amount of income or expense presented in the Company's Condensed Consolidated Statements of Operations where the effects of the hedge are recorded were as follows for the three and six months ended July 31, 2024 and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July 31, 2024</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2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 of revenue</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47"/>
              <w:spacing w:after="0" w:line="133"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Subscription</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360" w:type="dxa"/>
            <w:vAlign w:val="bottom"/>
            <w:gridSpan w:val="3"/>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subscription and</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120" w:type="dxa"/>
            <w:vAlign w:val="bottom"/>
          </w:tcPr>
          <w:p>
            <w:pPr>
              <w:spacing w:after="0"/>
              <w:rPr>
                <w:sz w:val="12"/>
                <w:szCs w:val="12"/>
                <w:color w:val="auto"/>
              </w:rPr>
            </w:pPr>
          </w:p>
        </w:tc>
        <w:tc>
          <w:tcPr>
            <w:tcW w:w="108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9"/>
              </w:rPr>
              <w:t>General and</w:t>
            </w: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maintenance</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1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1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20" w:type="dxa"/>
            <w:vAlign w:val="bottom"/>
          </w:tcPr>
          <w:p>
            <w:pPr>
              <w:spacing w:after="0"/>
              <w:rPr>
                <w:sz w:val="16"/>
                <w:szCs w:val="16"/>
                <w:color w:val="auto"/>
              </w:rPr>
            </w:pPr>
          </w:p>
        </w:tc>
        <w:tc>
          <w:tcPr>
            <w:tcW w:w="108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8"/>
              </w:rPr>
              <w:t>administrative</w:t>
            </w:r>
          </w:p>
        </w:tc>
        <w:tc>
          <w:tcPr>
            <w:tcW w:w="0" w:type="dxa"/>
            <w:vAlign w:val="bottom"/>
          </w:tcPr>
          <w:p>
            <w:pPr>
              <w:spacing w:after="0"/>
              <w:rPr>
                <w:sz w:val="1"/>
                <w:szCs w:val="1"/>
                <w:color w:val="auto"/>
              </w:rPr>
            </w:pPr>
          </w:p>
        </w:tc>
      </w:tr>
      <w:tr>
        <w:trPr>
          <w:trHeight w:val="143"/>
        </w:trPr>
        <w:tc>
          <w:tcPr>
            <w:tcW w:w="3180" w:type="dxa"/>
            <w:vAlign w:val="bottom"/>
            <w:tcBorders>
              <w:top w:val="single" w:sz="8" w:color="CCEEFF"/>
            </w:tcBorders>
            <w:shd w:val="clear" w:color="auto" w:fill="CCEEFF"/>
          </w:tcPr>
          <w:p>
            <w:pPr>
              <w:ind w:left="20"/>
              <w:spacing w:after="0" w:line="143" w:lineRule="exact"/>
              <w:rPr>
                <w:sz w:val="20"/>
                <w:szCs w:val="20"/>
                <w:color w:val="auto"/>
              </w:rPr>
            </w:pPr>
            <w:r>
              <w:rPr>
                <w:rFonts w:ascii="Times New Roman" w:cs="Times New Roman" w:eastAsia="Times New Roman" w:hAnsi="Times New Roman"/>
                <w:sz w:val="16"/>
                <w:szCs w:val="16"/>
                <w:color w:val="auto"/>
              </w:rPr>
              <w:t>Total amounts of income and expense line</w:t>
            </w: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6"/>
                <w:szCs w:val="16"/>
                <w:color w:val="auto"/>
              </w:rPr>
              <w:t>items presented in the condensed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1,408</w:t>
            </w:r>
          </w:p>
        </w:tc>
        <w:tc>
          <w:tcPr>
            <w:tcW w:w="2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480</w:t>
            </w:r>
          </w:p>
        </w:tc>
        <w:tc>
          <w:tcPr>
            <w:tcW w:w="1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368</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consolidated statements of operations</w:t>
            </w: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i w:val="1"/>
                <w:iCs w:val="1"/>
                <w:color w:val="auto"/>
              </w:rPr>
              <w:t>Gain (loss) on cash flow hedging relationships</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in Subtopic ASC 815-20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Foreign exchange contracts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180" w:type="dxa"/>
            <w:vAlign w:val="bottom"/>
            <w:shd w:val="clear" w:color="auto" w:fill="CCEEFF"/>
          </w:tcPr>
          <w:p>
            <w:pPr>
              <w:ind w:left="300"/>
              <w:spacing w:after="0" w:line="159" w:lineRule="exact"/>
              <w:rPr>
                <w:sz w:val="20"/>
                <w:szCs w:val="20"/>
                <w:color w:val="auto"/>
              </w:rPr>
            </w:pPr>
            <w:r>
              <w:rPr>
                <w:rFonts w:ascii="Times New Roman" w:cs="Times New Roman" w:eastAsia="Times New Roman" w:hAnsi="Times New Roman"/>
                <w:sz w:val="16"/>
                <w:szCs w:val="16"/>
                <w:color w:val="auto"/>
              </w:rPr>
              <w:t>Amount of gain (loss) reclassified from</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460"/>
              <w:spacing w:after="0" w:line="158" w:lineRule="exact"/>
              <w:rPr>
                <w:sz w:val="20"/>
                <w:szCs w:val="20"/>
                <w:color w:val="auto"/>
              </w:rPr>
            </w:pPr>
            <w:r>
              <w:rPr>
                <w:rFonts w:ascii="Times New Roman" w:cs="Times New Roman" w:eastAsia="Times New Roman" w:hAnsi="Times New Roman"/>
                <w:sz w:val="16"/>
                <w:szCs w:val="16"/>
                <w:color w:val="auto"/>
              </w:rPr>
              <w:t>accumulated other comprehensive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into income</w:t>
            </w: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3"/>
        </w:trPr>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Six Months Ended July 31, 2024</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2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 of revenue</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47"/>
              <w:spacing w:after="0" w:line="127"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Subscription</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360" w:type="dxa"/>
            <w:vAlign w:val="bottom"/>
            <w:gridSpan w:val="3"/>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subscription and</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120" w:type="dxa"/>
            <w:vAlign w:val="bottom"/>
          </w:tcPr>
          <w:p>
            <w:pPr>
              <w:spacing w:after="0"/>
              <w:rPr>
                <w:sz w:val="12"/>
                <w:szCs w:val="12"/>
                <w:color w:val="auto"/>
              </w:rPr>
            </w:pPr>
          </w:p>
        </w:tc>
        <w:tc>
          <w:tcPr>
            <w:tcW w:w="108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9"/>
              </w:rPr>
              <w:t>General and</w:t>
            </w: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maintenance</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1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1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20" w:type="dxa"/>
            <w:vAlign w:val="bottom"/>
          </w:tcPr>
          <w:p>
            <w:pPr>
              <w:spacing w:after="0"/>
              <w:rPr>
                <w:sz w:val="16"/>
                <w:szCs w:val="16"/>
                <w:color w:val="auto"/>
              </w:rPr>
            </w:pPr>
          </w:p>
        </w:tc>
        <w:tc>
          <w:tcPr>
            <w:tcW w:w="108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8"/>
              </w:rPr>
              <w:t>administrative</w:t>
            </w:r>
          </w:p>
        </w:tc>
        <w:tc>
          <w:tcPr>
            <w:tcW w:w="0" w:type="dxa"/>
            <w:vAlign w:val="bottom"/>
          </w:tcPr>
          <w:p>
            <w:pPr>
              <w:spacing w:after="0"/>
              <w:rPr>
                <w:sz w:val="1"/>
                <w:szCs w:val="1"/>
                <w:color w:val="auto"/>
              </w:rPr>
            </w:pPr>
          </w:p>
        </w:tc>
      </w:tr>
      <w:tr>
        <w:trPr>
          <w:trHeight w:val="143"/>
        </w:trPr>
        <w:tc>
          <w:tcPr>
            <w:tcW w:w="3180" w:type="dxa"/>
            <w:vAlign w:val="bottom"/>
            <w:tcBorders>
              <w:top w:val="single" w:sz="8" w:color="CCEEFF"/>
            </w:tcBorders>
            <w:shd w:val="clear" w:color="auto" w:fill="CCEEFF"/>
          </w:tcPr>
          <w:p>
            <w:pPr>
              <w:ind w:left="20"/>
              <w:spacing w:after="0" w:line="143" w:lineRule="exact"/>
              <w:rPr>
                <w:sz w:val="20"/>
                <w:szCs w:val="20"/>
                <w:color w:val="auto"/>
              </w:rPr>
            </w:pPr>
            <w:r>
              <w:rPr>
                <w:rFonts w:ascii="Times New Roman" w:cs="Times New Roman" w:eastAsia="Times New Roman" w:hAnsi="Times New Roman"/>
                <w:sz w:val="16"/>
                <w:szCs w:val="16"/>
                <w:color w:val="auto"/>
              </w:rPr>
              <w:t>Total amounts of income and expense line</w:t>
            </w: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6"/>
                <w:szCs w:val="16"/>
                <w:color w:val="auto"/>
              </w:rPr>
              <w:t>items presented in the condensed</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6"/>
                <w:szCs w:val="16"/>
                <w:color w:val="auto"/>
              </w:rPr>
              <w:t>consolidated statements of operations in</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6"/>
                <w:szCs w:val="16"/>
                <w:color w:val="auto"/>
              </w:rPr>
              <w:t>which the effects of cash flow hedges are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2,738</w:t>
            </w:r>
          </w:p>
        </w:tc>
        <w:tc>
          <w:tcPr>
            <w:tcW w:w="2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6"/>
                <w:szCs w:val="16"/>
                <w:color w:val="auto"/>
              </w:rPr>
              <w:t>200</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949</w:t>
            </w:r>
          </w:p>
        </w:tc>
        <w:tc>
          <w:tcPr>
            <w:tcW w:w="1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714</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recorded</w:t>
            </w: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i w:val="1"/>
                <w:iCs w:val="1"/>
                <w:color w:val="auto"/>
              </w:rPr>
              <w:t>Gain (loss) on cash flow hedging relationships</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in Subtopic ASC 815-20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18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Foreign exchange contracts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180" w:type="dxa"/>
            <w:vAlign w:val="bottom"/>
            <w:shd w:val="clear" w:color="auto" w:fill="CCEEFF"/>
          </w:tcPr>
          <w:p>
            <w:pPr>
              <w:ind w:left="300"/>
              <w:spacing w:after="0" w:line="160" w:lineRule="exact"/>
              <w:rPr>
                <w:sz w:val="20"/>
                <w:szCs w:val="20"/>
                <w:color w:val="auto"/>
              </w:rPr>
            </w:pPr>
            <w:r>
              <w:rPr>
                <w:rFonts w:ascii="Times New Roman" w:cs="Times New Roman" w:eastAsia="Times New Roman" w:hAnsi="Times New Roman"/>
                <w:sz w:val="16"/>
                <w:szCs w:val="16"/>
                <w:color w:val="auto"/>
              </w:rPr>
              <w:t>Amount of gain (loss) reclassified from</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460"/>
              <w:spacing w:after="0" w:line="158" w:lineRule="exact"/>
              <w:rPr>
                <w:sz w:val="20"/>
                <w:szCs w:val="20"/>
                <w:color w:val="auto"/>
              </w:rPr>
            </w:pPr>
            <w:r>
              <w:rPr>
                <w:rFonts w:ascii="Times New Roman" w:cs="Times New Roman" w:eastAsia="Times New Roman" w:hAnsi="Times New Roman"/>
                <w:sz w:val="16"/>
                <w:szCs w:val="16"/>
                <w:color w:val="auto"/>
              </w:rPr>
              <w:t>accumulated other comprehensive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into income</w:t>
            </w: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871" w:right="419" w:bottom="1440" w:gutter="0" w:footer="0" w:header="0"/>
        </w:sectPr>
      </w:pPr>
    </w:p>
    <w:bookmarkStart w:id="29" w:name="page30"/>
    <w:bookmarkEnd w:id="29"/>
    <w:tbl>
      <w:tblPr>
        <w:tblLayout w:type="fixed"/>
        <w:tblInd w:w="60" w:type="dxa"/>
        <w:tblCellMar>
          <w:top w:w="0" w:type="dxa"/>
          <w:left w:w="0" w:type="dxa"/>
          <w:bottom w:w="0" w:type="dxa"/>
          <w:right w:w="0" w:type="dxa"/>
        </w:tblCellMar>
      </w:tblPr>
      <w:tr>
        <w:trPr>
          <w:trHeight w:val="185"/>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July 31, 2023</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0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 of revenue</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28"/>
              <w:spacing w:after="0" w:line="133"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Subscription</w:t>
            </w:r>
          </w:p>
        </w:tc>
        <w:tc>
          <w:tcPr>
            <w:tcW w:w="16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subscription and</w:t>
            </w:r>
          </w:p>
        </w:tc>
        <w:tc>
          <w:tcPr>
            <w:tcW w:w="14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14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Research and</w:t>
            </w:r>
          </w:p>
        </w:tc>
        <w:tc>
          <w:tcPr>
            <w:tcW w:w="140" w:type="dxa"/>
            <w:vAlign w:val="bottom"/>
          </w:tcPr>
          <w:p>
            <w:pPr>
              <w:spacing w:after="0"/>
              <w:rPr>
                <w:sz w:val="12"/>
                <w:szCs w:val="12"/>
                <w:color w:val="auto"/>
              </w:rPr>
            </w:pPr>
          </w:p>
        </w:tc>
        <w:tc>
          <w:tcPr>
            <w:tcW w:w="110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0" w:type="dxa"/>
            <w:vAlign w:val="bottom"/>
          </w:tcPr>
          <w:p>
            <w:pPr>
              <w:spacing w:after="0"/>
              <w:rPr>
                <w:sz w:val="1"/>
                <w:szCs w:val="1"/>
                <w:color w:val="auto"/>
              </w:rPr>
            </w:pPr>
          </w:p>
        </w:tc>
      </w:tr>
      <w:tr>
        <w:trPr>
          <w:trHeight w:val="145"/>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maintenance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development</w:t>
            </w:r>
          </w:p>
        </w:tc>
        <w:tc>
          <w:tcPr>
            <w:tcW w:w="140" w:type="dxa"/>
            <w:vAlign w:val="bottom"/>
          </w:tcPr>
          <w:p>
            <w:pPr>
              <w:spacing w:after="0"/>
              <w:rPr>
                <w:sz w:val="16"/>
                <w:szCs w:val="16"/>
                <w:color w:val="auto"/>
              </w:rPr>
            </w:pPr>
          </w:p>
        </w:tc>
        <w:tc>
          <w:tcPr>
            <w:tcW w:w="110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0" w:type="dxa"/>
            <w:vAlign w:val="bottom"/>
          </w:tcPr>
          <w:p>
            <w:pPr>
              <w:spacing w:after="0"/>
              <w:rPr>
                <w:sz w:val="1"/>
                <w:szCs w:val="1"/>
                <w:color w:val="auto"/>
              </w:rPr>
            </w:pPr>
          </w:p>
        </w:tc>
      </w:tr>
      <w:tr>
        <w:trPr>
          <w:trHeight w:val="143"/>
        </w:trPr>
        <w:tc>
          <w:tcPr>
            <w:tcW w:w="3300" w:type="dxa"/>
            <w:vAlign w:val="bottom"/>
            <w:tcBorders>
              <w:top w:val="single" w:sz="8" w:color="CCEEFF"/>
            </w:tcBorders>
            <w:shd w:val="clear" w:color="auto" w:fill="CCEEFF"/>
          </w:tcPr>
          <w:p>
            <w:pPr>
              <w:jc w:val="center"/>
              <w:ind w:right="161"/>
              <w:spacing w:after="0" w:line="143" w:lineRule="exact"/>
              <w:rPr>
                <w:sz w:val="20"/>
                <w:szCs w:val="20"/>
                <w:color w:val="auto"/>
              </w:rPr>
            </w:pPr>
            <w:r>
              <w:rPr>
                <w:rFonts w:ascii="Times New Roman" w:cs="Times New Roman" w:eastAsia="Times New Roman" w:hAnsi="Times New Roman"/>
                <w:sz w:val="16"/>
                <w:szCs w:val="16"/>
                <w:color w:val="auto"/>
                <w:w w:val="98"/>
              </w:rPr>
              <w:t>Total amounts of income and expense line items</w:t>
            </w:r>
          </w:p>
        </w:tc>
        <w:tc>
          <w:tcPr>
            <w:tcW w:w="1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6"/>
                <w:szCs w:val="16"/>
                <w:color w:val="auto"/>
              </w:rPr>
              <w:t>presented in the condensed consolidated</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1"/>
        </w:trPr>
        <w:tc>
          <w:tcPr>
            <w:tcW w:w="3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statements of operations</w:t>
            </w: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6"/>
                <w:szCs w:val="16"/>
                <w:i w:val="1"/>
                <w:iCs w:val="1"/>
                <w:color w:val="auto"/>
              </w:rPr>
              <w:t>Gain (loss) on cash flow hedging relationships</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in Subtopic ASC 815-20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Foreign exchange contracts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jc w:val="center"/>
              <w:ind w:right="161"/>
              <w:spacing w:after="0" w:line="159" w:lineRule="exact"/>
              <w:rPr>
                <w:sz w:val="20"/>
                <w:szCs w:val="20"/>
                <w:color w:val="auto"/>
              </w:rPr>
            </w:pPr>
            <w:r>
              <w:rPr>
                <w:rFonts w:ascii="Times New Roman" w:cs="Times New Roman" w:eastAsia="Times New Roman" w:hAnsi="Times New Roman"/>
                <w:sz w:val="16"/>
                <w:szCs w:val="16"/>
                <w:color w:val="auto"/>
                <w:w w:val="98"/>
              </w:rPr>
              <w:t>Amount of gain (loss) reclassified from</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ind w:left="440"/>
              <w:spacing w:after="0" w:line="158" w:lineRule="exact"/>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3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into income</w:t>
            </w: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3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Six Months Ended July 31, 2023</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Net revenue</w:t>
            </w:r>
          </w:p>
        </w:tc>
        <w:tc>
          <w:tcPr>
            <w:tcW w:w="10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 of revenue</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28"/>
              <w:spacing w:after="0" w:line="133"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Subscription</w:t>
            </w:r>
          </w:p>
        </w:tc>
        <w:tc>
          <w:tcPr>
            <w:tcW w:w="16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subscription and</w:t>
            </w:r>
          </w:p>
        </w:tc>
        <w:tc>
          <w:tcPr>
            <w:tcW w:w="14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14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Research and</w:t>
            </w:r>
          </w:p>
        </w:tc>
        <w:tc>
          <w:tcPr>
            <w:tcW w:w="140" w:type="dxa"/>
            <w:vAlign w:val="bottom"/>
          </w:tcPr>
          <w:p>
            <w:pPr>
              <w:spacing w:after="0"/>
              <w:rPr>
                <w:sz w:val="12"/>
                <w:szCs w:val="12"/>
                <w:color w:val="auto"/>
              </w:rPr>
            </w:pPr>
          </w:p>
        </w:tc>
        <w:tc>
          <w:tcPr>
            <w:tcW w:w="110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0" w:type="dxa"/>
            <w:vAlign w:val="bottom"/>
          </w:tcPr>
          <w:p>
            <w:pPr>
              <w:spacing w:after="0"/>
              <w:rPr>
                <w:sz w:val="1"/>
                <w:szCs w:val="1"/>
                <w:color w:val="auto"/>
              </w:rPr>
            </w:pPr>
          </w:p>
        </w:tc>
      </w:tr>
      <w:tr>
        <w:trPr>
          <w:trHeight w:val="145"/>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maintenance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development</w:t>
            </w:r>
          </w:p>
        </w:tc>
        <w:tc>
          <w:tcPr>
            <w:tcW w:w="140" w:type="dxa"/>
            <w:vAlign w:val="bottom"/>
          </w:tcPr>
          <w:p>
            <w:pPr>
              <w:spacing w:after="0"/>
              <w:rPr>
                <w:sz w:val="16"/>
                <w:szCs w:val="16"/>
                <w:color w:val="auto"/>
              </w:rPr>
            </w:pPr>
          </w:p>
        </w:tc>
        <w:tc>
          <w:tcPr>
            <w:tcW w:w="110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0" w:type="dxa"/>
            <w:vAlign w:val="bottom"/>
          </w:tcPr>
          <w:p>
            <w:pPr>
              <w:spacing w:after="0"/>
              <w:rPr>
                <w:sz w:val="1"/>
                <w:szCs w:val="1"/>
                <w:color w:val="auto"/>
              </w:rPr>
            </w:pPr>
          </w:p>
        </w:tc>
      </w:tr>
      <w:tr>
        <w:trPr>
          <w:trHeight w:val="143"/>
        </w:trPr>
        <w:tc>
          <w:tcPr>
            <w:tcW w:w="3300" w:type="dxa"/>
            <w:vAlign w:val="bottom"/>
            <w:tcBorders>
              <w:top w:val="single" w:sz="8" w:color="CCEEFF"/>
            </w:tcBorders>
            <w:shd w:val="clear" w:color="auto" w:fill="CCEEFF"/>
          </w:tcPr>
          <w:p>
            <w:pPr>
              <w:jc w:val="center"/>
              <w:ind w:right="161"/>
              <w:spacing w:after="0" w:line="143" w:lineRule="exact"/>
              <w:rPr>
                <w:sz w:val="20"/>
                <w:szCs w:val="20"/>
                <w:color w:val="auto"/>
              </w:rPr>
            </w:pPr>
            <w:r>
              <w:rPr>
                <w:rFonts w:ascii="Times New Roman" w:cs="Times New Roman" w:eastAsia="Times New Roman" w:hAnsi="Times New Roman"/>
                <w:sz w:val="16"/>
                <w:szCs w:val="16"/>
                <w:color w:val="auto"/>
                <w:w w:val="98"/>
              </w:rPr>
              <w:t>Total amounts of income and expense line items</w:t>
            </w:r>
          </w:p>
        </w:tc>
        <w:tc>
          <w:tcPr>
            <w:tcW w:w="1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6"/>
                <w:szCs w:val="16"/>
                <w:color w:val="auto"/>
              </w:rPr>
              <w:t>presented in the condensed consolidated</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6"/>
                <w:szCs w:val="16"/>
                <w:color w:val="auto"/>
              </w:rPr>
              <w:t>statements of operations in which the effects of</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2,463</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11"/>
        </w:trPr>
        <w:tc>
          <w:tcPr>
            <w:tcW w:w="3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flow hedges are recorded</w:t>
            </w: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jc w:val="center"/>
              <w:ind w:right="141"/>
              <w:spacing w:after="0" w:line="158" w:lineRule="exact"/>
              <w:rPr>
                <w:sz w:val="20"/>
                <w:szCs w:val="20"/>
                <w:color w:val="auto"/>
              </w:rPr>
            </w:pPr>
            <w:r>
              <w:rPr>
                <w:rFonts w:ascii="Times New Roman" w:cs="Times New Roman" w:eastAsia="Times New Roman" w:hAnsi="Times New Roman"/>
                <w:sz w:val="16"/>
                <w:szCs w:val="16"/>
                <w:i w:val="1"/>
                <w:iCs w:val="1"/>
                <w:color w:val="auto"/>
                <w:w w:val="98"/>
              </w:rPr>
              <w:t>Gain (loss)on cash flow hedging relationships in</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Subtopic ASC 815-20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Foreign exchange contracts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jc w:val="center"/>
              <w:ind w:right="161"/>
              <w:spacing w:after="0" w:line="159" w:lineRule="exact"/>
              <w:rPr>
                <w:sz w:val="20"/>
                <w:szCs w:val="20"/>
                <w:color w:val="auto"/>
              </w:rPr>
            </w:pPr>
            <w:r>
              <w:rPr>
                <w:rFonts w:ascii="Times New Roman" w:cs="Times New Roman" w:eastAsia="Times New Roman" w:hAnsi="Times New Roman"/>
                <w:sz w:val="16"/>
                <w:szCs w:val="16"/>
                <w:color w:val="auto"/>
                <w:w w:val="98"/>
              </w:rPr>
              <w:t>Amount of gain (loss) reclassified from</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ind w:left="440"/>
              <w:spacing w:after="0" w:line="158" w:lineRule="exact"/>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1"/>
        </w:trPr>
        <w:tc>
          <w:tcPr>
            <w:tcW w:w="3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into income</w:t>
            </w: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Autodesk uses foreign currency contracts that are not designated as hedging instruments to reduce the exchange rate risk associated primarily with foreign currency denominated receivables, payables, and cash. The notional amounts of these foreign currency contracts are presented net settled and were $61 million at July 31, 2024, and $455 million at January 31, 2024.</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17. Commitments and Contingencies</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42"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12"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10" w:lineRule="exact"/>
        <w:rPr>
          <w:sz w:val="20"/>
          <w:szCs w:val="20"/>
          <w:color w:val="auto"/>
        </w:rPr>
      </w:pPr>
    </w:p>
    <w:p>
      <w:pPr>
        <w:ind w:right="80" w:firstLine="434"/>
        <w:spacing w:after="0" w:line="250" w:lineRule="auto"/>
        <w:rPr>
          <w:sz w:val="20"/>
          <w:szCs w:val="20"/>
          <w:color w:val="auto"/>
        </w:rPr>
      </w:pPr>
      <w:r>
        <w:rPr>
          <w:rFonts w:ascii="Times New Roman" w:cs="Times New Roman" w:eastAsia="Times New Roman" w:hAnsi="Times New Roman"/>
          <w:sz w:val="18"/>
          <w:szCs w:val="18"/>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42"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Autodesk is involved in a variety of claims, suits, investigations, inquiries, and proceedings in the normal course of business including claims of alleged infringement of intellectual property rights, commercial, employment, tax, prosecution of unauthorized use,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19"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In early March 2024, the Audit Committee of Autodesk’s Board of Directors commenced an internal investigation with the assistance of outside counsel and advisors regarding the Company’s free cash flow and non-GAAP operating margin practices (the “Internal Investigation”). On March 8, 2024, the Company voluntarily contacted the U.S. Securities and Exchange Commission (“SEC”) to inform it of the Internal Investigation. On April 3, 2024, the United States Attorney’s Office for the Northern District of California (“USAO”) contacted the Company regarding the Internal Investigation. The Company voluntarily provided the SEC and USAO with certain documents relating to the Internal Investigation and will continue to cooperate with the SEC and USAO. At this stage, the Company cannot reasonably estimate the amount of any possible financial loss that could result from this matter.</w:t>
      </w:r>
    </w:p>
    <w:p>
      <w:pPr>
        <w:spacing w:after="0" w:line="198" w:lineRule="exact"/>
        <w:rPr>
          <w:sz w:val="20"/>
          <w:szCs w:val="20"/>
          <w:color w:val="auto"/>
        </w:rPr>
      </w:pPr>
    </w:p>
    <w:p>
      <w:pPr>
        <w:ind w:right="20" w:firstLine="395"/>
        <w:spacing w:after="0" w:line="231" w:lineRule="auto"/>
        <w:rPr>
          <w:sz w:val="20"/>
          <w:szCs w:val="20"/>
          <w:color w:val="auto"/>
        </w:rPr>
      </w:pPr>
      <w:r>
        <w:rPr>
          <w:rFonts w:ascii="Times New Roman" w:cs="Times New Roman" w:eastAsia="Times New Roman" w:hAnsi="Times New Roman"/>
          <w:sz w:val="18"/>
          <w:szCs w:val="18"/>
          <w:color w:val="auto"/>
        </w:rPr>
        <w:t>On April 24, 2024, plaintiff Michael Barkasi filed a purported federal securities class action complaint in the Northern District of California against the Company, our Chief Executive Officer, Andrew Anagnost, and our former Chief Financial Officer, Deborah L. Clifford. The complaint, which was filed shortly after the Company’s announcement of the Audit Committee of the Board of Directors’ internal investigation regarding the Company’s free cash flow and non-GAAP operating margin practices, generally alleges that the defendants made false and misleading statements in violation of Sections 10(b) and 20(a) of the Securities Exchange Act of 1934, and Rule 10b-5 promulgated thereunder. The action purports to be brought on behalf of those who purchased or otherwise acquired the Company’s publicly traded securities between June 1, 2023 and April 16, 2024, and seeks unspecified damages and other relief. On July 10, 2024, the Court appointed a lead plaintiff in the action, and an amended complaint is due September 16, 2024. At this stage, the Company cannot reasonably estimate the amount of any possible financial loss that could result from this matter.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18. Stockholders' Equity</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in stockholders' equity by component, net of tax, as of July 31, 2024,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3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 and additional paid-</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1"/>
        </w:trPr>
        <w:tc>
          <w:tcPr>
            <w:tcW w:w="48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Total stockholders'</w:t>
            </w:r>
          </w:p>
        </w:tc>
      </w:tr>
      <w:tr>
        <w:trPr>
          <w:trHeight w:val="191"/>
        </w:trPr>
        <w:tc>
          <w:tcPr>
            <w:tcW w:w="4800" w:type="dxa"/>
            <w:vAlign w:val="bottom"/>
          </w:tcPr>
          <w:p>
            <w:pPr>
              <w:spacing w:after="0"/>
              <w:rPr>
                <w:sz w:val="16"/>
                <w:szCs w:val="16"/>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280" w:type="dxa"/>
            <w:vAlign w:val="bottom"/>
          </w:tcPr>
          <w:p>
            <w:pPr>
              <w:spacing w:after="0"/>
              <w:rPr>
                <w:sz w:val="16"/>
                <w:szCs w:val="16"/>
                <w:color w:val="auto"/>
              </w:rPr>
            </w:pPr>
          </w:p>
        </w:tc>
        <w:tc>
          <w:tcPr>
            <w:tcW w:w="102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2024</w:t>
            </w: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Settlement of liability-classified restricted common shares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2"/>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April 30, 2024</w:t>
            </w: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215</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00"/>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July 31, 2024</w:t>
            </w: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215</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100" w:type="dxa"/>
            <w:vAlign w:val="bottom"/>
          </w:tcPr>
          <w:p>
            <w:pPr>
              <w:spacing w:after="0"/>
              <w:rPr>
                <w:sz w:val="17"/>
                <w:szCs w:val="17"/>
                <w:color w:val="auto"/>
              </w:rPr>
            </w:pPr>
          </w:p>
        </w:tc>
        <w:tc>
          <w:tcPr>
            <w:tcW w:w="520" w:type="dxa"/>
            <w:vAlign w:val="bottom"/>
            <w:tcBorders>
              <w:top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17"/>
                <w:szCs w:val="17"/>
                <w:color w:val="auto"/>
              </w:rPr>
            </w:pPr>
          </w:p>
        </w:tc>
        <w:tc>
          <w:tcPr>
            <w:tcW w:w="440" w:type="dxa"/>
            <w:vAlign w:val="bottom"/>
            <w:tcBorders>
              <w:top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2,474</w:t>
            </w:r>
          </w:p>
        </w:tc>
      </w:tr>
    </w:tbl>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hanging="395"/>
        <w:spacing w:after="0"/>
        <w:tabs>
          <w:tab w:leader="none" w:pos="4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the three and six months ended July 31, 2024, Autodesk repurchased 471 thousand and 504 thousand shares at an average repurchase price of </w:t>
      </w:r>
      <w:r>
        <w:rPr>
          <w:rFonts w:ascii="Times New Roman" w:cs="Times New Roman" w:eastAsia="Times New Roman" w:hAnsi="Times New Roman"/>
          <w:sz w:val="17"/>
          <w:szCs w:val="17"/>
          <w:color w:val="auto"/>
        </w:rPr>
        <w:t>$244.63</w:t>
      </w:r>
      <w:r>
        <w:rPr>
          <w:rFonts w:ascii="Times New Roman" w:cs="Times New Roman" w:eastAsia="Times New Roman" w:hAnsi="Times New Roman"/>
          <w:sz w:val="16"/>
          <w:szCs w:val="16"/>
          <w:color w:val="auto"/>
        </w:rPr>
        <w:t xml:space="preserve"> and</w:t>
      </w:r>
    </w:p>
    <w:p>
      <w:pPr>
        <w:spacing w:after="0" w:line="15" w:lineRule="exact"/>
        <w:rPr>
          <w:rFonts w:ascii="Times New Roman" w:cs="Times New Roman" w:eastAsia="Times New Roman" w:hAnsi="Times New Roman"/>
          <w:sz w:val="16"/>
          <w:szCs w:val="16"/>
          <w:color w:val="auto"/>
        </w:rPr>
      </w:pPr>
    </w:p>
    <w:p>
      <w:pPr>
        <w:ind w:left="400" w:right="140"/>
        <w:spacing w:after="0" w:line="27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$245.29 </w:t>
      </w:r>
      <w:r>
        <w:rPr>
          <w:rFonts w:ascii="Times New Roman" w:cs="Times New Roman" w:eastAsia="Times New Roman" w:hAnsi="Times New Roman"/>
          <w:sz w:val="15"/>
          <w:szCs w:val="15"/>
          <w:color w:val="auto"/>
        </w:rPr>
        <w:t>per share, respectively. At July 31, 2024, $4.62 billion remained available for repurchase under the November 2022 repurchase program approved by the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of Directors.</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in stockholders' equity by component, net of tax, as of July 31, 2023,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3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 and additional paid-</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90"/>
        </w:trPr>
        <w:tc>
          <w:tcPr>
            <w:tcW w:w="48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w w:val="97"/>
              </w:rPr>
              <w:t>Total stockholders'</w:t>
            </w:r>
          </w:p>
        </w:tc>
      </w:tr>
      <w:tr>
        <w:trPr>
          <w:trHeight w:val="191"/>
        </w:trPr>
        <w:tc>
          <w:tcPr>
            <w:tcW w:w="4880" w:type="dxa"/>
            <w:vAlign w:val="bottom"/>
          </w:tcPr>
          <w:p>
            <w:pPr>
              <w:spacing w:after="0"/>
              <w:rPr>
                <w:sz w:val="16"/>
                <w:szCs w:val="16"/>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2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09"/>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2023</w:t>
            </w: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Settlement of liability-classified restricted common shares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r>
      <w:tr>
        <w:trPr>
          <w:trHeight w:val="202"/>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April 30, 2023</w:t>
            </w: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214</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3,368</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liability-classified restricted common shares</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6"/>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July 31, 2023</w:t>
            </w: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214</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r>
    </w:tbl>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jc w:val="both"/>
        <w:ind w:left="400" w:right="40" w:hanging="395"/>
        <w:spacing w:after="0" w:line="255" w:lineRule="auto"/>
        <w:tabs>
          <w:tab w:leader="none" w:pos="4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and six months ended July 31, 2023, Autodesk repurchased 437 thousand and 3 million shares at an average repurchase price of $199.73 and $199.42 per share, respectively. At July 31, 2023, no shares remained available for repurchase under the September 2016 repurchase program. At July 31, 2023, $4.91 billion remained available for repurchase under the November 2022 repurchase program approved by the Board of Directors.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19. Accumulated Other Comprehensive Loss</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Accumulated other comprehensive loss, net of taxes, consisted of the following at July 31, 2024:</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5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0" w:type="dxa"/>
            <w:vAlign w:val="bottom"/>
            <w:gridSpan w:val="3"/>
          </w:tcPr>
          <w:p>
            <w:pPr>
              <w:jc w:val="center"/>
              <w:ind w:right="100"/>
              <w:spacing w:after="0" w:line="132"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Defined Benefit</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12"/>
                <w:szCs w:val="12"/>
                <w:color w:val="auto"/>
              </w:rPr>
            </w:pPr>
          </w:p>
        </w:tc>
        <w:tc>
          <w:tcPr>
            <w:tcW w:w="122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Available-for-</w:t>
            </w: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Derivative</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Sale Debt</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Pension</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60" w:type="dxa"/>
            <w:vAlign w:val="bottom"/>
          </w:tcPr>
          <w:p>
            <w:pPr>
              <w:spacing w:after="0"/>
              <w:rPr>
                <w:sz w:val="12"/>
                <w:szCs w:val="12"/>
                <w:color w:val="auto"/>
              </w:rPr>
            </w:pPr>
          </w:p>
        </w:tc>
        <w:tc>
          <w:tcPr>
            <w:tcW w:w="84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center"/>
              <w:ind w:left="583"/>
              <w:spacing w:after="0"/>
              <w:rPr>
                <w:sz w:val="20"/>
                <w:szCs w:val="20"/>
                <w:color w:val="auto"/>
              </w:rPr>
            </w:pPr>
            <w:r>
              <w:rPr>
                <w:rFonts w:ascii="Times New Roman" w:cs="Times New Roman" w:eastAsia="Times New Roman" w:hAnsi="Times New Roman"/>
                <w:sz w:val="16"/>
                <w:szCs w:val="16"/>
                <w:color w:val="auto"/>
                <w:w w:val="97"/>
              </w:rPr>
              <w:t>(24)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left="483"/>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loss reclassified from accumulated other comprehensive loss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483"/>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center"/>
              <w:ind w:left="483"/>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4"/>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center"/>
              <w:ind w:left="603"/>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6"/>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July 31, 2024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center"/>
              <w:ind w:left="583"/>
              <w:spacing w:after="0"/>
              <w:rPr>
                <w:sz w:val="20"/>
                <w:szCs w:val="20"/>
                <w:color w:val="auto"/>
              </w:rPr>
            </w:pPr>
            <w:r>
              <w:rPr>
                <w:rFonts w:ascii="Times New Roman" w:cs="Times New Roman" w:eastAsia="Times New Roman" w:hAnsi="Times New Roman"/>
                <w:sz w:val="16"/>
                <w:szCs w:val="16"/>
                <w:color w:val="auto"/>
                <w:w w:val="97"/>
              </w:rPr>
              <w:t>(24)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Accumulated other comprehensive loss, net of taxes, consisted of the following at July 31, 2023: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Net Unrealized</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Defined Benefit</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12"/>
                <w:szCs w:val="12"/>
                <w:color w:val="auto"/>
              </w:rPr>
            </w:pPr>
          </w:p>
        </w:tc>
        <w:tc>
          <w:tcPr>
            <w:tcW w:w="122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Gains (Losses) on</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Available-for-</w:t>
            </w: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4"/>
                <w:szCs w:val="14"/>
                <w:b w:val="1"/>
                <w:bCs w:val="1"/>
                <w:color w:val="auto"/>
              </w:rPr>
              <w:t>Sale Debt</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40" w:type="dxa"/>
            <w:vAlign w:val="bottom"/>
          </w:tcPr>
          <w:p>
            <w:pPr>
              <w:spacing w:after="0"/>
              <w:rPr>
                <w:sz w:val="11"/>
                <w:szCs w:val="11"/>
                <w:color w:val="auto"/>
              </w:rPr>
            </w:pPr>
          </w:p>
        </w:tc>
        <w:tc>
          <w:tcPr>
            <w:tcW w:w="86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Instruments</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center"/>
              <w:ind w:left="563"/>
              <w:spacing w:after="0"/>
              <w:rPr>
                <w:sz w:val="20"/>
                <w:szCs w:val="20"/>
                <w:color w:val="auto"/>
              </w:rPr>
            </w:pPr>
            <w:r>
              <w:rPr>
                <w:rFonts w:ascii="Times New Roman" w:cs="Times New Roman" w:eastAsia="Times New Roman" w:hAnsi="Times New Roman"/>
                <w:sz w:val="16"/>
                <w:szCs w:val="16"/>
                <w:color w:val="auto"/>
                <w:w w:val="97"/>
              </w:rPr>
              <w:t>(19)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10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center"/>
              <w:ind w:left="503"/>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loss reclassified from accumulated other comprehensive loss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503"/>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effects</w:t>
            </w:r>
          </w:p>
        </w:tc>
        <w:tc>
          <w:tcPr>
            <w:tcW w:w="10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center"/>
              <w:ind w:left="503"/>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4"/>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center"/>
              <w:ind w:left="603"/>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6"/>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July 31, 2023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center"/>
              <w:ind w:left="563"/>
              <w:spacing w:after="0"/>
              <w:rPr>
                <w:sz w:val="20"/>
                <w:szCs w:val="20"/>
                <w:color w:val="auto"/>
              </w:rPr>
            </w:pPr>
            <w:r>
              <w:rPr>
                <w:rFonts w:ascii="Times New Roman" w:cs="Times New Roman" w:eastAsia="Times New Roman" w:hAnsi="Times New Roman"/>
                <w:sz w:val="16"/>
                <w:szCs w:val="16"/>
                <w:color w:val="auto"/>
                <w:w w:val="97"/>
              </w:rPr>
              <w:t>(19)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right="80" w:firstLine="395"/>
        <w:spacing w:after="0" w:line="256" w:lineRule="auto"/>
        <w:rPr>
          <w:sz w:val="20"/>
          <w:szCs w:val="20"/>
          <w:color w:val="auto"/>
        </w:rPr>
      </w:pPr>
      <w:r>
        <w:rPr>
          <w:rFonts w:ascii="Times New Roman" w:cs="Times New Roman" w:eastAsia="Times New Roman" w:hAnsi="Times New Roman"/>
          <w:sz w:val="18"/>
          <w:szCs w:val="18"/>
          <w:color w:val="auto"/>
        </w:rPr>
        <w:t>Reclassifications related to gains and losses on available-for-sale debt securities are included in “Interest and other income (expense), net.” Refer to Note 16, “Derivative Instruments,” for the amount and location of reclassifications related to derivative instruments. Reclassifications of the defined benefit pension components of net periodic benefit cost are included in “Interest and other income (expense), net.”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20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Net Income Per Share</w:t>
      </w:r>
    </w:p>
    <w:p>
      <w:pPr>
        <w:spacing w:after="0" w:line="244" w:lineRule="exact"/>
        <w:rPr>
          <w:sz w:val="20"/>
          <w:szCs w:val="20"/>
          <w:color w:val="auto"/>
        </w:rPr>
      </w:pPr>
    </w:p>
    <w:p>
      <w:pPr>
        <w:ind w:right="260" w:firstLine="434"/>
        <w:spacing w:after="0" w:line="252"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for the period. Diluted net income per share is computed using the weighted average number of shares of common stock outstanding for the period and potentially dilutive common shares, including the effect of restricted stock units, performance share awards, and stock options using the treasury stock method. The following table sets forth the computation of the numerators and denominators used in the basic and diluted net income per share amounts: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4"/>
        </w:trPr>
        <w:tc>
          <w:tcPr>
            <w:tcW w:w="57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76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color w:val="auto"/>
              </w:rPr>
              <w:t>Denominator:</w:t>
            </w:r>
          </w:p>
        </w:tc>
        <w:tc>
          <w:tcPr>
            <w:tcW w:w="8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Denominator for basic net income per share—weighted average shares</w:t>
            </w: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2"/>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8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2"/>
        </w:trPr>
        <w:tc>
          <w:tcPr>
            <w:tcW w:w="5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Denominator for dilutive net income per share</w:t>
            </w:r>
          </w:p>
        </w:tc>
        <w:tc>
          <w:tcPr>
            <w:tcW w:w="8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60" w:type="dxa"/>
            <w:vAlign w:val="bottom"/>
            <w:vMerge w:val="continue"/>
          </w:tcPr>
          <w:p>
            <w:pPr>
              <w:spacing w:after="0"/>
              <w:rPr>
                <w:sz w:val="15"/>
                <w:szCs w:val="15"/>
                <w:color w:val="auto"/>
              </w:rPr>
            </w:pP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360" w:firstLine="434"/>
        <w:spacing w:after="0" w:line="286" w:lineRule="auto"/>
        <w:rPr>
          <w:sz w:val="20"/>
          <w:szCs w:val="20"/>
          <w:color w:val="auto"/>
        </w:rPr>
      </w:pPr>
      <w:r>
        <w:rPr>
          <w:rFonts w:ascii="Times New Roman" w:cs="Times New Roman" w:eastAsia="Times New Roman" w:hAnsi="Times New Roman"/>
          <w:sz w:val="16"/>
          <w:szCs w:val="16"/>
          <w:color w:val="auto"/>
        </w:rPr>
        <w:t>The computation of diluted net income per share does not include shares that are anti-dilutive under the treasury stock method because their exercise prices are higher than the average market value of Autodesk’s stock during the periods. For the three and six months ended July 31, 2024, there were</w:t>
      </w:r>
    </w:p>
    <w:p>
      <w:pPr>
        <w:ind w:right="160"/>
        <w:spacing w:after="0" w:line="246" w:lineRule="auto"/>
        <w:rPr>
          <w:sz w:val="20"/>
          <w:szCs w:val="20"/>
          <w:color w:val="auto"/>
        </w:rPr>
      </w:pPr>
      <w:r>
        <w:rPr>
          <w:rFonts w:ascii="Times New Roman" w:cs="Times New Roman" w:eastAsia="Times New Roman" w:hAnsi="Times New Roman"/>
          <w:sz w:val="18"/>
          <w:szCs w:val="18"/>
          <w:color w:val="auto"/>
        </w:rPr>
        <w:t>194 thousand and 121 thousand anti-dilutive shares excluded from the computation of diluted net income per share, respectively. For the three and six months ended July 31, 2023, there were 436 thousand and 512 thousand anti-dilutive shares excluded from the computation of diluted net income per share,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 Segments</w:t>
      </w:r>
    </w:p>
    <w:p>
      <w:pPr>
        <w:spacing w:after="0" w:line="244"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Autodesk operates in one operating segment and accordingly, all required financial segment information is included in the condensed consolidated financial statements. Operating segments are defined as components of an enterprise for which separate financial information is evaluated regularly by the chief operating decision makers (“CODM”) in deciding how to allocate resources and assess performance. Autodesk reports segment information based on the “management” approach. The management approach designates the internal reporting used by management for making decisions, allocating resources, and assessing performance as the source of the Company’s reportable segments. The Company’s CODM allocates resources and assesses the operating performance of the Company as a whole.</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Information regarding Autodesk’s long-lived assets by geographic area is as follows: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4"/>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Long-lived assets (1):</w:t>
            </w: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86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Americas</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U.S.</w:t>
            </w:r>
          </w:p>
        </w:tc>
        <w:tc>
          <w:tcPr>
            <w:tcW w:w="1240" w:type="dxa"/>
            <w:vAlign w:val="bottom"/>
          </w:tcPr>
          <w:p>
            <w:pPr>
              <w:jc w:val="right"/>
              <w:ind w:right="106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Other Americas</w:t>
            </w:r>
          </w:p>
        </w:tc>
        <w:tc>
          <w:tcPr>
            <w:tcW w:w="12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2"/>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Americas</w:t>
            </w:r>
          </w:p>
        </w:tc>
        <w:tc>
          <w:tcPr>
            <w:tcW w:w="12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9"/>
        </w:trPr>
        <w:tc>
          <w:tcPr>
            <w:tcW w:w="7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Asia Pacific</w:t>
            </w:r>
          </w:p>
        </w:tc>
        <w:tc>
          <w:tcPr>
            <w:tcW w:w="1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long-lived assets</w:t>
            </w:r>
          </w:p>
        </w:tc>
        <w:tc>
          <w:tcPr>
            <w:tcW w:w="1240" w:type="dxa"/>
            <w:vAlign w:val="bottom"/>
            <w:tcBorders>
              <w:bottom w:val="single" w:sz="8" w:color="auto"/>
            </w:tcBorders>
            <w:shd w:val="clear" w:color="auto" w:fill="CCEEFF"/>
          </w:tcPr>
          <w:p>
            <w:pPr>
              <w:jc w:val="right"/>
              <w:ind w:right="106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Long-lived assets exclude deferred tax assets, marketable securities, goodwill, and intangible assets.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58"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4" w:name="page35"/>
    <w:bookmarkEnd w:id="34"/>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40" w:lineRule="exact"/>
        <w:rPr>
          <w:sz w:val="20"/>
          <w:szCs w:val="20"/>
          <w:color w:val="auto"/>
        </w:rPr>
      </w:pPr>
    </w:p>
    <w:p>
      <w:pPr>
        <w:ind w:firstLine="175"/>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The discussion in our MD&amp;A and elsewhere in this Quarterly Report on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“Overview of the Three and Six Months Ended July 31, 2024,” and in </w:t>
      </w:r>
      <w:r>
        <w:rPr>
          <w:rFonts w:ascii="Times New Roman" w:cs="Times New Roman" w:eastAsia="Times New Roman" w:hAnsi="Times New Roman"/>
          <w:sz w:val="18"/>
          <w:szCs w:val="18"/>
          <w:i w:val="1"/>
          <w:iCs w:val="1"/>
          <w:color w:val="212529"/>
        </w:rPr>
        <w:t>“Results of Operations-Overview.”</w:t>
      </w:r>
      <w:r>
        <w:rPr>
          <w:rFonts w:ascii="Times New Roman" w:cs="Times New Roman" w:eastAsia="Times New Roman" w:hAnsi="Times New Roman"/>
          <w:sz w:val="18"/>
          <w:szCs w:val="18"/>
          <w:i w:val="1"/>
          <w:iCs w:val="1"/>
          <w:color w:val="auto"/>
        </w:rPr>
        <w:t xml:space="preserve"> Examples of such forward-looking statements may relate to items such as future net revenue, operating expenses, recurring revenue, net revenue retention rate, cash flow, remaining performance obligations, and other future financial results (by product type and geography); the transition to annual billings for multi-year contracts; the implementation of new transaction models; the effectiveness of our efforts to successfully manage transitions to new markets; our ability to increase our subscription base; expected market trends, including the growth of cloud and mobile computing; the availability of credit; the effect of unemployment; the effects of global economic conditions, including from an economic downturn or recession in the United States or in other countries around the world; the effects of revenue recognition; the effects of recently issued accounting standards; expected trends in certain financial metrics, including expenses; expectations regarding our cash needs; the effects of fluctuations in exchange rates and our hedging activities on our financial results; our ability to successfully expand adoption of our products; our ability to gain market acceptance of new business and sales initiatives; the impact of past acquisitions, including our integration efforts and expected synergies;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anticipated benefits of our products;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Quarterly Report on Form 10-Q and are subject to business and economic risks. As such, our actual results could differ materially from those set forth in 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glossary of terms used in this Quarterly Report on Form 10-Q appears at the end of this Item 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42"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Autodesk is changing how the world is designed and made. Our technology spans architecture, engineering, construction, product design, manufacturing, media and entertainment, empowering innovators everywhere to solve challenges big and small. From greener buildings to smarter products to more mesmerizing blockbusters, Autodesk technology helps our customers to design and make a better world for all.</w:t>
      </w:r>
    </w:p>
    <w:p>
      <w:pPr>
        <w:spacing w:after="0" w:line="206"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Our strategy is to deliver a trusted design and make platform that connects people through automation, data, and insights to help them achieve better outcomes for their businesses and the world. To drive the execution of our strategy, we are focused on three strategic priorities: build the platform of choice for Design and Make, accelerate adoption of Fusion, Forma, and Flow, and transform how customers experience Autodesk.</w:t>
      </w:r>
    </w:p>
    <w:p>
      <w:pPr>
        <w:spacing w:after="0" w:line="206"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We equip and inspire our users with the tailored tools, services, and access they need for success today and tomorrow. At every step, we help users harness the power of data to build upon their ideas and explore new ways of imagining, collaborating, and creating to achieve better outcomes for their customers, for society, and for the world. And because creativity can’t flourish in silos, we connect what matters - from steps in a project to collaborators on a unified platform.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Evolution</w:t>
      </w:r>
    </w:p>
    <w:p>
      <w:pPr>
        <w:spacing w:after="0" w:line="242"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We offer subscriptions for individual products and Industry Collections, enterprise business arrangements (“EBAs”), and cloud service offerings (collectively referred to as “subscription plans”). Subscription plans are designed to give our customers more flexibility with how they use our offerings and to attract a broader range of customers, such as project-based users and small businesses.</w:t>
      </w:r>
    </w:p>
    <w:p>
      <w:pPr>
        <w:spacing w:after="0" w:line="206" w:lineRule="exact"/>
        <w:rPr>
          <w:sz w:val="20"/>
          <w:szCs w:val="20"/>
          <w:color w:val="auto"/>
        </w:rPr>
      </w:pPr>
    </w:p>
    <w:p>
      <w:pPr>
        <w:ind w:right="600" w:firstLine="395"/>
        <w:spacing w:after="0" w:line="268" w:lineRule="auto"/>
        <w:rPr>
          <w:sz w:val="20"/>
          <w:szCs w:val="20"/>
          <w:color w:val="auto"/>
        </w:rPr>
      </w:pPr>
      <w:r>
        <w:rPr>
          <w:rFonts w:ascii="Times New Roman" w:cs="Times New Roman" w:eastAsia="Times New Roman" w:hAnsi="Times New Roman"/>
          <w:sz w:val="18"/>
          <w:szCs w:val="18"/>
          <w:color w:val="auto"/>
        </w:rPr>
        <w:t>Our subscription plans represent a hybrid of desktop software and cloud functionality, which provides a device-independent, collaborative design workflow for designers and their stakeholders. Our cloud offerings, for example, Autodesk</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69" w:right="379" w:bottom="1440" w:gutter="0" w:footer="0" w:header="0"/>
        </w:sectPr>
      </w:pPr>
    </w:p>
    <w:bookmarkStart w:id="35" w:name="page36"/>
    <w:bookmarkEnd w:id="35"/>
    <w:p>
      <w:pPr>
        <w:ind w:right="40"/>
        <w:spacing w:after="0" w:line="252" w:lineRule="auto"/>
        <w:rPr>
          <w:sz w:val="20"/>
          <w:szCs w:val="20"/>
          <w:color w:val="auto"/>
        </w:rPr>
      </w:pPr>
      <w:r>
        <w:rPr>
          <w:rFonts w:ascii="Times New Roman" w:cs="Times New Roman" w:eastAsia="Times New Roman" w:hAnsi="Times New Roman"/>
          <w:sz w:val="18"/>
          <w:szCs w:val="18"/>
          <w:color w:val="auto"/>
        </w:rPr>
        <w:t>Construction Cloud, Autodesk Build, Fusion, Flow Production Tracking, AutoCAD web app, and AutoCAD mobile app, provide tools, including mobile and collaboration capabilities, to streamline design, collaboration, building and manufacturing, and data management processes. We believe that customer adoption of these latest offerings will continue to grow as customers across a range of industries begin to take advantage of the scalable computing power and flexibility provided through these services.</w:t>
      </w:r>
    </w:p>
    <w:p>
      <w:pPr>
        <w:spacing w:after="0" w:line="210"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Industry Collections provide our customers with access to a broader selection of Autodesk solutions and services, simplifying the customers’ ability to benefit from a complete set of tools for their industry.</w:t>
      </w:r>
    </w:p>
    <w:p>
      <w:pPr>
        <w:spacing w:after="0" w:line="196" w:lineRule="exact"/>
        <w:rPr>
          <w:sz w:val="20"/>
          <w:szCs w:val="20"/>
          <w:color w:val="auto"/>
        </w:rPr>
      </w:pPr>
    </w:p>
    <w:p>
      <w:pPr>
        <w:ind w:right="60" w:firstLine="395"/>
        <w:spacing w:after="0" w:line="246" w:lineRule="auto"/>
        <w:rPr>
          <w:sz w:val="20"/>
          <w:szCs w:val="20"/>
          <w:color w:val="auto"/>
        </w:rPr>
      </w:pPr>
      <w:r>
        <w:rPr>
          <w:rFonts w:ascii="Times New Roman" w:cs="Times New Roman" w:eastAsia="Times New Roman" w:hAnsi="Times New Roman"/>
          <w:sz w:val="18"/>
          <w:szCs w:val="18"/>
          <w:color w:val="auto"/>
        </w:rPr>
        <w:t>To support our strategic priority of digital transformation in Architecture, Engineering, and Construction (“AEC”), we are strengthening our AEC solutions’ foundation with both organic and inorganic investments. In the first quarter of fiscal 2025, we acquired Payapps Limited (“Payapps”), a leading cloud-based software platform for managing construction-related payments. This acquisition will deepen Autodesk Construction Cloud’s footprint and provide a robust payment management offering to serve the needs of general contractors and trade contractors. Through automating the application of the payment process, Payapps’ solution provides greater transparency, reduces risk and helps accelerate time-to-payment. In fiscal 2024, we launched the first set of capabilities in Autodesk Forma, an industry cloud that unifies workflows across the teams that design, build, and operate the built environment. Autodesk Forma’s initial capabilities enable the early-stage planning and design process with automation and AI-powered insights that simplify the exploration of design concepts, offload repetitive tasks, and help evaluate environmental qualities surrounding a building site. In fiscal 2023, we acquired a cloud-connected, extended reality (XR) platform enabling AEC professionals to present, collaborate and review projects in immersive and interactive experiences, from anywhere and at any time. This acquisition enables Autodesk to meet increasing needs for augmented reality (AR) and virtual reality (VR) technology advancements within the AEC industry and further support AEC customers throughout the project delivery lifecycle.</w:t>
      </w:r>
    </w:p>
    <w:p>
      <w:pPr>
        <w:spacing w:after="0" w:line="219" w:lineRule="exact"/>
        <w:rPr>
          <w:sz w:val="20"/>
          <w:szCs w:val="20"/>
          <w:color w:val="auto"/>
        </w:rPr>
      </w:pPr>
    </w:p>
    <w:p>
      <w:pPr>
        <w:ind w:firstLine="395"/>
        <w:spacing w:after="0" w:line="289" w:lineRule="auto"/>
        <w:rPr>
          <w:sz w:val="20"/>
          <w:szCs w:val="20"/>
          <w:color w:val="auto"/>
        </w:rPr>
      </w:pPr>
      <w:r>
        <w:rPr>
          <w:rFonts w:ascii="Times New Roman" w:cs="Times New Roman" w:eastAsia="Times New Roman" w:hAnsi="Times New Roman"/>
          <w:sz w:val="16"/>
          <w:szCs w:val="16"/>
          <w:color w:val="auto"/>
        </w:rPr>
        <w:t>In manufacturing, our strategy is to combine organic and acquired software in existing and adjacent verticals to create end-to-end, cloud-based solutions for our customers that drive efficiency and sustainability. We continue to attract global manufacturing leaders and disruptive startups with our generative design and cloud-based Fusion that converges the design process with manufacturing. In fiscal 2024, we acquired a provider of simulation technology that enables factory and logistics center operators to optimize their processes. In fiscal 2023, we acquired a maker of software for optimizing manufacturing processes with automation and digitization from the shop floor upward that provides a real-time system of record for data collection, management, and analysis.</w:t>
      </w:r>
    </w:p>
    <w:p>
      <w:pPr>
        <w:spacing w:after="0" w:line="182"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factors in making decisions regarding acquisitions. We anticipate that we will continue to acquire products, technology, and businesses as compelling opportunities become available.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Global Reach</w:t>
      </w:r>
    </w:p>
    <w:p>
      <w:pPr>
        <w:spacing w:after="0" w:line="242" w:lineRule="exact"/>
        <w:rPr>
          <w:sz w:val="20"/>
          <w:szCs w:val="20"/>
          <w:color w:val="auto"/>
        </w:rPr>
      </w:pPr>
    </w:p>
    <w:p>
      <w:pPr>
        <w:ind w:right="40" w:firstLine="395"/>
        <w:spacing w:after="0" w:line="278" w:lineRule="auto"/>
        <w:rPr>
          <w:sz w:val="20"/>
          <w:szCs w:val="20"/>
          <w:color w:val="auto"/>
        </w:rPr>
      </w:pPr>
      <w:r>
        <w:rPr>
          <w:rFonts w:ascii="Times New Roman" w:cs="Times New Roman" w:eastAsia="Times New Roman" w:hAnsi="Times New Roman"/>
          <w:sz w:val="16"/>
          <w:szCs w:val="16"/>
          <w:color w:val="auto"/>
        </w:rPr>
        <w:t>We sell our products and services globally, through a combination of direct and indirect channels. Our direct channels include, but are not limited to, internal sales resources focused on selling our highly specialized solutions in our largest accounts, Solution Providers focused on serving certain Flex and subscription customers through our new transaction model, and business transacted through our online Autodesk branded store. Our indirect channels primarily include value added distributors, value added resellers, direct market resellers, volume channel partners, and product-specific resellers. During fiscal 2023, we entered into transition agreements with certain of our distributors, including TD Synnex and Ingram Micro, to provide transition distribution activities for a one-to-two-year period, with potential extensions. In connection with the transition agreements, Autodesk has increased its selling efforts with value-added resellers and Solution Providers. We introduced a new transaction model for our token-based Flex offering in North America, and certain countries in EMEA, and APAC during fiscal 2023 and 2024. Most of our subscription offerings transitioned to the new transaction model in Australia during fiscal 2024 and in North America during our second fiscal quarter of fiscal 2025. In this new transaction model, Solution Providers provide a quote to customers but the actual transaction occurs directly between Autodesk and the customer. We intend to transition our indirect business to the new transaction model in our major markets globally in remaining fiscal 2025 and fiscal 2026, including in Western Europe in our third fiscal quarter of 2025. We expect the change in recognition of sales incentives to indirect channels from contra revenue to operating costs under the new transaction model to positively impact calculated revenue growth, while being broadly neutral to calculated operating profit and free cash flow dollars, and to result in a calculated negative impact to operating margin. See Part I, Item 1, “Financial Statements,” Note 3, “Revenue Recognition” in the Notes to the Condensed Consolidated Financial Statements for further detail on the results of our indirect and direct channel sales for the three and six months ended July 31, 2024 and 2023.</w:t>
      </w:r>
    </w:p>
    <w:p>
      <w:pPr>
        <w:spacing w:after="0" w:line="398" w:lineRule="exact"/>
        <w:rPr>
          <w:sz w:val="20"/>
          <w:szCs w:val="20"/>
          <w:color w:val="auto"/>
        </w:rPr>
      </w:pPr>
    </w:p>
    <w:p>
      <w:pPr>
        <w:ind w:firstLine="395"/>
        <w:spacing w:after="0" w:line="234" w:lineRule="auto"/>
        <w:rPr>
          <w:sz w:val="20"/>
          <w:szCs w:val="20"/>
          <w:color w:val="auto"/>
        </w:rPr>
      </w:pPr>
      <w:r>
        <w:rPr>
          <w:rFonts w:ascii="Times New Roman" w:cs="Times New Roman" w:eastAsia="Times New Roman" w:hAnsi="Times New Roman"/>
          <w:sz w:val="18"/>
          <w:szCs w:val="18"/>
          <w:color w:val="auto"/>
        </w:rPr>
        <w:t>We anticipate that our channel mix will continue to change as we scale our business. With the continued growth of our online Autodesk branded store, the transition to annual billings for multi-year contracts and our new token-based Flex model, and the introduction of our new transaction model, we are transacting directly with more end customers, rather than through distributors, without substantial disruption to our revenue. We expect our indirect channel will continue to transact and support a considerable portion of our customers. We also expect our transition to annual billings for multi-year contracts to impact the timing of our billings and cash collections. We employ a variety of incentive programs and promotions to align our direct and indirect channels with our business strategies.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Platform Capabilities</w:t>
      </w:r>
    </w:p>
    <w:p>
      <w:pPr>
        <w:spacing w:after="0" w:line="216" w:lineRule="exact"/>
        <w:rPr>
          <w:sz w:val="20"/>
          <w:szCs w:val="20"/>
          <w:color w:val="auto"/>
        </w:rPr>
      </w:pPr>
    </w:p>
    <w:p>
      <w:pPr>
        <w:ind w:right="60" w:firstLine="395"/>
        <w:spacing w:after="0" w:line="315" w:lineRule="auto"/>
        <w:rPr>
          <w:sz w:val="20"/>
          <w:szCs w:val="20"/>
          <w:color w:val="auto"/>
        </w:rPr>
      </w:pPr>
      <w:r>
        <w:rPr>
          <w:rFonts w:ascii="Times New Roman" w:cs="Times New Roman" w:eastAsia="Times New Roman" w:hAnsi="Times New Roman"/>
          <w:sz w:val="16"/>
          <w:szCs w:val="16"/>
          <w:color w:val="auto"/>
        </w:rPr>
        <w:t>We are building a trusted, outcome-focused platform for critical customer workflows that enables end-to-end digital transformation for our customers and partners within and between the industries we serve. We aim to accelerate these customer workloads by providing granular, interoperable and accessible data.</w:t>
      </w:r>
    </w:p>
    <w:p>
      <w:pPr>
        <w:spacing w:after="0" w:line="149" w:lineRule="exact"/>
        <w:rPr>
          <w:sz w:val="20"/>
          <w:szCs w:val="20"/>
          <w:color w:val="auto"/>
        </w:rPr>
      </w:pPr>
    </w:p>
    <w:p>
      <w:pPr>
        <w:ind w:right="100" w:firstLine="395"/>
        <w:spacing w:after="0" w:line="241" w:lineRule="auto"/>
        <w:rPr>
          <w:sz w:val="20"/>
          <w:szCs w:val="20"/>
          <w:color w:val="auto"/>
        </w:rPr>
      </w:pPr>
      <w:r>
        <w:rPr>
          <w:rFonts w:ascii="Times New Roman" w:cs="Times New Roman" w:eastAsia="Times New Roman" w:hAnsi="Times New Roman"/>
          <w:sz w:val="18"/>
          <w:szCs w:val="18"/>
          <w:color w:val="auto"/>
        </w:rPr>
        <w:t>We plan to do this by focusing on building the next generation of technology and services as trusted, shared capabilities. We aim to centralize critical and duplicative capabilities across key offerings. These include foundational capabilities to make our offers safer, faster, easier, and globally scalable, as well as capabilities that can accelerate new sources of value for our customers.</w:t>
      </w:r>
    </w:p>
    <w:p>
      <w:pPr>
        <w:spacing w:after="0" w:line="205" w:lineRule="exact"/>
        <w:rPr>
          <w:sz w:val="20"/>
          <w:szCs w:val="20"/>
          <w:color w:val="auto"/>
        </w:rPr>
      </w:pPr>
    </w:p>
    <w:p>
      <w:pPr>
        <w:ind w:right="280" w:firstLine="395"/>
        <w:spacing w:after="0" w:line="253" w:lineRule="auto"/>
        <w:rPr>
          <w:sz w:val="20"/>
          <w:szCs w:val="20"/>
          <w:color w:val="auto"/>
        </w:rPr>
      </w:pPr>
      <w:r>
        <w:rPr>
          <w:rFonts w:ascii="Times New Roman" w:cs="Times New Roman" w:eastAsia="Times New Roman" w:hAnsi="Times New Roman"/>
          <w:sz w:val="18"/>
          <w:szCs w:val="18"/>
          <w:color w:val="auto"/>
        </w:rPr>
        <w:t>One example of these shared capabilities is Autodesk AI. We have been investing in AI for over a decade. Our focus is on building AI capabilities that add value to our customers’ workloads through augmentation, automation and analysis.</w:t>
      </w:r>
    </w:p>
    <w:p>
      <w:pPr>
        <w:spacing w:after="0" w:line="208"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One of our key strategies is to maintain an API based architecture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Platform Services to support innovators that build solutions to facilitate the development of a single connected ecosystem for the future of how things are designed, made, and used.</w:t>
      </w:r>
    </w:p>
    <w:p>
      <w:pPr>
        <w:spacing w:after="0" w:line="212" w:lineRule="exact"/>
        <w:rPr>
          <w:sz w:val="20"/>
          <w:szCs w:val="20"/>
          <w:color w:val="auto"/>
        </w:rPr>
      </w:pPr>
    </w:p>
    <w:p>
      <w:pPr>
        <w:ind w:right="80" w:firstLine="395"/>
        <w:spacing w:after="0" w:line="249" w:lineRule="auto"/>
        <w:rPr>
          <w:sz w:val="20"/>
          <w:szCs w:val="20"/>
          <w:color w:val="auto"/>
        </w:rPr>
      </w:pPr>
      <w:r>
        <w:rPr>
          <w:rFonts w:ascii="Times New Roman" w:cs="Times New Roman" w:eastAsia="Times New Roman" w:hAnsi="Times New Roman"/>
          <w:sz w:val="18"/>
          <w:szCs w:val="18"/>
          <w:color w:val="auto"/>
        </w:rPr>
        <w:t>In addition to the competitive advantages afforded by our technology, our large global network of distributors, resellers, Solution Providers, third-party developers, customers, educators, educational institutions, learning partners, and students is a key competitive advantage that has been cultivated over an extensive period. This network of partners and relationships provides us with a broad and deep reach into volume markets worldwide. Our distributor, reseller and Solution Provider network is extensive and provides our customers with the resources to purchase, deploy, learn, and support our solutions quickly and easily. We have a significant number of registered third-party developers who create products that work well with our solutions and extend them to a variety of specialized applications.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Impact at Autodesk</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Autodesk is committed to advancing a more sustainable, resilient, and inclusive world. We don’t believe in waiting for progress, we believe in making it.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take action as a business and support our employees, customers, and communities in our collective opportunity to design and make a better world for all.</w:t>
      </w:r>
    </w:p>
    <w:p>
      <w:pPr>
        <w:spacing w:after="0" w:line="246" w:lineRule="exact"/>
        <w:rPr>
          <w:sz w:val="20"/>
          <w:szCs w:val="20"/>
          <w:color w:val="auto"/>
        </w:rPr>
      </w:pPr>
    </w:p>
    <w:p>
      <w:pPr>
        <w:ind w:right="20" w:firstLine="395"/>
        <w:spacing w:after="0" w:line="303" w:lineRule="auto"/>
        <w:rPr>
          <w:sz w:val="20"/>
          <w:szCs w:val="20"/>
          <w:color w:val="auto"/>
        </w:rPr>
      </w:pPr>
      <w:r>
        <w:rPr>
          <w:rFonts w:ascii="Times New Roman" w:cs="Times New Roman" w:eastAsia="Times New Roman" w:hAnsi="Times New Roman"/>
          <w:sz w:val="16"/>
          <w:szCs w:val="16"/>
          <w:color w:val="auto"/>
        </w:rPr>
        <w:t>We focus our efforts to advance positive outcomes across three primary areas: energy and materials, health and resilience, and work and prosperity. These impact opportunity areas are derived from the UN Sustainable Development Goals (“SDGs”) and have been focused through a multi-pronged process to align the top needs of our stakeholders, the important issues of our business, and the areas we are best placed to accelerate positive impact at scale.</w:t>
      </w:r>
    </w:p>
    <w:p>
      <w:pPr>
        <w:spacing w:after="0" w:line="172"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These opportunities manifest as outcomes through how our customers leverage our technology to design and make net-zero carbon buildings, resilient infrastructure, more sustainable products, and a thriving workforce. We complement these opportunities through powering our business with 100% renewable energy, neutralizing greenhouse gas emissions and developing an inclusive culture. We advance these opportunities with industry innovators through collaboration, philanthropic capital, software donations, and training.</w:t>
      </w:r>
    </w:p>
    <w:p>
      <w:pPr>
        <w:spacing w:after="0" w:line="210" w:lineRule="exact"/>
        <w:rPr>
          <w:sz w:val="20"/>
          <w:szCs w:val="20"/>
          <w:color w:val="auto"/>
        </w:rPr>
      </w:pPr>
    </w:p>
    <w:p>
      <w:pPr>
        <w:ind w:right="20" w:firstLine="395"/>
        <w:spacing w:after="0" w:line="289" w:lineRule="auto"/>
        <w:rPr>
          <w:sz w:val="20"/>
          <w:szCs w:val="20"/>
          <w:color w:val="auto"/>
        </w:rPr>
      </w:pPr>
      <w:r>
        <w:rPr>
          <w:rFonts w:ascii="Times New Roman" w:cs="Times New Roman" w:eastAsia="Times New Roman" w:hAnsi="Times New Roman"/>
          <w:sz w:val="16"/>
          <w:szCs w:val="16"/>
          <w:color w:val="auto"/>
        </w:rPr>
        <w:t>The Autodesk Foundation (the “Foundation”), a privately funded 501(c)(3) charity organization established and solely funded by us, leads our philanthropic efforts. The purpose of the Foundation is twofold: to support employees to create a better world at work, at home, and in the community by matching employees’ volunteer time and donations to nonprofit organizations; and to support organizations using design and make solutions to drive positive social and environmental impact. On our behalf, the Foundation also administers a discounted software donation program to nonprofit organizations, social and environmental entrepreneurs, and others who are developing design solutions that will transform industries and help shape a better world for all.</w:t>
      </w:r>
    </w:p>
    <w:p>
      <w:pPr>
        <w:spacing w:after="0" w:line="182" w:lineRule="exact"/>
        <w:rPr>
          <w:sz w:val="20"/>
          <w:szCs w:val="20"/>
          <w:color w:val="auto"/>
        </w:rPr>
      </w:pPr>
    </w:p>
    <w:p>
      <w:pPr>
        <w:ind w:right="1060" w:firstLine="395"/>
        <w:spacing w:after="0" w:line="332" w:lineRule="auto"/>
        <w:rPr>
          <w:sz w:val="20"/>
          <w:szCs w:val="20"/>
          <w:color w:val="auto"/>
        </w:rPr>
      </w:pPr>
      <w:r>
        <w:rPr>
          <w:rFonts w:ascii="Times New Roman" w:cs="Times New Roman" w:eastAsia="Times New Roman" w:hAnsi="Times New Roman"/>
          <w:sz w:val="16"/>
          <w:szCs w:val="16"/>
          <w:color w:val="auto"/>
        </w:rPr>
        <w:t>Additional information about our environmental, social, and governance program is available in our annual impact report on our website at www.autodesk.com. Information contained on or accessible through our website is not part of or incorporated by reference into this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 Behind Our Strategy</w:t>
      </w:r>
    </w:p>
    <w:p>
      <w:pPr>
        <w:spacing w:after="0" w:line="242" w:lineRule="exact"/>
        <w:rPr>
          <w:sz w:val="20"/>
          <w:szCs w:val="20"/>
          <w:color w:val="auto"/>
        </w:rPr>
      </w:pPr>
    </w:p>
    <w:p>
      <w:pPr>
        <w:ind w:right="40" w:firstLine="434"/>
        <w:spacing w:after="0" w:line="250" w:lineRule="auto"/>
        <w:rPr>
          <w:sz w:val="20"/>
          <w:szCs w:val="20"/>
          <w:color w:val="auto"/>
        </w:rPr>
      </w:pPr>
      <w:r>
        <w:rPr>
          <w:rFonts w:ascii="Times New Roman" w:cs="Times New Roman" w:eastAsia="Times New Roman" w:hAnsi="Times New Roman"/>
          <w:sz w:val="18"/>
          <w:szCs w:val="18"/>
          <w:color w:val="auto"/>
        </w:rPr>
        <w:t>Our strategy depends upon many assumptions, including: making our technology available to mainstream markets; leveraging our large global network of distributors, resellers, Solution Providers, third-party developers, customers, educators, educational institutions, learning partners, and students; improving the performance and functionality of our products and platform;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Part II, Item 1A, “Risk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2"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evaluate our estimates and assumptions on an ongoing basis. We base our assumptions, judgments, and estimates on historical experience and various other factors that we believe to be reasonable under the circumstances. Actual results could differ materially from these estimates under different assumptions or conditions. Our significant accounting policies are described in Item 8, “Financial Statements and Supplementary Data,” Note 1, “Business and Summary of Significant Accounting Policies,” in the Notes to Consolidated Financial Statements in our Annual Report on Form 10-K for the fiscal year ended January 31, 2024.</w:t>
      </w:r>
    </w:p>
    <w:p>
      <w:pPr>
        <w:spacing w:after="0" w:line="213"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highlighted those policies that involve a higher degree of judgment and complexity with further discussion in Item 7, “Management’s Discussion and Analysis of Financial Condition and Results of Operations,” in our Annual Report on Form 10-K. There have been no material changes to our critical accounting policies and estimates during the three and six months ended July 31, 2024, as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38" w:name="page39"/>
    <w:bookmarkEnd w:id="38"/>
    <w:p>
      <w:pPr>
        <w:ind w:right="200"/>
        <w:spacing w:after="0" w:line="268" w:lineRule="auto"/>
        <w:rPr>
          <w:sz w:val="20"/>
          <w:szCs w:val="20"/>
          <w:color w:val="auto"/>
        </w:rPr>
      </w:pPr>
      <w:r>
        <w:rPr>
          <w:rFonts w:ascii="Times New Roman" w:cs="Times New Roman" w:eastAsia="Times New Roman" w:hAnsi="Times New Roman"/>
          <w:sz w:val="18"/>
          <w:szCs w:val="18"/>
          <w:color w:val="auto"/>
        </w:rPr>
        <w:t>compared to those disclosed in our Annual Report on Form 10-K for the fiscal year ended January 31, 2024. We believe these policies are the most critical to aid in fully understanding and evaluating our financial condition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Three and Six Months Ended July 31, 2024</w:t>
      </w:r>
    </w:p>
    <w:p>
      <w:pPr>
        <w:spacing w:after="0" w:line="190" w:lineRule="exact"/>
        <w:rPr>
          <w:sz w:val="20"/>
          <w:szCs w:val="20"/>
          <w:color w:val="auto"/>
        </w:rPr>
      </w:pPr>
    </w:p>
    <w:p>
      <w:pPr>
        <w:ind w:left="640" w:right="60" w:hanging="319"/>
        <w:spacing w:after="0" w:line="268"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revenue increased 12% to $1.51 billion and $2.92 billion, during the three and six months ended July 31, 2024, respectively, compared to the same periods in the prior fiscal year.</w:t>
      </w:r>
    </w:p>
    <w:p>
      <w:pPr>
        <w:spacing w:after="0" w:line="24" w:lineRule="exact"/>
        <w:rPr>
          <w:rFonts w:ascii="Times New Roman" w:cs="Times New Roman" w:eastAsia="Times New Roman" w:hAnsi="Times New Roman"/>
          <w:sz w:val="18"/>
          <w:szCs w:val="18"/>
          <w:color w:val="auto"/>
        </w:rPr>
      </w:pPr>
    </w:p>
    <w:p>
      <w:pPr>
        <w:ind w:left="640" w:right="180" w:hanging="319"/>
        <w:spacing w:after="0" w:line="270" w:lineRule="auto"/>
        <w:tabs>
          <w:tab w:leader="none" w:pos="642" w:val="left"/>
        </w:tabs>
        <w:numPr>
          <w:ilvl w:val="0"/>
          <w:numId w:val="18"/>
        </w:numPr>
        <w:rPr>
          <w:rFonts w:ascii="Arial" w:cs="Arial" w:eastAsia="Arial" w:hAnsi="Arial"/>
          <w:sz w:val="19"/>
          <w:szCs w:val="19"/>
          <w:color w:val="auto"/>
        </w:rPr>
      </w:pPr>
      <w:r>
        <w:rPr>
          <w:rFonts w:ascii="Times New Roman" w:cs="Times New Roman" w:eastAsia="Times New Roman" w:hAnsi="Times New Roman"/>
          <w:sz w:val="18"/>
          <w:szCs w:val="18"/>
          <w:color w:val="auto"/>
        </w:rPr>
        <w:t>Recurring revenue as a percentage of net revenue was 97% for both the three and six months ended July 31, 2024 and 98% for both the three and six months ended July 31, 2023.</w:t>
      </w:r>
    </w:p>
    <w:p>
      <w:pPr>
        <w:spacing w:after="0" w:line="8" w:lineRule="exact"/>
        <w:rPr>
          <w:rFonts w:ascii="Arial" w:cs="Arial" w:eastAsia="Arial" w:hAnsi="Arial"/>
          <w:sz w:val="19"/>
          <w:szCs w:val="19"/>
          <w:color w:val="auto"/>
        </w:rPr>
      </w:pPr>
    </w:p>
    <w:p>
      <w:pPr>
        <w:ind w:left="640" w:right="320" w:hanging="319"/>
        <w:spacing w:after="0" w:line="268"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retention rate (“NR3”) was within the range of 100% and 110%, on a constant currency basis, for both the three and six months ended July 31, 2024 and 2023.</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$3.69 billion, a decrease of 13% compared to the fourth quarter in the prior fiscal year.</w:t>
      </w:r>
    </w:p>
    <w:p>
      <w:pPr>
        <w:spacing w:after="0" w:line="56" w:lineRule="exact"/>
        <w:rPr>
          <w:rFonts w:ascii="Times New Roman" w:cs="Times New Roman" w:eastAsia="Times New Roman" w:hAnsi="Times New Roman"/>
          <w:sz w:val="18"/>
          <w:szCs w:val="18"/>
          <w:color w:val="auto"/>
        </w:rPr>
      </w:pPr>
    </w:p>
    <w:p>
      <w:pPr>
        <w:ind w:left="640" w:right="20" w:hanging="319"/>
        <w:spacing w:after="0" w:line="268"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performance obligations (short-term and long-term deferred revenue plus unbilled deferred revenue) (“RPO”) was $5.86 billion, a decrease of 4% compared to the fourth quarter in the prior fiscal year.</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remaining performance obligations was $3.90 billion, a decrease of 2% compared to the fourth quarter in the prior fiscal year.</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Revenue Analysis</w:t>
      </w:r>
    </w:p>
    <w:p>
      <w:pPr>
        <w:spacing w:after="0" w:line="229" w:lineRule="exact"/>
        <w:rPr>
          <w:sz w:val="20"/>
          <w:szCs w:val="20"/>
          <w:color w:val="auto"/>
        </w:rPr>
      </w:pPr>
    </w:p>
    <w:p>
      <w:pPr>
        <w:ind w:right="140" w:firstLine="395"/>
        <w:spacing w:after="0" w:line="253" w:lineRule="auto"/>
        <w:rPr>
          <w:sz w:val="20"/>
          <w:szCs w:val="20"/>
          <w:color w:val="auto"/>
        </w:rPr>
      </w:pPr>
      <w:r>
        <w:rPr>
          <w:rFonts w:ascii="Times New Roman" w:cs="Times New Roman" w:eastAsia="Times New Roman" w:hAnsi="Times New Roman"/>
          <w:sz w:val="18"/>
          <w:szCs w:val="18"/>
          <w:color w:val="auto"/>
        </w:rPr>
        <w:t>Net revenue increased 12% during both the three and six months ended July 31, 2024, as compared to the same periods in the prior fiscal year, primarily due to a 11% increase in subscription revenue for both periods.</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further discussion of the drivers of these results, see below under the heading “Results of Operations.”</w:t>
      </w:r>
    </w:p>
    <w:p>
      <w:pPr>
        <w:spacing w:after="0" w:line="240" w:lineRule="exact"/>
        <w:rPr>
          <w:sz w:val="20"/>
          <w:szCs w:val="20"/>
          <w:color w:val="auto"/>
        </w:rPr>
      </w:pPr>
    </w:p>
    <w:p>
      <w:pPr>
        <w:ind w:right="20" w:firstLine="395"/>
        <w:spacing w:after="0" w:line="277" w:lineRule="auto"/>
        <w:rPr>
          <w:sz w:val="20"/>
          <w:szCs w:val="20"/>
          <w:color w:val="auto"/>
        </w:rPr>
      </w:pPr>
      <w:r>
        <w:rPr>
          <w:rFonts w:ascii="Times New Roman" w:cs="Times New Roman" w:eastAsia="Times New Roman" w:hAnsi="Times New Roman"/>
          <w:sz w:val="16"/>
          <w:szCs w:val="16"/>
          <w:color w:val="auto"/>
        </w:rPr>
        <w:t>We rely significantly upon major distributors and resellers in both the U.S. and international regions, including TD Synnex Corporation and its global affiliates (collectively, “TD Synnex”). Total revenue from TD Synnex accounted for 36% and 37% of our total net revenue for the three and six months ended July 31, 2024, respectively. Total revenue from TD Synnex accounted for 40% of our total net revenue during both the three and six months ended July 31, 2023. Our customers through TD Synnex are the resellers and end users who purchase our software subscriptions and services. During fiscal 2023, we entered into transition agreements with certain of our distributors, including TD Synnex and Ingram Micro Inc., to provide transition distribution activities for a one-to-two-year period, with potential extensions. In connection with the transition agreements, we intend to increase our selling efforts with value-added resellers and Solution Providers in connection with our new transaction model. Consequently, we believe our business is not substantially dependent on TD Synnex.</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Recurring Revenue and Net Revenue Retention Rate</w:t>
      </w:r>
    </w:p>
    <w:p>
      <w:pPr>
        <w:spacing w:after="0" w:line="223"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In order to help better understand our financial performance, we use several key performance metrics including recurring revenue and NR3. These metrics are key performance metrics and should be viewed independently of revenue and deferred revenue as these metrics are not intended to be combined with those items. We use these metrics to monitor the strength of our recurring business. We believe these metrics are useful to investors because they can help in monitoring the long-term health of our business. Our determination and presentation of these metrics may differ from that of other companies. The presentation of these metrics is meant to be considered in addition to, not as a substitute for or in isolation from, our financial measures prepared in accordance with GAAP. Please refer to the Glossary of Terms for the definitions of these metrics.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9" w:name="page40"/>
    <w:bookmarkEnd w:id="39"/>
    <w:p>
      <w:pPr>
        <w:ind w:left="400"/>
        <w:spacing w:after="0"/>
        <w:rPr>
          <w:sz w:val="20"/>
          <w:szCs w:val="20"/>
          <w:color w:val="auto"/>
        </w:rPr>
      </w:pPr>
      <w:r>
        <w:rPr>
          <w:rFonts w:ascii="Times New Roman" w:cs="Times New Roman" w:eastAsia="Times New Roman" w:hAnsi="Times New Roman"/>
          <w:sz w:val="18"/>
          <w:szCs w:val="18"/>
          <w:color w:val="auto"/>
        </w:rPr>
        <w:t>The following table outlines our recurring revenue metric for the three and six months ended July 31, 2024 and 2023:</w:t>
      </w:r>
    </w:p>
    <w:p>
      <w:pPr>
        <w:spacing w:after="0" w:line="144"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Change compared to</w:t>
      </w: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prior fiscal year</w:t>
      </w:r>
    </w:p>
    <w:tbl>
      <w:tblPr>
        <w:tblLayout w:type="fixed"/>
        <w:tblInd w:w="60" w:type="dxa"/>
        <w:tblCellMar>
          <w:top w:w="0" w:type="dxa"/>
          <w:left w:w="0" w:type="dxa"/>
          <w:bottom w:w="0" w:type="dxa"/>
          <w:right w:w="0" w:type="dxa"/>
        </w:tblCellMar>
      </w:tblPr>
      <w:tr>
        <w:trPr>
          <w:trHeight w:val="30"/>
        </w:trPr>
        <w:tc>
          <w:tcPr>
            <w:tcW w:w="3700" w:type="dxa"/>
            <w:vAlign w:val="bottom"/>
          </w:tcPr>
          <w:p>
            <w:pPr>
              <w:spacing w:after="0"/>
              <w:rPr>
                <w:sz w:val="2"/>
                <w:szCs w:val="2"/>
                <w:color w:val="auto"/>
              </w:rPr>
            </w:pPr>
          </w:p>
        </w:tc>
        <w:tc>
          <w:tcPr>
            <w:tcW w:w="3120" w:type="dxa"/>
            <w:vAlign w:val="bottom"/>
            <w:vMerge w:val="restart"/>
          </w:tcPr>
          <w:p>
            <w:pPr>
              <w:jc w:val="center"/>
              <w:ind w:left="1390"/>
              <w:spacing w:after="0" w:line="135" w:lineRule="exact"/>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40" w:type="dxa"/>
            <w:vAlign w:val="bottom"/>
            <w:vMerge w:val="restart"/>
          </w:tcPr>
          <w:p>
            <w:pPr>
              <w:jc w:val="center"/>
              <w:ind w:left="90"/>
              <w:spacing w:after="0" w:line="13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85"/>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 data)</w:t>
            </w:r>
          </w:p>
        </w:tc>
        <w:tc>
          <w:tcPr>
            <w:tcW w:w="3120" w:type="dxa"/>
            <w:vAlign w:val="bottom"/>
            <w:vMerge w:val="continue"/>
          </w:tcPr>
          <w:p>
            <w:pPr>
              <w:spacing w:after="0"/>
              <w:rPr>
                <w:sz w:val="7"/>
                <w:szCs w:val="7"/>
                <w:color w:val="auto"/>
              </w:rPr>
            </w:pPr>
          </w:p>
        </w:tc>
        <w:tc>
          <w:tcPr>
            <w:tcW w:w="1300" w:type="dxa"/>
            <w:vAlign w:val="bottom"/>
            <w:vMerge w:val="restart"/>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vMerge w:val="restart"/>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700" w:type="dxa"/>
            <w:vAlign w:val="bottom"/>
            <w:vMerge w:val="continue"/>
          </w:tcPr>
          <w:p>
            <w:pPr>
              <w:spacing w:after="0"/>
              <w:rPr>
                <w:sz w:val="16"/>
                <w:szCs w:val="16"/>
                <w:color w:val="auto"/>
              </w:rPr>
            </w:pPr>
          </w:p>
        </w:tc>
        <w:tc>
          <w:tcPr>
            <w:tcW w:w="3120" w:type="dxa"/>
            <w:vAlign w:val="bottom"/>
          </w:tcPr>
          <w:p>
            <w:pPr>
              <w:jc w:val="center"/>
              <w:ind w:left="1390"/>
              <w:spacing w:after="0"/>
              <w:rPr>
                <w:sz w:val="20"/>
                <w:szCs w:val="20"/>
                <w:color w:val="auto"/>
              </w:rPr>
            </w:pPr>
            <w:r>
              <w:rPr>
                <w:rFonts w:ascii="Times New Roman" w:cs="Times New Roman" w:eastAsia="Times New Roman" w:hAnsi="Times New Roman"/>
                <w:sz w:val="14"/>
                <w:szCs w:val="14"/>
                <w:b w:val="1"/>
                <w:bCs w:val="1"/>
                <w:color w:val="auto"/>
                <w:w w:val="99"/>
              </w:rPr>
              <w:t>July 31, 2024</w:t>
            </w:r>
          </w:p>
        </w:tc>
        <w:tc>
          <w:tcPr>
            <w:tcW w:w="130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440" w:type="dxa"/>
            <w:vAlign w:val="bottom"/>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rPr>
              <w:t>July 31, 2023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 revenue (1)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1,467</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1,316</w:t>
            </w:r>
          </w:p>
        </w:tc>
      </w:tr>
      <w:tr>
        <w:trPr>
          <w:trHeight w:val="20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net revenue</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98 %</w:t>
            </w:r>
          </w:p>
        </w:tc>
      </w:tr>
      <w:tr>
        <w:trPr>
          <w:trHeight w:val="425"/>
        </w:trPr>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1"/>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1"/>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July 31, 2024</w:t>
            </w:r>
          </w:p>
        </w:tc>
        <w:tc>
          <w:tcPr>
            <w:tcW w:w="3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July 31, 2023</w:t>
            </w:r>
          </w:p>
        </w:tc>
      </w:tr>
      <w:tr>
        <w:trPr>
          <w:trHeight w:val="210"/>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 Revenue (1)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2,848</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2,560</w:t>
            </w:r>
          </w:p>
        </w:tc>
      </w:tr>
      <w:tr>
        <w:trPr>
          <w:trHeight w:val="20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net revenue</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98 %</w:t>
            </w:r>
          </w:p>
        </w:tc>
      </w:tr>
    </w:tbl>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right="240" w:hanging="395"/>
        <w:spacing w:after="0" w:line="269" w:lineRule="auto"/>
        <w:tabs>
          <w:tab w:leader="none" w:pos="4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a business may cause variability in the comparison of recurring revenue in this table above and recurring revenue derived from the revenue reported in the Condensed Consolidated Statements of Operations.</w:t>
      </w:r>
    </w:p>
    <w:p>
      <w:pPr>
        <w:spacing w:after="0" w:line="188"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NR3 was within the range of 100% and 110%, on a constant currency basis, for both the three and six months ended July 31, 2024 and 2023.</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Foreign Currency Analysis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generate a significant amount of our revenue in the United States, Germany, Japan, the United Kingdom and Finland.</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shows the impact of foreign exchange rate changes on our net revenue and total spend:</w:t>
      </w:r>
    </w:p>
    <w:p>
      <w:pPr>
        <w:spacing w:after="0" w:line="37"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1320" w:type="dxa"/>
            <w:vAlign w:val="bottom"/>
          </w:tcPr>
          <w:p>
            <w:pPr>
              <w:spacing w:after="0"/>
              <w:rPr>
                <w:sz w:val="16"/>
                <w:szCs w:val="16"/>
                <w:color w:val="auto"/>
              </w:rPr>
            </w:pPr>
          </w:p>
        </w:tc>
        <w:tc>
          <w:tcPr>
            <w:tcW w:w="50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July 31, 2024</w:t>
            </w:r>
          </w:p>
        </w:tc>
        <w:tc>
          <w:tcPr>
            <w:tcW w:w="4620" w:type="dxa"/>
            <w:vAlign w:val="bottom"/>
            <w:gridSpan w:val="5"/>
          </w:tcPr>
          <w:p>
            <w:pPr>
              <w:jc w:val="center"/>
              <w:ind w:left="227"/>
              <w:spacing w:after="0"/>
              <w:rPr>
                <w:sz w:val="20"/>
                <w:szCs w:val="20"/>
                <w:color w:val="auto"/>
              </w:rPr>
            </w:pPr>
            <w:r>
              <w:rPr>
                <w:rFonts w:ascii="Times New Roman" w:cs="Times New Roman" w:eastAsia="Times New Roman" w:hAnsi="Times New Roman"/>
                <w:sz w:val="14"/>
                <w:szCs w:val="14"/>
                <w:b w:val="1"/>
                <w:bCs w:val="1"/>
                <w:color w:val="auto"/>
                <w:w w:val="99"/>
              </w:rPr>
              <w:t>Six Months Ended July 31, 2024</w:t>
            </w:r>
          </w:p>
        </w:tc>
        <w:tc>
          <w:tcPr>
            <w:tcW w:w="0" w:type="dxa"/>
            <w:vAlign w:val="bottom"/>
          </w:tcPr>
          <w:p>
            <w:pPr>
              <w:spacing w:after="0"/>
              <w:rPr>
                <w:sz w:val="1"/>
                <w:szCs w:val="1"/>
                <w:color w:val="auto"/>
              </w:rPr>
            </w:pPr>
          </w:p>
        </w:tc>
      </w:tr>
      <w:tr>
        <w:trPr>
          <w:trHeight w:val="24"/>
        </w:trPr>
        <w:tc>
          <w:tcPr>
            <w:tcW w:w="13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168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8"/>
              </w:rPr>
              <w:t>Constant Currency</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Positive/Negative/Neutral</w:t>
            </w: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8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Positive/Negative/Ne</w:t>
            </w:r>
          </w:p>
        </w:tc>
        <w:tc>
          <w:tcPr>
            <w:tcW w:w="0" w:type="dxa"/>
            <w:vAlign w:val="bottom"/>
          </w:tcPr>
          <w:p>
            <w:pPr>
              <w:spacing w:after="0"/>
              <w:rPr>
                <w:sz w:val="1"/>
                <w:szCs w:val="1"/>
                <w:color w:val="auto"/>
              </w:rPr>
            </w:pPr>
          </w:p>
        </w:tc>
      </w:tr>
      <w:tr>
        <w:trPr>
          <w:trHeight w:val="143"/>
        </w:trPr>
        <w:tc>
          <w:tcPr>
            <w:tcW w:w="13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60" w:type="dxa"/>
            <w:vAlign w:val="bottom"/>
            <w:gridSpan w:val="2"/>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percent</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rPr>
                <w:sz w:val="12"/>
                <w:szCs w:val="12"/>
                <w:color w:val="auto"/>
              </w:rPr>
            </w:pPr>
          </w:p>
        </w:tc>
        <w:tc>
          <w:tcPr>
            <w:tcW w:w="16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6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change compared to</w:t>
            </w:r>
          </w:p>
        </w:tc>
        <w:tc>
          <w:tcPr>
            <w:tcW w:w="16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impact from foreign</w:t>
            </w:r>
          </w:p>
        </w:tc>
        <w:tc>
          <w:tcPr>
            <w:tcW w:w="16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change compared to</w:t>
            </w:r>
          </w:p>
        </w:tc>
        <w:tc>
          <w:tcPr>
            <w:tcW w:w="168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26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b w:val="1"/>
                <w:bCs w:val="1"/>
                <w:color w:val="auto"/>
              </w:rPr>
              <w:t>impact from forei</w:t>
            </w: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prior fiscal year (1)</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exchange rate changes</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prior fiscal year (1)</w:t>
            </w:r>
          </w:p>
        </w:tc>
        <w:tc>
          <w:tcPr>
            <w:tcW w:w="1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9"/>
              </w:rPr>
              <w:t>exchange rate chan</w:t>
            </w:r>
          </w:p>
        </w:tc>
        <w:tc>
          <w:tcPr>
            <w:tcW w:w="0" w:type="dxa"/>
            <w:vAlign w:val="bottom"/>
          </w:tcPr>
          <w:p>
            <w:pPr>
              <w:spacing w:after="0"/>
              <w:rPr>
                <w:sz w:val="1"/>
                <w:szCs w:val="1"/>
                <w:color w:val="auto"/>
              </w:rPr>
            </w:pPr>
          </w:p>
        </w:tc>
      </w:tr>
      <w:tr>
        <w:trPr>
          <w:trHeight w:val="210"/>
        </w:trPr>
        <w:tc>
          <w:tcPr>
            <w:tcW w:w="1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Negative</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ind w:left="206"/>
              <w:spacing w:after="0"/>
              <w:rPr>
                <w:sz w:val="20"/>
                <w:szCs w:val="20"/>
                <w:color w:val="auto"/>
              </w:rPr>
            </w:pPr>
            <w:r>
              <w:rPr>
                <w:rFonts w:ascii="Times New Roman" w:cs="Times New Roman" w:eastAsia="Times New Roman" w:hAnsi="Times New Roman"/>
                <w:sz w:val="16"/>
                <w:szCs w:val="16"/>
                <w:color w:val="auto"/>
              </w:rPr>
              <w:t>Negative</w:t>
            </w:r>
          </w:p>
        </w:tc>
        <w:tc>
          <w:tcPr>
            <w:tcW w:w="0" w:type="dxa"/>
            <w:vAlign w:val="bottom"/>
          </w:tcPr>
          <w:p>
            <w:pPr>
              <w:spacing w:after="0"/>
              <w:rPr>
                <w:sz w:val="1"/>
                <w:szCs w:val="1"/>
                <w:color w:val="auto"/>
              </w:rPr>
            </w:pPr>
          </w:p>
        </w:tc>
      </w:tr>
      <w:tr>
        <w:trPr>
          <w:trHeight w:val="207"/>
        </w:trPr>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spend</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Neutral</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tcPr>
          <w:p>
            <w:pPr>
              <w:spacing w:after="0"/>
              <w:rPr>
                <w:sz w:val="17"/>
                <w:szCs w:val="17"/>
                <w:color w:val="auto"/>
              </w:rPr>
            </w:pPr>
          </w:p>
        </w:tc>
        <w:tc>
          <w:tcPr>
            <w:tcW w:w="1260" w:type="dxa"/>
            <w:vAlign w:val="bottom"/>
          </w:tcPr>
          <w:p>
            <w:pPr>
              <w:jc w:val="center"/>
              <w:ind w:left="226"/>
              <w:spacing w:after="0"/>
              <w:rPr>
                <w:sz w:val="20"/>
                <w:szCs w:val="20"/>
                <w:color w:val="auto"/>
              </w:rPr>
            </w:pPr>
            <w:r>
              <w:rPr>
                <w:rFonts w:ascii="Times New Roman" w:cs="Times New Roman" w:eastAsia="Times New Roman" w:hAnsi="Times New Roman"/>
                <w:sz w:val="16"/>
                <w:szCs w:val="16"/>
                <w:color w:val="auto"/>
                <w:w w:val="99"/>
              </w:rPr>
              <w:t>Neutral</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hanging="395"/>
        <w:spacing w:after="0"/>
        <w:tabs>
          <w:tab w:leader="none" w:pos="4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refer to the Glossary of Terms for the definitions of our constant currency growth rates.</w:t>
      </w:r>
    </w:p>
    <w:p>
      <w:pPr>
        <w:spacing w:after="0" w:line="219"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42"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RPO represents deferred revenue and contractually stated or committed orders under early renewal and multi-year billing plans for subscription, services, license, and maintenance for which the associated deferred revenue has not yet been recognized. Unbilled deferred revenue is not included as a receivable or deferred revenue on our Condensed Consolidated Balance Sheets. See Part I, Item 1, “Financial Statements,” Note 3, “Revenue Recognition,” for more details on Autodesk's performance obligations.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40" w:type="dxa"/>
            <w:vAlign w:val="bottom"/>
          </w:tcPr>
          <w:p>
            <w:pPr>
              <w:spacing w:after="0"/>
              <w:rPr>
                <w:sz w:val="16"/>
                <w:szCs w:val="16"/>
                <w:color w:val="auto"/>
              </w:rPr>
            </w:pPr>
          </w:p>
        </w:tc>
        <w:tc>
          <w:tcPr>
            <w:tcW w:w="130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4"/>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4"/>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3,692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w:t>
            </w:r>
          </w:p>
        </w:tc>
      </w:tr>
      <w:tr>
        <w:trPr>
          <w:trHeight w:val="209"/>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Unbilled deferred revenue</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2,171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w:t>
            </w:r>
          </w:p>
        </w:tc>
      </w:tr>
      <w:tr>
        <w:trPr>
          <w:trHeight w:val="231"/>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RPO</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5,863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871" w:right="239" w:bottom="1440" w:gutter="0" w:footer="0" w:header="0"/>
        </w:sectPr>
      </w:pPr>
    </w:p>
    <w:bookmarkStart w:id="40" w:name="page41"/>
    <w:bookmarkEnd w:id="40"/>
    <w:p>
      <w:pPr>
        <w:ind w:left="400"/>
        <w:spacing w:after="0"/>
        <w:rPr>
          <w:sz w:val="20"/>
          <w:szCs w:val="20"/>
          <w:color w:val="auto"/>
        </w:rPr>
      </w:pPr>
      <w:r>
        <w:rPr>
          <w:rFonts w:ascii="Times New Roman" w:cs="Times New Roman" w:eastAsia="Times New Roman" w:hAnsi="Times New Roman"/>
          <w:sz w:val="18"/>
          <w:szCs w:val="18"/>
          <w:color w:val="auto"/>
        </w:rPr>
        <w:t>RPO consisted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60" w:type="dxa"/>
            <w:vAlign w:val="bottom"/>
          </w:tcPr>
          <w:p>
            <w:pPr>
              <w:spacing w:after="0"/>
              <w:rPr>
                <w:sz w:val="16"/>
                <w:szCs w:val="16"/>
                <w:color w:val="auto"/>
              </w:rPr>
            </w:pPr>
          </w:p>
        </w:tc>
        <w:tc>
          <w:tcPr>
            <w:tcW w:w="130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4"/>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4"/>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RPO</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3,976</w:t>
            </w:r>
          </w:p>
        </w:tc>
      </w:tr>
      <w:tr>
        <w:trPr>
          <w:trHeight w:val="209"/>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Non-current RPO</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2,132</w:t>
            </w:r>
          </w:p>
        </w:tc>
      </w:tr>
      <w:tr>
        <w:trPr>
          <w:trHeight w:val="231"/>
        </w:trPr>
        <w:tc>
          <w:tcPr>
            <w:tcW w:w="81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RPO</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200" w:firstLine="395"/>
        <w:spacing w:after="0" w:line="248" w:lineRule="auto"/>
        <w:rPr>
          <w:sz w:val="20"/>
          <w:szCs w:val="20"/>
          <w:color w:val="auto"/>
        </w:rPr>
      </w:pPr>
      <w:r>
        <w:rPr>
          <w:rFonts w:ascii="Times New Roman" w:cs="Times New Roman" w:eastAsia="Times New Roman" w:hAnsi="Times New Roman"/>
          <w:sz w:val="18"/>
          <w:szCs w:val="18"/>
          <w:color w:val="auto"/>
        </w:rPr>
        <w:t>We expect that the amount of RPO will change from quarter to quarter for several reasons, including the specific timing, duration, and size of customer subscription and support agreements, the specific timing of customer renewals, and foreign currency fluctuations. Historically, we have had increased EBA sales activity in our fourth fiscal quarter and this seasonality may affect the relative value of our billings, RPO, and collections in the fourth and first fiscal quarters. As customers transition from multi-year subscription contracts billed upfront to annual billing installments, some customers may choose annual contracts instead. If this were to occur, we would expect it to proportionately reduce the unbilled portion of our total remaining performance obligations and would expect it to impact total RPO growth rates negatively. Deferred revenue, billings, current RPO, revenue, non-GAAP operating margin, and free cash flow would remain broadly unchanged in this scenario.</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Balance Sheet and Cash Flow Items</w:t>
      </w:r>
    </w:p>
    <w:p>
      <w:pPr>
        <w:spacing w:after="0" w:line="242"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At July 31, 2024, we had $2.11 billion in cash, cash equivalents, and marketable securities. Our cash flow from operations decreased to $706 million for the six months ended July 31, 2024, compared to $858 million for the six months ended July 31, 2023. We repurchased 504 thousand shares of our common stock for $124 million during the six months ended July 31, 2024. Comparatively, we repurchased 3.1 million shares of our common stock for $621 million during the six months ended July 31, 2023. See further discussion regarding the balance sheet and cash flow activities under the heading “Liquidity and Capital Resources.”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Overview</w:t>
      </w:r>
    </w:p>
    <w:p>
      <w:pPr>
        <w:spacing w:after="0" w:line="242" w:lineRule="exact"/>
        <w:rPr>
          <w:sz w:val="20"/>
          <w:szCs w:val="20"/>
          <w:color w:val="auto"/>
        </w:rPr>
      </w:pPr>
    </w:p>
    <w:p>
      <w:pPr>
        <w:ind w:firstLine="395"/>
        <w:spacing w:after="0" w:line="286" w:lineRule="auto"/>
        <w:rPr>
          <w:sz w:val="20"/>
          <w:szCs w:val="20"/>
          <w:color w:val="auto"/>
        </w:rPr>
      </w:pPr>
      <w:r>
        <w:rPr>
          <w:rFonts w:ascii="Times New Roman" w:cs="Times New Roman" w:eastAsia="Times New Roman" w:hAnsi="Times New Roman"/>
          <w:sz w:val="16"/>
          <w:szCs w:val="16"/>
          <w:color w:val="auto"/>
        </w:rPr>
        <w:t>We believe our investment in cloud products and a subscription business model, backed by a strong balance sheet, give us a robust foundation to successfully navigate complex geopolitical and global macro-economic challenges. However, material scarcity, supply chain disruption and resulting inflationary pressures, higher interest rates, a global labor shortage, the ongoing wars between Ukraine and Russia and between Israel and Hamas, and foreign exchange rate fluctuations, may impact our outlook. We also expect our transition to annual billings for multi-year contracts to impact the timing of our billings and cash collections. The extent of the impact of these risks on our business in the remainder of fiscal 2025 and beyond will depend on several factors, some of which are out of our control. Further discussion of the potential impacts of these risks on our business can be found in Part II, Item 1A, “Risk Factors.”</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introduced a new transaction model for our token-based Flex offering in North America, and certain countries in EMEA, and APAC during fiscal</w:t>
      </w:r>
    </w:p>
    <w:p>
      <w:pPr>
        <w:spacing w:after="0" w:line="21"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2023 and 2024. Most of our subscription offerings transitioned to the new transaction model in Australia during fiscal 2024 and in North America during our second fiscal quarter of fiscal 2025. In this new transaction model, Solution Providers provide customers with a quote, however, the actual transaction occurs directly between Autodesk and the customer. We intend to transition our indirect business to the new transaction model in our major markets globally in remaining fiscal 2025 and fiscal 2026.</w:t>
      </w:r>
    </w:p>
    <w:p>
      <w:pPr>
        <w:spacing w:after="0" w:line="216" w:lineRule="exact"/>
        <w:rPr>
          <w:sz w:val="20"/>
          <w:szCs w:val="20"/>
          <w:color w:val="auto"/>
        </w:rPr>
      </w:pPr>
    </w:p>
    <w:p>
      <w:pPr>
        <w:ind w:right="100" w:firstLine="395"/>
        <w:spacing w:after="0" w:line="281" w:lineRule="auto"/>
        <w:rPr>
          <w:sz w:val="20"/>
          <w:szCs w:val="20"/>
          <w:color w:val="auto"/>
        </w:rPr>
      </w:pPr>
      <w:r>
        <w:rPr>
          <w:rFonts w:ascii="Times New Roman" w:cs="Times New Roman" w:eastAsia="Times New Roman" w:hAnsi="Times New Roman"/>
          <w:sz w:val="16"/>
          <w:szCs w:val="16"/>
          <w:color w:val="auto"/>
        </w:rPr>
        <w:t>Our sales incentives to Solution Providers will be recorded as operating expenses under the new transaction model as we will contract directly with end customers. Accordingly, we expect sales incentives paid to resellers recorded as a reduction of transaction price and subsequently recognized as a reduction to subscription revenue over the contract period will decrease as we transition to the new transaction model. Most of the sales incentives payments to Solution Providers in our new transaction model, will be considered incremental and recoverable costs of obtaining a contract with a customer and will be capitalized and included in “Prepaid expenses and other current assets” and “Long-term other assets” on the Condensed Consolidated Balance Sheets. The deferred costs will then be amortized over the period of benefit and recorded to “Sales and Marketing” on the Condensed Consolidated Statement of Operations. The sales incentives not qualifying for capitalization will be recorded to “Sales and Marketing” on the Condensed Consolidated Statement of Operations as the costs are incurred under the incentive program requirements. In the near term, we expect the change in recognition of sales incentives to indirect channels from contra revenue to operating expenses under the new transaction model to positively impact calculated revenue growth, while</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7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being broadly neutral to calculated operating profit and free cash flow dollars, and to result in a calculated negative impact to operating margin.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w:t>
      </w:r>
    </w:p>
    <w:p>
      <w:pPr>
        <w:spacing w:after="0" w:line="2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Net Revenue by Income Statement Presentation</w:t>
      </w:r>
    </w:p>
    <w:p>
      <w:pPr>
        <w:spacing w:after="0" w:line="242" w:lineRule="exact"/>
        <w:rPr>
          <w:sz w:val="20"/>
          <w:szCs w:val="20"/>
          <w:color w:val="auto"/>
        </w:rPr>
      </w:pPr>
    </w:p>
    <w:p>
      <w:pPr>
        <w:ind w:right="300" w:firstLine="395"/>
        <w:spacing w:after="0" w:line="256" w:lineRule="auto"/>
        <w:rPr>
          <w:sz w:val="20"/>
          <w:szCs w:val="20"/>
          <w:color w:val="auto"/>
        </w:rPr>
      </w:pPr>
      <w:r>
        <w:rPr>
          <w:rFonts w:ascii="Times New Roman" w:cs="Times New Roman" w:eastAsia="Times New Roman" w:hAnsi="Times New Roman"/>
          <w:sz w:val="18"/>
          <w:szCs w:val="18"/>
          <w:color w:val="auto"/>
        </w:rPr>
        <w:t>Subscription revenue consists of our term-based product subscriptions, cloud service offerings, and flexible EBAs. Revenue from these arrangements is predominately recognized ratably over the contract term commencing with the date our service is made available to customers and when all other revenue recognition criteria have been satisfied.</w:t>
      </w:r>
    </w:p>
    <w:p>
      <w:pPr>
        <w:spacing w:after="0" w:line="206" w:lineRule="exact"/>
        <w:rPr>
          <w:sz w:val="20"/>
          <w:szCs w:val="20"/>
          <w:color w:val="auto"/>
        </w:rPr>
      </w:pPr>
    </w:p>
    <w:p>
      <w:pPr>
        <w:jc w:val="both"/>
        <w:ind w:right="280" w:firstLine="434"/>
        <w:spacing w:after="0" w:line="256" w:lineRule="auto"/>
        <w:rPr>
          <w:sz w:val="20"/>
          <w:szCs w:val="20"/>
          <w:color w:val="auto"/>
        </w:rPr>
      </w:pPr>
      <w:r>
        <w:rPr>
          <w:rFonts w:ascii="Times New Roman" w:cs="Times New Roman" w:eastAsia="Times New Roman" w:hAnsi="Times New Roman"/>
          <w:sz w:val="18"/>
          <w:szCs w:val="18"/>
          <w:color w:val="auto"/>
        </w:rPr>
        <w:t>Maintenance revenue consists of renewal fees for existing maintenance plan agreements that were initially purchased with a perpetual software license. Under our maintenance plan, customers are eligible to receive unspecified upgrades, when and if available, and technical support. We recognize maintenance revenue ratably over the term of the agreements, which is generally one year.</w:t>
      </w:r>
    </w:p>
    <w:p>
      <w:pPr>
        <w:spacing w:after="0" w:line="206" w:lineRule="exact"/>
        <w:rPr>
          <w:sz w:val="20"/>
          <w:szCs w:val="20"/>
          <w:color w:val="auto"/>
        </w:rPr>
      </w:pPr>
    </w:p>
    <w:p>
      <w:pPr>
        <w:ind w:right="620" w:firstLine="434"/>
        <w:spacing w:after="0" w:line="268" w:lineRule="auto"/>
        <w:rPr>
          <w:sz w:val="20"/>
          <w:szCs w:val="20"/>
          <w:color w:val="auto"/>
        </w:rPr>
      </w:pPr>
      <w:r>
        <w:rPr>
          <w:rFonts w:ascii="Times New Roman" w:cs="Times New Roman" w:eastAsia="Times New Roman" w:hAnsi="Times New Roman"/>
          <w:sz w:val="18"/>
          <w:szCs w:val="18"/>
          <w:color w:val="auto"/>
        </w:rPr>
        <w:t>Other revenue consists of revenue from consulting and other products and services and is recognized as the products are delivered and services are performed.</w:t>
      </w:r>
    </w:p>
    <w:p>
      <w:pPr>
        <w:spacing w:after="0" w:line="25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Three</w:t>
            </w:r>
          </w:p>
        </w:tc>
        <w:tc>
          <w:tcPr>
            <w:tcW w:w="120" w:type="dxa"/>
            <w:vAlign w:val="bottom"/>
          </w:tcPr>
          <w:p>
            <w:pPr>
              <w:spacing w:after="0"/>
              <w:rPr>
                <w:sz w:val="13"/>
                <w:szCs w:val="13"/>
                <w:color w:val="auto"/>
              </w:rPr>
            </w:pPr>
          </w:p>
        </w:tc>
        <w:tc>
          <w:tcPr>
            <w:tcW w:w="192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 Compared to Prior</w:t>
            </w:r>
          </w:p>
        </w:tc>
        <w:tc>
          <w:tcPr>
            <w:tcW w:w="140" w:type="dxa"/>
            <w:vAlign w:val="bottom"/>
          </w:tcPr>
          <w:p>
            <w:pPr>
              <w:spacing w:after="0"/>
              <w:rPr>
                <w:sz w:val="13"/>
                <w:szCs w:val="13"/>
                <w:color w:val="auto"/>
              </w:rPr>
            </w:pPr>
          </w:p>
        </w:tc>
        <w:tc>
          <w:tcPr>
            <w:tcW w:w="72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19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64"/>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20" w:type="dxa"/>
            <w:vAlign w:val="bottom"/>
          </w:tcPr>
          <w:p>
            <w:pPr>
              <w:spacing w:after="0"/>
              <w:rPr>
                <w:sz w:val="24"/>
                <w:szCs w:val="24"/>
                <w:color w:val="auto"/>
              </w:rPr>
            </w:pPr>
          </w:p>
        </w:tc>
        <w:tc>
          <w:tcPr>
            <w:tcW w:w="74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31, 2023</w:t>
            </w:r>
          </w:p>
        </w:tc>
        <w:tc>
          <w:tcPr>
            <w:tcW w:w="100" w:type="dxa"/>
            <w:vAlign w:val="bottom"/>
          </w:tcPr>
          <w:p>
            <w:pPr>
              <w:spacing w:after="0"/>
              <w:rPr>
                <w:sz w:val="24"/>
                <w:szCs w:val="24"/>
                <w:color w:val="auto"/>
              </w:rPr>
            </w:pPr>
          </w:p>
        </w:tc>
        <w:tc>
          <w:tcPr>
            <w:tcW w:w="320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24"/>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8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Subscription</w:t>
            </w:r>
          </w:p>
        </w:tc>
        <w:tc>
          <w:tcPr>
            <w:tcW w:w="1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1,408</w:t>
            </w:r>
          </w:p>
        </w:tc>
        <w:tc>
          <w:tcPr>
            <w:tcW w:w="10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3"/>
                <w:szCs w:val="13"/>
                <w:color w:val="auto"/>
              </w:rPr>
            </w:pPr>
          </w:p>
        </w:tc>
        <w:tc>
          <w:tcPr>
            <w:tcW w:w="1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1,270</w:t>
            </w: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due to growth in subscription renewal</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revenue driven by expansion of subscriber base in</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prior periods. Also contributing to the growth was</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6"/>
              </w:rPr>
              <w:t>increase in revenue from Cloud Service offerings a</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EBA offerings.</w:t>
            </w: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Maintenance</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subscription and maintenance revenue</w:t>
            </w:r>
          </w:p>
        </w:tc>
        <w:tc>
          <w:tcPr>
            <w:tcW w:w="16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1,284</w:t>
            </w:r>
          </w:p>
        </w:tc>
        <w:tc>
          <w:tcPr>
            <w:tcW w:w="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8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1,345</w:t>
            </w:r>
          </w:p>
        </w:tc>
        <w:tc>
          <w:tcPr>
            <w:tcW w:w="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780" w:type="dxa"/>
            <w:vAlign w:val="bottom"/>
          </w:tcPr>
          <w:p>
            <w:pPr>
              <w:spacing w:after="0"/>
              <w:rPr>
                <w:sz w:val="24"/>
                <w:szCs w:val="24"/>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20" w:type="dxa"/>
            <w:vAlign w:val="bottom"/>
          </w:tcPr>
          <w:p>
            <w:pPr>
              <w:spacing w:after="0"/>
              <w:rPr>
                <w:sz w:val="24"/>
                <w:szCs w:val="24"/>
                <w:color w:val="auto"/>
              </w:rPr>
            </w:pPr>
          </w:p>
        </w:tc>
        <w:tc>
          <w:tcPr>
            <w:tcW w:w="19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3780" w:type="dxa"/>
            <w:vAlign w:val="bottom"/>
          </w:tcPr>
          <w:p>
            <w:pPr>
              <w:spacing w:after="0"/>
              <w:rPr>
                <w:sz w:val="24"/>
                <w:szCs w:val="24"/>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20" w:type="dxa"/>
            <w:vAlign w:val="bottom"/>
          </w:tcPr>
          <w:p>
            <w:pPr>
              <w:spacing w:after="0"/>
              <w:rPr>
                <w:sz w:val="24"/>
                <w:szCs w:val="24"/>
                <w:color w:val="auto"/>
              </w:rPr>
            </w:pPr>
          </w:p>
        </w:tc>
        <w:tc>
          <w:tcPr>
            <w:tcW w:w="74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31, 2023</w:t>
            </w:r>
          </w:p>
        </w:tc>
        <w:tc>
          <w:tcPr>
            <w:tcW w:w="100" w:type="dxa"/>
            <w:vAlign w:val="bottom"/>
          </w:tcPr>
          <w:p>
            <w:pPr>
              <w:spacing w:after="0"/>
              <w:rPr>
                <w:sz w:val="24"/>
                <w:szCs w:val="24"/>
                <w:color w:val="auto"/>
              </w:rPr>
            </w:pPr>
          </w:p>
        </w:tc>
        <w:tc>
          <w:tcPr>
            <w:tcW w:w="320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24"/>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8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Subscription</w:t>
            </w:r>
          </w:p>
        </w:tc>
        <w:tc>
          <w:tcPr>
            <w:tcW w:w="1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2,738</w:t>
            </w:r>
          </w:p>
        </w:tc>
        <w:tc>
          <w:tcPr>
            <w:tcW w:w="10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3"/>
                <w:szCs w:val="13"/>
                <w:color w:val="auto"/>
              </w:rPr>
            </w:pPr>
          </w:p>
        </w:tc>
        <w:tc>
          <w:tcPr>
            <w:tcW w:w="1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2,463</w:t>
            </w: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due to growth in subscription renewal</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revenue driven by expansion of subscriber base in</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prior periods. Also contributing to the growth was</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6"/>
              </w:rPr>
              <w:t>increase in revenue from Cloud Service offerings a</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EBA offerings.</w:t>
            </w: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Maintenance</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subscription and maintenance revenue</w:t>
            </w:r>
          </w:p>
        </w:tc>
        <w:tc>
          <w:tcPr>
            <w:tcW w:w="16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2,760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2,491</w:t>
            </w:r>
          </w:p>
        </w:tc>
        <w:tc>
          <w:tcPr>
            <w:tcW w:w="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8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2,922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2,614</w:t>
            </w:r>
          </w:p>
        </w:tc>
        <w:tc>
          <w:tcPr>
            <w:tcW w:w="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871" w:right="239" w:bottom="1440" w:gutter="0" w:footer="0" w:header="0"/>
        </w:sectPr>
      </w:pPr>
    </w:p>
    <w:bookmarkStart w:id="42" w:name="page43"/>
    <w:bookmarkEnd w:id="42"/>
    <w:p>
      <w:pPr>
        <w:ind w:left="240"/>
        <w:spacing w:after="0"/>
        <w:rPr>
          <w:sz w:val="20"/>
          <w:szCs w:val="20"/>
          <w:color w:val="auto"/>
        </w:rPr>
      </w:pPr>
      <w:r>
        <w:rPr>
          <w:rFonts w:ascii="Times New Roman" w:cs="Times New Roman" w:eastAsia="Times New Roman" w:hAnsi="Times New Roman"/>
          <w:sz w:val="18"/>
          <w:szCs w:val="18"/>
          <w:i w:val="1"/>
          <w:iCs w:val="1"/>
          <w:color w:val="auto"/>
        </w:rPr>
        <w:t>Net Revenue by Product Family</w:t>
      </w:r>
    </w:p>
    <w:p>
      <w:pPr>
        <w:spacing w:after="0" w:line="242" w:lineRule="exact"/>
        <w:rPr>
          <w:sz w:val="20"/>
          <w:szCs w:val="20"/>
          <w:color w:val="auto"/>
        </w:rPr>
      </w:pPr>
    </w:p>
    <w:p>
      <w:pPr>
        <w:ind w:right="300" w:firstLine="395"/>
        <w:spacing w:after="0" w:line="268" w:lineRule="auto"/>
        <w:rPr>
          <w:sz w:val="20"/>
          <w:szCs w:val="20"/>
          <w:color w:val="auto"/>
        </w:rPr>
      </w:pPr>
      <w:r>
        <w:rPr>
          <w:rFonts w:ascii="Times New Roman" w:cs="Times New Roman" w:eastAsia="Times New Roman" w:hAnsi="Times New Roman"/>
          <w:sz w:val="18"/>
          <w:szCs w:val="18"/>
          <w:color w:val="auto"/>
        </w:rPr>
        <w:t>Our product offerings are focused in four primary product families: Architecture, Engineering and Construction (“AEC”), AutoCAD and AutoCAD LT, Manufacturing (“MFG”), and Media and Entertainment (“M&amp;E”).</w:t>
      </w:r>
    </w:p>
    <w:p>
      <w:pPr>
        <w:spacing w:after="0" w:line="1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Three</w:t>
            </w:r>
          </w:p>
        </w:tc>
        <w:tc>
          <w:tcPr>
            <w:tcW w:w="400" w:type="dxa"/>
            <w:vAlign w:val="bottom"/>
          </w:tcPr>
          <w:p>
            <w:pPr>
              <w:spacing w:after="0"/>
              <w:rPr>
                <w:sz w:val="13"/>
                <w:szCs w:val="13"/>
                <w:color w:val="auto"/>
              </w:rPr>
            </w:pPr>
          </w:p>
        </w:tc>
        <w:tc>
          <w:tcPr>
            <w:tcW w:w="128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40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July 31, 2023</w:t>
            </w:r>
          </w:p>
        </w:tc>
        <w:tc>
          <w:tcPr>
            <w:tcW w:w="80" w:type="dxa"/>
            <w:vAlign w:val="bottom"/>
          </w:tcPr>
          <w:p>
            <w:pPr>
              <w:spacing w:after="0"/>
              <w:rPr>
                <w:sz w:val="24"/>
                <w:szCs w:val="24"/>
                <w:color w:val="auto"/>
              </w:rPr>
            </w:pPr>
          </w:p>
        </w:tc>
        <w:tc>
          <w:tcPr>
            <w:tcW w:w="354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24"/>
        </w:trPr>
        <w:tc>
          <w:tcPr>
            <w:tcW w:w="3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3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AEC</w:t>
            </w:r>
          </w:p>
        </w:tc>
        <w:tc>
          <w:tcPr>
            <w:tcW w:w="1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713</w:t>
            </w:r>
          </w:p>
        </w:tc>
        <w:tc>
          <w:tcPr>
            <w:tcW w:w="120" w:type="dxa"/>
            <w:vAlign w:val="bottom"/>
          </w:tcPr>
          <w:p>
            <w:pPr>
              <w:spacing w:after="0"/>
              <w:rPr>
                <w:sz w:val="13"/>
                <w:szCs w:val="13"/>
                <w:color w:val="auto"/>
              </w:rPr>
            </w:pPr>
          </w:p>
        </w:tc>
        <w:tc>
          <w:tcPr>
            <w:tcW w:w="400" w:type="dxa"/>
            <w:vAlign w:val="bottom"/>
          </w:tcPr>
          <w:p>
            <w:pPr>
              <w:jc w:val="right"/>
              <w:ind w:right="243"/>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3"/>
                <w:szCs w:val="13"/>
                <w:color w:val="auto"/>
              </w:rPr>
            </w:pPr>
          </w:p>
        </w:tc>
        <w:tc>
          <w:tcPr>
            <w:tcW w:w="1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627</w:t>
            </w:r>
          </w:p>
        </w:tc>
        <w:tc>
          <w:tcPr>
            <w:tcW w:w="80" w:type="dxa"/>
            <w:vAlign w:val="bottom"/>
          </w:tcPr>
          <w:p>
            <w:pPr>
              <w:spacing w:after="0"/>
              <w:rPr>
                <w:sz w:val="13"/>
                <w:szCs w:val="13"/>
                <w:color w:val="auto"/>
              </w:rPr>
            </w:pPr>
          </w:p>
        </w:tc>
        <w:tc>
          <w:tcPr>
            <w:tcW w:w="35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7"/>
              </w:rPr>
              <w:t>Increase due to growth in revenue from AEC Collection</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Revit, Autodesk Build, and Civil 3D.</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AutoCAD and AutoCAD LT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389</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7 %</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364</w:t>
            </w:r>
          </w:p>
        </w:tc>
        <w:tc>
          <w:tcPr>
            <w:tcW w:w="80" w:type="dxa"/>
            <w:vAlign w:val="bottom"/>
            <w:shd w:val="clear" w:color="auto" w:fill="CCEEFF"/>
          </w:tcPr>
          <w:p>
            <w:pPr>
              <w:spacing w:after="0"/>
              <w:rPr>
                <w:sz w:val="13"/>
                <w:szCs w:val="13"/>
                <w:color w:val="auto"/>
              </w:rPr>
            </w:pPr>
          </w:p>
        </w:tc>
        <w:tc>
          <w:tcPr>
            <w:tcW w:w="35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w w:val="98"/>
              </w:rPr>
              <w:t>Increase due to growth in revenue from both AutoCAD</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AutoCAD LT.</w:t>
            </w:r>
          </w:p>
        </w:tc>
        <w:tc>
          <w:tcPr>
            <w:tcW w:w="0" w:type="dxa"/>
            <w:vAlign w:val="bottom"/>
          </w:tcPr>
          <w:p>
            <w:pPr>
              <w:spacing w:after="0"/>
              <w:rPr>
                <w:sz w:val="1"/>
                <w:szCs w:val="1"/>
                <w:color w:val="auto"/>
              </w:rPr>
            </w:pPr>
          </w:p>
        </w:tc>
      </w:tr>
      <w:tr>
        <w:trPr>
          <w:trHeight w:val="158"/>
        </w:trPr>
        <w:tc>
          <w:tcPr>
            <w:tcW w:w="33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MFG</w:t>
            </w:r>
          </w:p>
        </w:tc>
        <w:tc>
          <w:tcPr>
            <w:tcW w:w="14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296</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256</w:t>
            </w:r>
          </w:p>
        </w:tc>
        <w:tc>
          <w:tcPr>
            <w:tcW w:w="80" w:type="dxa"/>
            <w:vAlign w:val="bottom"/>
          </w:tcPr>
          <w:p>
            <w:pPr>
              <w:spacing w:after="0"/>
              <w:rPr>
                <w:sz w:val="13"/>
                <w:szCs w:val="13"/>
                <w:color w:val="auto"/>
              </w:rPr>
            </w:pPr>
          </w:p>
        </w:tc>
        <w:tc>
          <w:tcPr>
            <w:tcW w:w="35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Increase due to growth in revenue from MFG Collectio</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EBA offerings, Fusion, and Inventor.</w:t>
            </w: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M&amp;E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due to growth in EBA offerings.</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Borders>
              <w:bottom w:val="single" w:sz="8" w:color="CCEEFF"/>
            </w:tcBorders>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8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gridSpan w:val="2"/>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320" w:type="dxa"/>
            <w:vAlign w:val="bottom"/>
          </w:tcPr>
          <w:p>
            <w:pPr>
              <w:spacing w:after="0"/>
              <w:rPr>
                <w:sz w:val="24"/>
                <w:szCs w:val="24"/>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400" w:type="dxa"/>
            <w:vAlign w:val="bottom"/>
          </w:tcPr>
          <w:p>
            <w:pPr>
              <w:spacing w:after="0"/>
              <w:rPr>
                <w:sz w:val="24"/>
                <w:szCs w:val="24"/>
                <w:color w:val="auto"/>
              </w:rPr>
            </w:pPr>
          </w:p>
        </w:tc>
        <w:tc>
          <w:tcPr>
            <w:tcW w:w="12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332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July 31, 2023</w:t>
            </w:r>
          </w:p>
        </w:tc>
        <w:tc>
          <w:tcPr>
            <w:tcW w:w="80" w:type="dxa"/>
            <w:vAlign w:val="bottom"/>
          </w:tcPr>
          <w:p>
            <w:pPr>
              <w:spacing w:after="0"/>
              <w:rPr>
                <w:sz w:val="24"/>
                <w:szCs w:val="24"/>
                <w:color w:val="auto"/>
              </w:rPr>
            </w:pPr>
          </w:p>
        </w:tc>
        <w:tc>
          <w:tcPr>
            <w:tcW w:w="354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24"/>
        </w:trPr>
        <w:tc>
          <w:tcPr>
            <w:tcW w:w="3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3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AEC</w:t>
            </w:r>
          </w:p>
        </w:tc>
        <w:tc>
          <w:tcPr>
            <w:tcW w:w="1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1,387</w:t>
            </w:r>
          </w:p>
        </w:tc>
        <w:tc>
          <w:tcPr>
            <w:tcW w:w="120" w:type="dxa"/>
            <w:vAlign w:val="bottom"/>
          </w:tcPr>
          <w:p>
            <w:pPr>
              <w:spacing w:after="0"/>
              <w:rPr>
                <w:sz w:val="13"/>
                <w:szCs w:val="13"/>
                <w:color w:val="auto"/>
              </w:rPr>
            </w:pPr>
          </w:p>
        </w:tc>
        <w:tc>
          <w:tcPr>
            <w:tcW w:w="400" w:type="dxa"/>
            <w:vAlign w:val="bottom"/>
          </w:tcPr>
          <w:p>
            <w:pPr>
              <w:jc w:val="right"/>
              <w:ind w:right="243"/>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3"/>
                <w:szCs w:val="13"/>
                <w:color w:val="auto"/>
              </w:rPr>
            </w:pPr>
          </w:p>
        </w:tc>
        <w:tc>
          <w:tcPr>
            <w:tcW w:w="1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1,209</w:t>
            </w:r>
          </w:p>
        </w:tc>
        <w:tc>
          <w:tcPr>
            <w:tcW w:w="80" w:type="dxa"/>
            <w:vAlign w:val="bottom"/>
          </w:tcPr>
          <w:p>
            <w:pPr>
              <w:spacing w:after="0"/>
              <w:rPr>
                <w:sz w:val="13"/>
                <w:szCs w:val="13"/>
                <w:color w:val="auto"/>
              </w:rPr>
            </w:pPr>
          </w:p>
        </w:tc>
        <w:tc>
          <w:tcPr>
            <w:tcW w:w="35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7"/>
              </w:rPr>
              <w:t>Increase due to growth in revenue from AEC Collection</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EBA offerings, Revit, and Autodesk Build.</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AutoCAD and AutoCAD LT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765</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7 %</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713</w:t>
            </w:r>
          </w:p>
        </w:tc>
        <w:tc>
          <w:tcPr>
            <w:tcW w:w="80" w:type="dxa"/>
            <w:vAlign w:val="bottom"/>
            <w:shd w:val="clear" w:color="auto" w:fill="CCEEFF"/>
          </w:tcPr>
          <w:p>
            <w:pPr>
              <w:spacing w:after="0"/>
              <w:rPr>
                <w:sz w:val="13"/>
                <w:szCs w:val="13"/>
                <w:color w:val="auto"/>
              </w:rPr>
            </w:pPr>
          </w:p>
        </w:tc>
        <w:tc>
          <w:tcPr>
            <w:tcW w:w="35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w w:val="98"/>
              </w:rPr>
              <w:t>Increase due to growth in revenue from both AutoCAD</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AutoCAD LT.</w:t>
            </w:r>
          </w:p>
        </w:tc>
        <w:tc>
          <w:tcPr>
            <w:tcW w:w="0" w:type="dxa"/>
            <w:vAlign w:val="bottom"/>
          </w:tcPr>
          <w:p>
            <w:pPr>
              <w:spacing w:after="0"/>
              <w:rPr>
                <w:sz w:val="1"/>
                <w:szCs w:val="1"/>
                <w:color w:val="auto"/>
              </w:rPr>
            </w:pPr>
          </w:p>
        </w:tc>
      </w:tr>
      <w:tr>
        <w:trPr>
          <w:trHeight w:val="158"/>
        </w:trPr>
        <w:tc>
          <w:tcPr>
            <w:tcW w:w="33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MFG</w:t>
            </w:r>
          </w:p>
        </w:tc>
        <w:tc>
          <w:tcPr>
            <w:tcW w:w="14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564</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502</w:t>
            </w:r>
          </w:p>
        </w:tc>
        <w:tc>
          <w:tcPr>
            <w:tcW w:w="80" w:type="dxa"/>
            <w:vAlign w:val="bottom"/>
          </w:tcPr>
          <w:p>
            <w:pPr>
              <w:spacing w:after="0"/>
              <w:rPr>
                <w:sz w:val="13"/>
                <w:szCs w:val="13"/>
                <w:color w:val="auto"/>
              </w:rPr>
            </w:pPr>
          </w:p>
        </w:tc>
        <w:tc>
          <w:tcPr>
            <w:tcW w:w="35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Increase due to growth in revenue from MFG Collectio</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EBA offerings, Fusion, and Inventor.</w:t>
            </w: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M&amp;E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7"/>
              </w:rPr>
              <w:t>Increase due to growth in EBA offerings and 3DS Max.</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Borders>
              <w:bottom w:val="single" w:sz="8" w:color="CCEEFF"/>
            </w:tcBorders>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w:t>
            </w:r>
          </w:p>
        </w:tc>
        <w:tc>
          <w:tcPr>
            <w:tcW w:w="8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869" w:right="239" w:bottom="1440" w:gutter="0" w:footer="0" w:header="0"/>
        </w:sectPr>
      </w:pPr>
    </w:p>
    <w:bookmarkStart w:id="43" w:name="page44"/>
    <w:bookmarkEnd w:id="43"/>
    <w:p>
      <w:pPr>
        <w:ind w:left="200"/>
        <w:spacing w:after="0"/>
        <w:rPr>
          <w:sz w:val="20"/>
          <w:szCs w:val="20"/>
          <w:color w:val="auto"/>
        </w:rPr>
      </w:pPr>
      <w:r>
        <w:rPr>
          <w:rFonts w:ascii="Times New Roman" w:cs="Times New Roman" w:eastAsia="Times New Roman" w:hAnsi="Times New Roman"/>
          <w:sz w:val="18"/>
          <w:szCs w:val="18"/>
          <w:i w:val="1"/>
          <w:iCs w:val="1"/>
          <w:color w:val="auto"/>
        </w:rPr>
        <w:t>Net Revenue by Geographic Area</w:t>
      </w:r>
    </w:p>
    <w:p>
      <w:pPr>
        <w:spacing w:after="0" w:line="152"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18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compared to prior fiscal</w:t>
            </w: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640" w:type="dxa"/>
            <w:vAlign w:val="bottom"/>
          </w:tcPr>
          <w:p>
            <w:pPr>
              <w:spacing w:after="0"/>
              <w:rPr>
                <w:sz w:val="16"/>
                <w:szCs w:val="16"/>
                <w:color w:val="auto"/>
              </w:rPr>
            </w:pPr>
          </w:p>
        </w:tc>
        <w:tc>
          <w:tcPr>
            <w:tcW w:w="1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Three Months Ended July</w:t>
            </w:r>
          </w:p>
        </w:tc>
        <w:tc>
          <w:tcPr>
            <w:tcW w:w="200" w:type="dxa"/>
            <w:vAlign w:val="bottom"/>
          </w:tcPr>
          <w:p>
            <w:pPr>
              <w:spacing w:after="0"/>
              <w:rPr>
                <w:sz w:val="16"/>
                <w:szCs w:val="16"/>
                <w:color w:val="auto"/>
              </w:rPr>
            </w:pPr>
          </w:p>
        </w:tc>
        <w:tc>
          <w:tcPr>
            <w:tcW w:w="186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0" w:type="dxa"/>
            <w:vAlign w:val="bottom"/>
          </w:tcPr>
          <w:p>
            <w:pPr>
              <w:spacing w:after="0"/>
              <w:rPr>
                <w:sz w:val="1"/>
                <w:szCs w:val="1"/>
                <w:color w:val="auto"/>
              </w:rPr>
            </w:pPr>
          </w:p>
        </w:tc>
      </w:tr>
      <w:tr>
        <w:trPr>
          <w:trHeight w:val="39"/>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860" w:type="dxa"/>
            <w:vAlign w:val="bottom"/>
            <w:gridSpan w:val="3"/>
            <w:vMerge w:val="continue"/>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640" w:type="dxa"/>
            <w:vAlign w:val="bottom"/>
            <w:tcBorders>
              <w:top w:val="single" w:sz="8" w:color="auto"/>
            </w:tcBorders>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3"/>
                <w:szCs w:val="3"/>
                <w:color w:val="auto"/>
              </w:rPr>
            </w:pPr>
          </w:p>
        </w:tc>
        <w:tc>
          <w:tcPr>
            <w:tcW w:w="1720" w:type="dxa"/>
            <w:vAlign w:val="bottom"/>
            <w:tcBorders>
              <w:top w:val="single" w:sz="8" w:color="auto"/>
            </w:tcBorders>
            <w:vMerge w:val="restart"/>
          </w:tcPr>
          <w:p>
            <w:pPr>
              <w:jc w:val="right"/>
              <w:ind w:right="78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36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197"/>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3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485</w:t>
            </w:r>
          </w:p>
        </w:tc>
        <w:tc>
          <w:tcPr>
            <w:tcW w:w="0" w:type="dxa"/>
            <w:vAlign w:val="bottom"/>
          </w:tcPr>
          <w:p>
            <w:pPr>
              <w:spacing w:after="0"/>
              <w:rPr>
                <w:sz w:val="1"/>
                <w:szCs w:val="1"/>
                <w:color w:val="auto"/>
              </w:rPr>
            </w:pPr>
          </w:p>
        </w:tc>
      </w:tr>
      <w:tr>
        <w:trPr>
          <w:trHeight w:val="209"/>
        </w:trPr>
        <w:tc>
          <w:tcPr>
            <w:tcW w:w="3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Americas</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1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6"/>
        </w:trPr>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Americas</w:t>
            </w: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589</w:t>
            </w:r>
          </w:p>
        </w:tc>
        <w:tc>
          <w:tcPr>
            <w:tcW w:w="0" w:type="dxa"/>
            <w:vAlign w:val="bottom"/>
          </w:tcPr>
          <w:p>
            <w:pPr>
              <w:spacing w:after="0"/>
              <w:rPr>
                <w:sz w:val="1"/>
                <w:szCs w:val="1"/>
                <w:color w:val="auto"/>
              </w:rPr>
            </w:pPr>
          </w:p>
        </w:tc>
      </w:tr>
      <w:tr>
        <w:trPr>
          <w:trHeight w:val="209"/>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EMEA</w:t>
            </w:r>
          </w:p>
        </w:tc>
        <w:tc>
          <w:tcPr>
            <w:tcW w:w="36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APAC</w:t>
            </w: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0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3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7"/>
                <w:szCs w:val="17"/>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1,345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8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18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compared to prior fiscal</w:t>
            </w: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640" w:type="dxa"/>
            <w:vAlign w:val="bottom"/>
          </w:tcPr>
          <w:p>
            <w:pPr>
              <w:spacing w:after="0"/>
              <w:rPr>
                <w:sz w:val="16"/>
                <w:szCs w:val="16"/>
                <w:color w:val="auto"/>
              </w:rPr>
            </w:pPr>
          </w:p>
        </w:tc>
        <w:tc>
          <w:tcPr>
            <w:tcW w:w="1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Six Months Ended July 31,</w:t>
            </w:r>
          </w:p>
        </w:tc>
        <w:tc>
          <w:tcPr>
            <w:tcW w:w="200" w:type="dxa"/>
            <w:vAlign w:val="bottom"/>
          </w:tcPr>
          <w:p>
            <w:pPr>
              <w:spacing w:after="0"/>
              <w:rPr>
                <w:sz w:val="16"/>
                <w:szCs w:val="16"/>
                <w:color w:val="auto"/>
              </w:rPr>
            </w:pPr>
          </w:p>
        </w:tc>
        <w:tc>
          <w:tcPr>
            <w:tcW w:w="186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39"/>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860" w:type="dxa"/>
            <w:vAlign w:val="bottom"/>
            <w:gridSpan w:val="3"/>
            <w:vMerge w:val="continue"/>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640" w:type="dxa"/>
            <w:vAlign w:val="bottom"/>
            <w:tcBorders>
              <w:top w:val="single" w:sz="8" w:color="auto"/>
            </w:tcBorders>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3"/>
                <w:szCs w:val="3"/>
                <w:color w:val="auto"/>
              </w:rPr>
            </w:pPr>
          </w:p>
        </w:tc>
        <w:tc>
          <w:tcPr>
            <w:tcW w:w="1720" w:type="dxa"/>
            <w:vAlign w:val="bottom"/>
            <w:tcBorders>
              <w:top w:val="single" w:sz="8" w:color="auto"/>
            </w:tcBorders>
            <w:vMerge w:val="restart"/>
          </w:tcPr>
          <w:p>
            <w:pPr>
              <w:jc w:val="right"/>
              <w:ind w:right="78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36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7"/>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3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941</w:t>
            </w:r>
          </w:p>
        </w:tc>
        <w:tc>
          <w:tcPr>
            <w:tcW w:w="0" w:type="dxa"/>
            <w:vAlign w:val="bottom"/>
          </w:tcPr>
          <w:p>
            <w:pPr>
              <w:spacing w:after="0"/>
              <w:rPr>
                <w:sz w:val="1"/>
                <w:szCs w:val="1"/>
                <w:color w:val="auto"/>
              </w:rPr>
            </w:pPr>
          </w:p>
        </w:tc>
      </w:tr>
      <w:tr>
        <w:trPr>
          <w:trHeight w:val="209"/>
        </w:trPr>
        <w:tc>
          <w:tcPr>
            <w:tcW w:w="3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Americas</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1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06"/>
        </w:trPr>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Americas</w:t>
            </w: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1,142</w:t>
            </w:r>
          </w:p>
        </w:tc>
        <w:tc>
          <w:tcPr>
            <w:tcW w:w="0" w:type="dxa"/>
            <w:vAlign w:val="bottom"/>
          </w:tcPr>
          <w:p>
            <w:pPr>
              <w:spacing w:after="0"/>
              <w:rPr>
                <w:sz w:val="1"/>
                <w:szCs w:val="1"/>
                <w:color w:val="auto"/>
              </w:rPr>
            </w:pPr>
          </w:p>
        </w:tc>
      </w:tr>
      <w:tr>
        <w:trPr>
          <w:trHeight w:val="209"/>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EMEA</w:t>
            </w:r>
          </w:p>
        </w:tc>
        <w:tc>
          <w:tcPr>
            <w:tcW w:w="36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980</w:t>
            </w: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APAC</w:t>
            </w: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0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3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2,922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7"/>
                <w:szCs w:val="17"/>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2,614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Constant currency data not provided at this level.</w:t>
      </w:r>
    </w:p>
    <w:p>
      <w:pPr>
        <w:spacing w:after="0" w:line="219" w:lineRule="exact"/>
        <w:rPr>
          <w:sz w:val="20"/>
          <w:szCs w:val="20"/>
          <w:color w:val="auto"/>
        </w:rPr>
      </w:pPr>
    </w:p>
    <w:p>
      <w:pPr>
        <w:ind w:firstLine="434"/>
        <w:spacing w:after="0" w:line="231" w:lineRule="auto"/>
        <w:rPr>
          <w:sz w:val="20"/>
          <w:szCs w:val="20"/>
          <w:color w:val="auto"/>
        </w:rPr>
      </w:pPr>
      <w:r>
        <w:rPr>
          <w:rFonts w:ascii="Times New Roman" w:cs="Times New Roman" w:eastAsia="Times New Roman" w:hAnsi="Times New Roman"/>
          <w:sz w:val="18"/>
          <w:szCs w:val="18"/>
          <w:color w:val="auto"/>
        </w:rPr>
        <w:t>We believe that international revenue will continue to comprise a majority of our net revenue. Unfavorable economic conditions, including in connection with the ongoing wars between Ukraine and Russia and between Israel and Hamas (and any related political or economic responses and counter-responses or otherwise by various global actors or the general effect on the global economy), in the countries that contribute a significant portion of our net revenue, including in emerging economies such as Brazil, India, and China, has had and may continue to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or protectionism in the global market may impact our future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69"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Net Revenue by Sales Channel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4"/>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0" w:type="dxa"/>
            <w:vAlign w:val="bottom"/>
          </w:tcPr>
          <w:p>
            <w:pPr>
              <w:spacing w:after="0"/>
              <w:rPr>
                <w:sz w:val="1"/>
                <w:szCs w:val="1"/>
                <w:color w:val="auto"/>
              </w:rPr>
            </w:pPr>
          </w:p>
        </w:tc>
      </w:tr>
      <w:tr>
        <w:trPr>
          <w:trHeight w:val="190"/>
        </w:trPr>
        <w:tc>
          <w:tcPr>
            <w:tcW w:w="632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33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20" w:type="dxa"/>
            <w:vAlign w:val="bottom"/>
          </w:tcPr>
          <w:p>
            <w:pPr>
              <w:spacing w:after="0"/>
              <w:rPr>
                <w:sz w:val="24"/>
                <w:szCs w:val="24"/>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9"/>
              </w:rPr>
              <w:t>July 31, 2023</w:t>
            </w:r>
          </w:p>
        </w:tc>
        <w:tc>
          <w:tcPr>
            <w:tcW w:w="0" w:type="dxa"/>
            <w:vAlign w:val="bottom"/>
          </w:tcPr>
          <w:p>
            <w:pPr>
              <w:spacing w:after="0"/>
              <w:rPr>
                <w:sz w:val="1"/>
                <w:szCs w:val="1"/>
                <w:color w:val="auto"/>
              </w:rPr>
            </w:pPr>
          </w:p>
        </w:tc>
      </w:tr>
      <w:tr>
        <w:trPr>
          <w:trHeight w:val="24"/>
        </w:trPr>
        <w:tc>
          <w:tcPr>
            <w:tcW w:w="6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Sales Channel:</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Indirect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Direct</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0" w:type="dxa"/>
            <w:vAlign w:val="bottom"/>
          </w:tcPr>
          <w:p>
            <w:pPr>
              <w:spacing w:after="0"/>
              <w:rPr>
                <w:sz w:val="1"/>
                <w:szCs w:val="1"/>
                <w:color w:val="auto"/>
              </w:rPr>
            </w:pPr>
          </w:p>
        </w:tc>
      </w:tr>
      <w:tr>
        <w:trPr>
          <w:trHeight w:val="20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4"/>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0" w:type="dxa"/>
            <w:vAlign w:val="bottom"/>
          </w:tcPr>
          <w:p>
            <w:pPr>
              <w:spacing w:after="0"/>
              <w:rPr>
                <w:sz w:val="1"/>
                <w:szCs w:val="1"/>
                <w:color w:val="auto"/>
              </w:rPr>
            </w:pPr>
          </w:p>
        </w:tc>
      </w:tr>
      <w:tr>
        <w:trPr>
          <w:trHeight w:val="190"/>
        </w:trPr>
        <w:tc>
          <w:tcPr>
            <w:tcW w:w="6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6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9"/>
              </w:rPr>
              <w:t>July 31, 2023</w:t>
            </w:r>
          </w:p>
        </w:tc>
        <w:tc>
          <w:tcPr>
            <w:tcW w:w="0" w:type="dxa"/>
            <w:vAlign w:val="bottom"/>
          </w:tcPr>
          <w:p>
            <w:pPr>
              <w:spacing w:after="0"/>
              <w:rPr>
                <w:sz w:val="1"/>
                <w:szCs w:val="1"/>
                <w:color w:val="auto"/>
              </w:rPr>
            </w:pPr>
          </w:p>
        </w:tc>
      </w:tr>
      <w:tr>
        <w:trPr>
          <w:trHeight w:val="24"/>
        </w:trPr>
        <w:tc>
          <w:tcPr>
            <w:tcW w:w="6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Sales Channel:</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Indirect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Direct</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0" w:type="dxa"/>
            <w:vAlign w:val="bottom"/>
          </w:tcPr>
          <w:p>
            <w:pPr>
              <w:spacing w:after="0"/>
              <w:rPr>
                <w:sz w:val="1"/>
                <w:szCs w:val="1"/>
                <w:color w:val="auto"/>
              </w:rPr>
            </w:pPr>
          </w:p>
        </w:tc>
      </w:tr>
      <w:tr>
        <w:trPr>
          <w:trHeight w:val="20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2,614</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We anticipate that our revenue by direct sales channel will continue to increase as a percentage of total net revenue. With the continued growth of our online Autodesk branded store and the introduction of our new transaction model, we will be decreasing our sales through value-added resellers and distributors and transacting directly with more end customers. We expect our indirect channel will continue to transact and support a considerable portion of our customers, particularly in emerging regions. See further discussion regarding our new transaction model under the heading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5" w:name="page46"/>
    <w:bookmarkEnd w:id="45"/>
    <w:p>
      <w:pPr>
        <w:ind w:left="240"/>
        <w:spacing w:after="0"/>
        <w:rPr>
          <w:sz w:val="20"/>
          <w:szCs w:val="20"/>
          <w:color w:val="auto"/>
        </w:rPr>
      </w:pPr>
      <w:r>
        <w:rPr>
          <w:rFonts w:ascii="Times New Roman" w:cs="Times New Roman" w:eastAsia="Times New Roman" w:hAnsi="Times New Roman"/>
          <w:sz w:val="18"/>
          <w:szCs w:val="18"/>
          <w:i w:val="1"/>
          <w:iCs w:val="1"/>
          <w:color w:val="auto"/>
        </w:rPr>
        <w:t>Net Revenue by Product Type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15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7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540" w:type="dxa"/>
            <w:vAlign w:val="bottom"/>
            <w:gridSpan w:val="3"/>
            <w:vMerge w:val="continue"/>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540" w:type="dxa"/>
            <w:vAlign w:val="bottom"/>
            <w:tcBorders>
              <w:top w:val="single" w:sz="8" w:color="auto"/>
            </w:tcBorders>
            <w:vMerge w:val="restart"/>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tcBorders>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32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line="20" w:lineRule="exact"/>
              <w:rPr>
                <w:sz w:val="1"/>
                <w:szCs w:val="1"/>
                <w:color w:val="auto"/>
              </w:rPr>
            </w:pPr>
          </w:p>
        </w:tc>
      </w:tr>
      <w:tr>
        <w:trPr>
          <w:trHeight w:val="190"/>
        </w:trPr>
        <w:tc>
          <w:tcPr>
            <w:tcW w:w="2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July 31, 2024</w:t>
            </w:r>
          </w:p>
        </w:tc>
        <w:tc>
          <w:tcPr>
            <w:tcW w:w="1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July 31, 2023</w:t>
            </w:r>
          </w:p>
        </w:tc>
        <w:tc>
          <w:tcPr>
            <w:tcW w:w="100" w:type="dxa"/>
            <w:vAlign w:val="bottom"/>
          </w:tcPr>
          <w:p>
            <w:pPr>
              <w:spacing w:after="0"/>
              <w:rPr>
                <w:sz w:val="16"/>
                <w:szCs w:val="16"/>
                <w:color w:val="auto"/>
              </w:rPr>
            </w:pP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Type:</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96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Design</w:t>
            </w: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1,257</w:t>
            </w:r>
          </w:p>
        </w:tc>
        <w:tc>
          <w:tcPr>
            <w:tcW w:w="120" w:type="dxa"/>
            <w:vAlign w:val="bottom"/>
          </w:tcPr>
          <w:p>
            <w:pPr>
              <w:spacing w:after="0"/>
              <w:rPr>
                <w:sz w:val="13"/>
                <w:szCs w:val="13"/>
                <w:color w:val="auto"/>
              </w:rPr>
            </w:pPr>
          </w:p>
        </w:tc>
        <w:tc>
          <w:tcPr>
            <w:tcW w:w="180" w:type="dxa"/>
            <w:vAlign w:val="bottom"/>
          </w:tcPr>
          <w:p>
            <w:pPr>
              <w:jc w:val="right"/>
              <w:ind w:right="21"/>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103</w:t>
            </w:r>
          </w:p>
        </w:tc>
        <w:tc>
          <w:tcPr>
            <w:tcW w:w="114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1,154</w:t>
            </w:r>
          </w:p>
        </w:tc>
        <w:tc>
          <w:tcPr>
            <w:tcW w:w="100" w:type="dxa"/>
            <w:vAlign w:val="bottom"/>
          </w:tcPr>
          <w:p>
            <w:pPr>
              <w:spacing w:after="0"/>
              <w:rPr>
                <w:sz w:val="13"/>
                <w:szCs w:val="13"/>
                <w:color w:val="auto"/>
              </w:rPr>
            </w:pPr>
          </w:p>
        </w:tc>
        <w:tc>
          <w:tcPr>
            <w:tcW w:w="32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growth in AEC</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collections, AutoCAD Family, and AutoCAD LT.</w:t>
            </w:r>
          </w:p>
        </w:tc>
        <w:tc>
          <w:tcPr>
            <w:tcW w:w="0" w:type="dxa"/>
            <w:vAlign w:val="bottom"/>
          </w:tcPr>
          <w:p>
            <w:pPr>
              <w:spacing w:after="0"/>
              <w:rPr>
                <w:sz w:val="1"/>
                <w:szCs w:val="1"/>
                <w:color w:val="auto"/>
              </w:rPr>
            </w:pPr>
          </w:p>
        </w:tc>
      </w:tr>
      <w:tr>
        <w:trPr>
          <w:trHeight w:val="160"/>
        </w:trPr>
        <w:tc>
          <w:tcPr>
            <w:tcW w:w="296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Make</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32</w:t>
            </w:r>
          </w:p>
        </w:tc>
        <w:tc>
          <w:tcPr>
            <w:tcW w:w="1140" w:type="dxa"/>
            <w:vAlign w:val="bottom"/>
            <w:gridSpan w:val="2"/>
            <w:shd w:val="clear" w:color="auto" w:fill="CCEEFF"/>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3"/>
                <w:szCs w:val="13"/>
                <w:color w:val="auto"/>
              </w:rPr>
            </w:pPr>
          </w:p>
        </w:tc>
        <w:tc>
          <w:tcPr>
            <w:tcW w:w="32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Increase primarily due to growth in revenue from</w:t>
            </w:r>
          </w:p>
        </w:tc>
        <w:tc>
          <w:tcPr>
            <w:tcW w:w="0" w:type="dxa"/>
            <w:vAlign w:val="bottom"/>
          </w:tcPr>
          <w:p>
            <w:pPr>
              <w:spacing w:after="0"/>
              <w:rPr>
                <w:sz w:val="1"/>
                <w:szCs w:val="1"/>
                <w:color w:val="auto"/>
              </w:rPr>
            </w:pPr>
          </w:p>
        </w:tc>
      </w:tr>
      <w:tr>
        <w:trPr>
          <w:trHeight w:val="211"/>
        </w:trPr>
        <w:tc>
          <w:tcPr>
            <w:tcW w:w="2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Autodesk Construction Cloud and Fusion.</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1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10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180" w:type="dxa"/>
            <w:vAlign w:val="bottom"/>
          </w:tcPr>
          <w:p>
            <w:pPr>
              <w:spacing w:after="0"/>
              <w:rPr>
                <w:sz w:val="16"/>
                <w:szCs w:val="16"/>
                <w:color w:val="auto"/>
              </w:rPr>
            </w:pPr>
          </w:p>
        </w:tc>
        <w:tc>
          <w:tcPr>
            <w:tcW w:w="17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20" w:type="dxa"/>
            <w:vAlign w:val="bottom"/>
          </w:tcPr>
          <w:p>
            <w:pPr>
              <w:spacing w:after="0"/>
              <w:rPr>
                <w:sz w:val="16"/>
                <w:szCs w:val="16"/>
                <w:color w:val="auto"/>
              </w:rPr>
            </w:pPr>
          </w:p>
        </w:tc>
        <w:tc>
          <w:tcPr>
            <w:tcW w:w="1240" w:type="dxa"/>
            <w:vAlign w:val="bottom"/>
            <w:vMerge w:val="restart"/>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1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40" w:type="dxa"/>
            <w:vAlign w:val="bottom"/>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540" w:type="dxa"/>
            <w:vAlign w:val="bottom"/>
            <w:tcBorders>
              <w:top w:val="single" w:sz="8" w:color="auto"/>
            </w:tcBorders>
            <w:vMerge w:val="restart"/>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tcBorders>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2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line="20" w:lineRule="exact"/>
              <w:rPr>
                <w:sz w:val="1"/>
                <w:szCs w:val="1"/>
                <w:color w:val="auto"/>
              </w:rPr>
            </w:pPr>
          </w:p>
        </w:tc>
      </w:tr>
      <w:tr>
        <w:trPr>
          <w:trHeight w:val="190"/>
        </w:trPr>
        <w:tc>
          <w:tcPr>
            <w:tcW w:w="2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July 31, 2024</w:t>
            </w:r>
          </w:p>
        </w:tc>
        <w:tc>
          <w:tcPr>
            <w:tcW w:w="1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July 31, 2023</w:t>
            </w:r>
          </w:p>
        </w:tc>
        <w:tc>
          <w:tcPr>
            <w:tcW w:w="100" w:type="dxa"/>
            <w:vAlign w:val="bottom"/>
          </w:tcPr>
          <w:p>
            <w:pPr>
              <w:spacing w:after="0"/>
              <w:rPr>
                <w:sz w:val="16"/>
                <w:szCs w:val="16"/>
                <w:color w:val="auto"/>
              </w:rPr>
            </w:pP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Type:</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96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Design</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20" w:type="dxa"/>
            <w:vAlign w:val="bottom"/>
          </w:tcPr>
          <w:p>
            <w:pPr>
              <w:spacing w:after="0"/>
              <w:rPr>
                <w:sz w:val="13"/>
                <w:szCs w:val="13"/>
                <w:color w:val="auto"/>
              </w:rPr>
            </w:pPr>
          </w:p>
        </w:tc>
        <w:tc>
          <w:tcPr>
            <w:tcW w:w="18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100" w:type="dxa"/>
            <w:vAlign w:val="bottom"/>
          </w:tcPr>
          <w:p>
            <w:pPr>
              <w:spacing w:after="0"/>
              <w:rPr>
                <w:sz w:val="13"/>
                <w:szCs w:val="13"/>
                <w:color w:val="auto"/>
              </w:rPr>
            </w:pPr>
          </w:p>
        </w:tc>
        <w:tc>
          <w:tcPr>
            <w:tcW w:w="32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growth in AEC</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collections, AutoCAD Family, and EBA offerings.</w:t>
            </w:r>
          </w:p>
        </w:tc>
        <w:tc>
          <w:tcPr>
            <w:tcW w:w="0" w:type="dxa"/>
            <w:vAlign w:val="bottom"/>
          </w:tcPr>
          <w:p>
            <w:pPr>
              <w:spacing w:after="0"/>
              <w:rPr>
                <w:sz w:val="1"/>
                <w:szCs w:val="1"/>
                <w:color w:val="auto"/>
              </w:rPr>
            </w:pPr>
          </w:p>
        </w:tc>
      </w:tr>
      <w:tr>
        <w:trPr>
          <w:trHeight w:val="160"/>
        </w:trPr>
        <w:tc>
          <w:tcPr>
            <w:tcW w:w="296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Make</w:t>
            </w:r>
          </w:p>
        </w:tc>
        <w:tc>
          <w:tcPr>
            <w:tcW w:w="1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1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CEEFF"/>
          </w:tcPr>
          <w:p>
            <w:pPr>
              <w:spacing w:after="0"/>
              <w:rPr>
                <w:sz w:val="13"/>
                <w:szCs w:val="13"/>
                <w:color w:val="auto"/>
              </w:rPr>
            </w:pPr>
          </w:p>
        </w:tc>
        <w:tc>
          <w:tcPr>
            <w:tcW w:w="32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Increase primarily due to growth in revenue from</w:t>
            </w:r>
          </w:p>
        </w:tc>
        <w:tc>
          <w:tcPr>
            <w:tcW w:w="0" w:type="dxa"/>
            <w:vAlign w:val="bottom"/>
          </w:tcPr>
          <w:p>
            <w:pPr>
              <w:spacing w:after="0"/>
              <w:rPr>
                <w:sz w:val="1"/>
                <w:szCs w:val="1"/>
                <w:color w:val="auto"/>
              </w:rPr>
            </w:pPr>
          </w:p>
        </w:tc>
      </w:tr>
      <w:tr>
        <w:trPr>
          <w:trHeight w:val="211"/>
        </w:trPr>
        <w:tc>
          <w:tcPr>
            <w:tcW w:w="2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Autodesk Construction Cloud and Fusion.</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1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w:t>
            </w:r>
          </w:p>
        </w:tc>
        <w:tc>
          <w:tcPr>
            <w:tcW w:w="10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Cost of Revenue and Operating Expenses</w:t>
      </w:r>
    </w:p>
    <w:p>
      <w:pPr>
        <w:spacing w:after="0" w:line="242"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Cost of subscription and maintenance revenue includes the labor costs of providing product support to our subscription and maintenance customers, SaaS vendor costs and allocated IT costs, facilities costs, professional services fees related to operating our network and cloud infrastructure, royalties, depreciation expense and operating lease payments associated with computer equipment, data center costs, salaries, related expenses of network operations, stock-based compensation expense, and gains and losses on our operating expense cash flow hedges.</w:t>
      </w:r>
    </w:p>
    <w:p>
      <w:pPr>
        <w:spacing w:after="0" w:line="210" w:lineRule="exact"/>
        <w:rPr>
          <w:sz w:val="20"/>
          <w:szCs w:val="20"/>
          <w:color w:val="auto"/>
        </w:rPr>
      </w:pPr>
    </w:p>
    <w:p>
      <w:pPr>
        <w:jc w:val="both"/>
        <w:ind w:right="320" w:firstLine="395"/>
        <w:spacing w:after="0" w:line="256" w:lineRule="auto"/>
        <w:rPr>
          <w:sz w:val="20"/>
          <w:szCs w:val="20"/>
          <w:color w:val="auto"/>
        </w:rPr>
      </w:pPr>
      <w:r>
        <w:rPr>
          <w:rFonts w:ascii="Times New Roman" w:cs="Times New Roman" w:eastAsia="Times New Roman" w:hAnsi="Times New Roman"/>
          <w:sz w:val="18"/>
          <w:szCs w:val="18"/>
          <w:color w:val="auto"/>
        </w:rPr>
        <w:t>Cost of other revenue includes labor costs associated with product setup, costs of consulting and training services contracts, and collaborative project management services contracts. Cost of other revenue also includes stock-based compensation expense, overhead charges, allocated IT and facilities costs, professional services fees, and gains and losses on our operating expense cash flow hedges.</w:t>
      </w:r>
    </w:p>
    <w:p>
      <w:pPr>
        <w:spacing w:after="0" w:line="206"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Cost of revenue, at least over the near term, is affected by labor costs, hosting costs for our cloud offerings, the volume and mix of product sales, fluctuations in consulting costs, amortization of developed technology, new customer support offerings, royalty rates for licensed technology embedded in our products, stock-based compensation expense, and gains and losses on our operating expense cash flow hedges.</w:t>
      </w:r>
    </w:p>
    <w:p>
      <w:pPr>
        <w:spacing w:after="0" w:line="206"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Marketing and sales expenses include salaries, bonuses, benefits, and stock-based compensation expense for our marketing and sales employees, the expense of travel, entertainment, and training for such personnel, sales and dealer commissions, and the costs of programs aimed at increasing revenue, such as advertising, trade shows and expositions, and various sales and promotional programs. Marketing and sales expenses also include SaaS vendor costs and allocated IT costs, payment processing fees, the cost of supplies and equipment, gains and losses on our operating expense cash flow hedges, facilities costs, and labor costs associated with sales and order management.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69" w:right="399" w:bottom="1440" w:gutter="0" w:footer="0" w:header="0"/>
        </w:sectPr>
      </w:pPr>
    </w:p>
    <w:bookmarkStart w:id="46" w:name="page47"/>
    <w:bookmarkEnd w:id="46"/>
    <w:p>
      <w:pPr>
        <w:ind w:right="100" w:firstLine="434"/>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SaaS vendor costs and allocated IT costs, gains and losses on our operating expense cash flow hedges, and facilities costs.</w:t>
      </w:r>
    </w:p>
    <w:p>
      <w:pPr>
        <w:spacing w:after="0" w:line="210" w:lineRule="exact"/>
        <w:rPr>
          <w:sz w:val="20"/>
          <w:szCs w:val="20"/>
          <w:color w:val="auto"/>
        </w:rPr>
      </w:pPr>
    </w:p>
    <w:p>
      <w:pPr>
        <w:ind w:right="20" w:firstLine="434"/>
        <w:spacing w:after="0" w:line="252" w:lineRule="auto"/>
        <w:rPr>
          <w:sz w:val="20"/>
          <w:szCs w:val="20"/>
          <w:color w:val="auto"/>
        </w:rPr>
      </w:pPr>
      <w:r>
        <w:rPr>
          <w:rFonts w:ascii="Times New Roman" w:cs="Times New Roman" w:eastAsia="Times New Roman" w:hAnsi="Times New Roman"/>
          <w:sz w:val="18"/>
          <w:szCs w:val="18"/>
          <w:color w:val="auto"/>
        </w:rPr>
        <w:t>General and administrative expenses include salaries, bonuses, benefits, and stock-based compensation expense for our CEO, finance, human resources, and legal employees, as well as professional fees for legal and accounting services, SaaS vendor costs and net IT costs, certain foreign business taxes, gains and losses on our operating expense cash flow hedges, expense of travel, entertainment, and training, facilities costs, acquisition-related costs, and the cost of supplies and equipment.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20" w:type="dxa"/>
            <w:vAlign w:val="bottom"/>
          </w:tcPr>
          <w:p>
            <w:pPr>
              <w:spacing w:after="0"/>
              <w:rPr>
                <w:sz w:val="13"/>
                <w:szCs w:val="13"/>
                <w:color w:val="auto"/>
              </w:rPr>
            </w:pPr>
          </w:p>
        </w:tc>
        <w:tc>
          <w:tcPr>
            <w:tcW w:w="152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60" w:type="dxa"/>
            <w:vAlign w:val="bottom"/>
          </w:tcPr>
          <w:p>
            <w:pPr>
              <w:spacing w:after="0"/>
              <w:rPr>
                <w:sz w:val="13"/>
                <w:szCs w:val="13"/>
                <w:color w:val="auto"/>
              </w:rPr>
            </w:pPr>
          </w:p>
        </w:tc>
        <w:tc>
          <w:tcPr>
            <w:tcW w:w="70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83"/>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20" w:type="dxa"/>
            <w:vAlign w:val="bottom"/>
          </w:tcPr>
          <w:p>
            <w:pPr>
              <w:spacing w:after="0"/>
              <w:rPr>
                <w:sz w:val="24"/>
                <w:szCs w:val="24"/>
                <w:color w:val="auto"/>
              </w:rPr>
            </w:pPr>
          </w:p>
        </w:tc>
        <w:tc>
          <w:tcPr>
            <w:tcW w:w="58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July 31, 2023</w:t>
            </w:r>
          </w:p>
        </w:tc>
        <w:tc>
          <w:tcPr>
            <w:tcW w:w="120" w:type="dxa"/>
            <w:vAlign w:val="bottom"/>
          </w:tcPr>
          <w:p>
            <w:pPr>
              <w:spacing w:after="0"/>
              <w:rPr>
                <w:sz w:val="24"/>
                <w:szCs w:val="24"/>
                <w:color w:val="auto"/>
              </w:rPr>
            </w:pPr>
          </w:p>
        </w:tc>
        <w:tc>
          <w:tcPr>
            <w:tcW w:w="482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24"/>
        </w:trPr>
        <w:tc>
          <w:tcPr>
            <w:tcW w:w="2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Subscription and maintenance</w:t>
            </w:r>
          </w:p>
        </w:tc>
        <w:tc>
          <w:tcPr>
            <w:tcW w:w="1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5</w:t>
            </w:r>
          </w:p>
        </w:tc>
        <w:tc>
          <w:tcPr>
            <w:tcW w:w="84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13"/>
                <w:szCs w:val="13"/>
                <w:color w:val="auto"/>
              </w:rPr>
            </w:pPr>
          </w:p>
        </w:tc>
        <w:tc>
          <w:tcPr>
            <w:tcW w:w="1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employee related costs driven by higher</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headcount.</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8"/>
                <w:szCs w:val="18"/>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primarily due to decrease in stock-based compensation expense.</w:t>
            </w: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Amortization of developed</w:t>
            </w:r>
          </w:p>
        </w:tc>
        <w:tc>
          <w:tcPr>
            <w:tcW w:w="14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11</w:t>
            </w:r>
          </w:p>
        </w:tc>
        <w:tc>
          <w:tcPr>
            <w:tcW w:w="84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is primarily due to amortization of acquired developed</w:t>
            </w:r>
          </w:p>
        </w:tc>
        <w:tc>
          <w:tcPr>
            <w:tcW w:w="0" w:type="dxa"/>
            <w:vAlign w:val="bottom"/>
          </w:tcPr>
          <w:p>
            <w:pPr>
              <w:spacing w:after="0"/>
              <w:rPr>
                <w:sz w:val="1"/>
                <w:szCs w:val="1"/>
                <w:color w:val="auto"/>
              </w:rPr>
            </w:pPr>
          </w:p>
        </w:tc>
      </w:tr>
      <w:tr>
        <w:trPr>
          <w:trHeight w:val="158"/>
        </w:trPr>
        <w:tc>
          <w:tcPr>
            <w:tcW w:w="2840" w:type="dxa"/>
            <w:vAlign w:val="bottom"/>
          </w:tcPr>
          <w:p>
            <w:pPr>
              <w:ind w:left="500"/>
              <w:spacing w:after="0" w:line="158" w:lineRule="exact"/>
              <w:rPr>
                <w:sz w:val="20"/>
                <w:szCs w:val="20"/>
                <w:color w:val="auto"/>
              </w:rPr>
            </w:pPr>
            <w:r>
              <w:rPr>
                <w:rFonts w:ascii="Times New Roman" w:cs="Times New Roman" w:eastAsia="Times New Roman" w:hAnsi="Times New Roman"/>
                <w:sz w:val="16"/>
                <w:szCs w:val="16"/>
                <w:color w:val="auto"/>
              </w:rPr>
              <w:t>technologies</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technologies related to acquisitions in fiscal 2025 and the second half of</w:t>
            </w:r>
          </w:p>
        </w:tc>
        <w:tc>
          <w:tcPr>
            <w:tcW w:w="0" w:type="dxa"/>
            <w:vAlign w:val="bottom"/>
          </w:tcPr>
          <w:p>
            <w:pPr>
              <w:spacing w:after="0"/>
              <w:rPr>
                <w:sz w:val="1"/>
                <w:szCs w:val="1"/>
                <w:color w:val="auto"/>
              </w:rPr>
            </w:pPr>
          </w:p>
        </w:tc>
      </w:tr>
      <w:tr>
        <w:trPr>
          <w:trHeight w:val="209"/>
        </w:trPr>
        <w:tc>
          <w:tcPr>
            <w:tcW w:w="2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fiscal 2024.</w:t>
            </w:r>
          </w:p>
        </w:tc>
        <w:tc>
          <w:tcPr>
            <w:tcW w:w="0" w:type="dxa"/>
            <w:vAlign w:val="bottom"/>
          </w:tcPr>
          <w:p>
            <w:pPr>
              <w:spacing w:after="0"/>
              <w:rPr>
                <w:sz w:val="1"/>
                <w:szCs w:val="1"/>
                <w:color w:val="auto"/>
              </w:rPr>
            </w:pPr>
          </w:p>
        </w:tc>
      </w:tr>
      <w:tr>
        <w:trPr>
          <w:trHeight w:val="231"/>
        </w:trPr>
        <w:tc>
          <w:tcPr>
            <w:tcW w:w="2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cost of revenue</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Borders>
              <w:bottom w:val="single" w:sz="8" w:color="CCEEFF"/>
            </w:tcBorders>
            <w:shd w:val="clear" w:color="auto" w:fill="CCEEFF"/>
          </w:tcPr>
          <w:p>
            <w:pPr>
              <w:spacing w:after="0"/>
              <w:rPr>
                <w:sz w:val="19"/>
                <w:szCs w:val="19"/>
                <w:color w:val="auto"/>
              </w:rPr>
            </w:pPr>
          </w:p>
        </w:tc>
        <w:tc>
          <w:tcPr>
            <w:tcW w:w="4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Marketing and sales</w:t>
            </w:r>
          </w:p>
        </w:tc>
        <w:tc>
          <w:tcPr>
            <w:tcW w:w="1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480</w:t>
            </w:r>
          </w:p>
        </w:tc>
        <w:tc>
          <w:tcPr>
            <w:tcW w:w="12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31</w:t>
            </w:r>
          </w:p>
        </w:tc>
        <w:tc>
          <w:tcPr>
            <w:tcW w:w="84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3"/>
                <w:szCs w:val="13"/>
                <w:color w:val="auto"/>
              </w:rPr>
            </w:pPr>
          </w:p>
        </w:tc>
        <w:tc>
          <w:tcPr>
            <w:tcW w:w="1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449</w:t>
            </w: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employee related costs mostly related to internal</w:t>
            </w: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sales commissions, headcount growth and merit increases partially offset</w:t>
            </w: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by a decrease in stock-based compensation expense. Increase also due to</w:t>
            </w: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sales commissions to Solution Providers due to the recognition of these</w:t>
            </w: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costs to marketing and sales expense under the new transaction model, as</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well as an increase in cloud hosting costs.</w:t>
            </w:r>
          </w:p>
        </w:tc>
        <w:tc>
          <w:tcPr>
            <w:tcW w:w="0" w:type="dxa"/>
            <w:vAlign w:val="bottom"/>
          </w:tcPr>
          <w:p>
            <w:pPr>
              <w:spacing w:after="0"/>
              <w:rPr>
                <w:sz w:val="1"/>
                <w:szCs w:val="1"/>
                <w:color w:val="auto"/>
              </w:rPr>
            </w:pPr>
          </w:p>
        </w:tc>
      </w:tr>
      <w:tr>
        <w:trPr>
          <w:trHeight w:val="160"/>
        </w:trPr>
        <w:tc>
          <w:tcPr>
            <w:tcW w:w="284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368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
              <w:spacing w:after="0" w:line="160" w:lineRule="exact"/>
              <w:rPr>
                <w:sz w:val="20"/>
                <w:szCs w:val="20"/>
                <w:color w:val="auto"/>
              </w:rPr>
            </w:pPr>
            <w:r>
              <w:rPr>
                <w:rFonts w:ascii="Times New Roman" w:cs="Times New Roman" w:eastAsia="Times New Roman" w:hAnsi="Times New Roman"/>
                <w:sz w:val="16"/>
                <w:szCs w:val="16"/>
                <w:color w:val="auto"/>
              </w:rPr>
              <w:t>13</w:t>
            </w:r>
          </w:p>
        </w:tc>
        <w:tc>
          <w:tcPr>
            <w:tcW w:w="840" w:type="dxa"/>
            <w:vAlign w:val="bottom"/>
            <w:gridSpan w:val="2"/>
            <w:shd w:val="clear" w:color="auto" w:fill="CCEEFF"/>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355</w:t>
            </w:r>
          </w:p>
        </w:tc>
        <w:tc>
          <w:tcPr>
            <w:tcW w:w="120" w:type="dxa"/>
            <w:vAlign w:val="bottom"/>
            <w:shd w:val="clear" w:color="auto" w:fill="CCEEFF"/>
          </w:tcPr>
          <w:p>
            <w:pPr>
              <w:spacing w:after="0"/>
              <w:rPr>
                <w:sz w:val="13"/>
                <w:szCs w:val="13"/>
                <w:color w:val="auto"/>
              </w:rPr>
            </w:pPr>
          </w:p>
        </w:tc>
        <w:tc>
          <w:tcPr>
            <w:tcW w:w="482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Increase primarily due to employee-related costs driven by higher</w:t>
            </w:r>
          </w:p>
        </w:tc>
        <w:tc>
          <w:tcPr>
            <w:tcW w:w="0" w:type="dxa"/>
            <w:vAlign w:val="bottom"/>
          </w:tcPr>
          <w:p>
            <w:pPr>
              <w:spacing w:after="0"/>
              <w:rPr>
                <w:sz w:val="1"/>
                <w:szCs w:val="1"/>
                <w:color w:val="auto"/>
              </w:rPr>
            </w:pPr>
          </w:p>
        </w:tc>
      </w:tr>
      <w:tr>
        <w:trPr>
          <w:trHeight w:val="158"/>
        </w:trPr>
        <w:tc>
          <w:tcPr>
            <w:tcW w:w="2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headcount and merit increases offset by a decrease in stock-based</w:t>
            </w:r>
          </w:p>
        </w:tc>
        <w:tc>
          <w:tcPr>
            <w:tcW w:w="0" w:type="dxa"/>
            <w:vAlign w:val="bottom"/>
          </w:tcPr>
          <w:p>
            <w:pPr>
              <w:spacing w:after="0"/>
              <w:rPr>
                <w:sz w:val="1"/>
                <w:szCs w:val="1"/>
                <w:color w:val="auto"/>
              </w:rPr>
            </w:pPr>
          </w:p>
        </w:tc>
      </w:tr>
      <w:tr>
        <w:trPr>
          <w:trHeight w:val="158"/>
        </w:trPr>
        <w:tc>
          <w:tcPr>
            <w:tcW w:w="2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compensation expense. Increase also due to an increase in cloud hosting</w:t>
            </w:r>
          </w:p>
        </w:tc>
        <w:tc>
          <w:tcPr>
            <w:tcW w:w="0" w:type="dxa"/>
            <w:vAlign w:val="bottom"/>
          </w:tcPr>
          <w:p>
            <w:pPr>
              <w:spacing w:after="0"/>
              <w:rPr>
                <w:sz w:val="1"/>
                <w:szCs w:val="1"/>
                <w:color w:val="auto"/>
              </w:rPr>
            </w:pPr>
          </w:p>
        </w:tc>
      </w:tr>
      <w:tr>
        <w:trPr>
          <w:trHeight w:val="211"/>
        </w:trPr>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w:t>
            </w: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20</w:t>
            </w:r>
          </w:p>
        </w:tc>
        <w:tc>
          <w:tcPr>
            <w:tcW w:w="84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employee-related costs driven by higher</w:t>
            </w: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headcount and merit increases as well as an increase in acquisition related</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cloud hosting costs.</w:t>
            </w:r>
          </w:p>
        </w:tc>
        <w:tc>
          <w:tcPr>
            <w:tcW w:w="0" w:type="dxa"/>
            <w:vAlign w:val="bottom"/>
          </w:tcPr>
          <w:p>
            <w:pPr>
              <w:spacing w:after="0"/>
              <w:rPr>
                <w:sz w:val="1"/>
                <w:szCs w:val="1"/>
                <w:color w:val="auto"/>
              </w:rPr>
            </w:pPr>
          </w:p>
        </w:tc>
      </w:tr>
      <w:tr>
        <w:trPr>
          <w:trHeight w:val="160"/>
        </w:trPr>
        <w:tc>
          <w:tcPr>
            <w:tcW w:w="284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Amortization of purchased intangibles</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
              <w:spacing w:after="0" w:line="160" w:lineRule="exact"/>
              <w:rPr>
                <w:sz w:val="20"/>
                <w:szCs w:val="20"/>
                <w:color w:val="auto"/>
              </w:rPr>
            </w:pPr>
            <w:r>
              <w:rPr>
                <w:rFonts w:ascii="Times New Roman" w:cs="Times New Roman" w:eastAsia="Times New Roman" w:hAnsi="Times New Roman"/>
                <w:sz w:val="16"/>
                <w:szCs w:val="16"/>
                <w:color w:val="auto"/>
              </w:rPr>
              <w:t>2</w:t>
            </w:r>
          </w:p>
        </w:tc>
        <w:tc>
          <w:tcPr>
            <w:tcW w:w="840" w:type="dxa"/>
            <w:vAlign w:val="bottom"/>
            <w:gridSpan w:val="2"/>
            <w:shd w:val="clear" w:color="auto" w:fill="CCEEFF"/>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3"/>
                <w:szCs w:val="13"/>
                <w:color w:val="auto"/>
              </w:rPr>
            </w:pPr>
          </w:p>
        </w:tc>
        <w:tc>
          <w:tcPr>
            <w:tcW w:w="482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Increase is primarily due to amortization of intangible assets related to</w:t>
            </w:r>
          </w:p>
        </w:tc>
        <w:tc>
          <w:tcPr>
            <w:tcW w:w="0" w:type="dxa"/>
            <w:vAlign w:val="bottom"/>
          </w:tcPr>
          <w:p>
            <w:pPr>
              <w:spacing w:after="0"/>
              <w:rPr>
                <w:sz w:val="1"/>
                <w:szCs w:val="1"/>
                <w:color w:val="auto"/>
              </w:rPr>
            </w:pPr>
          </w:p>
        </w:tc>
      </w:tr>
      <w:tr>
        <w:trPr>
          <w:trHeight w:val="158"/>
        </w:trPr>
        <w:tc>
          <w:tcPr>
            <w:tcW w:w="2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acquisitions in fiscal 2025 offset by the full amortization of previously</w:t>
            </w:r>
          </w:p>
        </w:tc>
        <w:tc>
          <w:tcPr>
            <w:tcW w:w="0" w:type="dxa"/>
            <w:vAlign w:val="bottom"/>
          </w:tcPr>
          <w:p>
            <w:pPr>
              <w:spacing w:after="0"/>
              <w:rPr>
                <w:sz w:val="1"/>
                <w:szCs w:val="1"/>
                <w:color w:val="auto"/>
              </w:rPr>
            </w:pPr>
          </w:p>
        </w:tc>
      </w:tr>
      <w:tr>
        <w:trPr>
          <w:trHeight w:val="211"/>
        </w:trPr>
        <w:tc>
          <w:tcPr>
            <w:tcW w:w="2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intangible assets.</w:t>
            </w:r>
          </w:p>
        </w:tc>
        <w:tc>
          <w:tcPr>
            <w:tcW w:w="0" w:type="dxa"/>
            <w:vAlign w:val="bottom"/>
          </w:tcPr>
          <w:p>
            <w:pPr>
              <w:spacing w:after="0"/>
              <w:rPr>
                <w:sz w:val="1"/>
                <w:szCs w:val="1"/>
                <w:color w:val="auto"/>
              </w:rPr>
            </w:pPr>
          </w:p>
        </w:tc>
      </w:tr>
      <w:tr>
        <w:trPr>
          <w:trHeight w:val="202"/>
        </w:trPr>
        <w:tc>
          <w:tcPr>
            <w:tcW w:w="28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66</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840" w:type="dxa"/>
            <w:vAlign w:val="bottom"/>
          </w:tcPr>
          <w:p>
            <w:pPr>
              <w:spacing w:after="0"/>
              <w:rPr>
                <w:sz w:val="24"/>
                <w:szCs w:val="24"/>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120" w:type="dxa"/>
            <w:vAlign w:val="bottom"/>
          </w:tcPr>
          <w:p>
            <w:pPr>
              <w:spacing w:after="0"/>
              <w:rPr>
                <w:sz w:val="24"/>
                <w:szCs w:val="24"/>
                <w:color w:val="auto"/>
              </w:rPr>
            </w:pPr>
          </w:p>
        </w:tc>
        <w:tc>
          <w:tcPr>
            <w:tcW w:w="15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1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2840" w:type="dxa"/>
            <w:vAlign w:val="bottom"/>
          </w:tcPr>
          <w:p>
            <w:pPr>
              <w:spacing w:after="0"/>
              <w:rPr>
                <w:sz w:val="24"/>
                <w:szCs w:val="24"/>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20" w:type="dxa"/>
            <w:vAlign w:val="bottom"/>
          </w:tcPr>
          <w:p>
            <w:pPr>
              <w:spacing w:after="0"/>
              <w:rPr>
                <w:sz w:val="24"/>
                <w:szCs w:val="24"/>
                <w:color w:val="auto"/>
              </w:rPr>
            </w:pPr>
          </w:p>
        </w:tc>
        <w:tc>
          <w:tcPr>
            <w:tcW w:w="58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July 31, 2023</w:t>
            </w:r>
          </w:p>
        </w:tc>
        <w:tc>
          <w:tcPr>
            <w:tcW w:w="120" w:type="dxa"/>
            <w:vAlign w:val="bottom"/>
          </w:tcPr>
          <w:p>
            <w:pPr>
              <w:spacing w:after="0"/>
              <w:rPr>
                <w:sz w:val="24"/>
                <w:szCs w:val="24"/>
                <w:color w:val="auto"/>
              </w:rPr>
            </w:pPr>
          </w:p>
        </w:tc>
        <w:tc>
          <w:tcPr>
            <w:tcW w:w="482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24"/>
        </w:trPr>
        <w:tc>
          <w:tcPr>
            <w:tcW w:w="2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Subscription and maintenance</w:t>
            </w:r>
          </w:p>
        </w:tc>
        <w:tc>
          <w:tcPr>
            <w:tcW w:w="1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9</w:t>
            </w:r>
          </w:p>
        </w:tc>
        <w:tc>
          <w:tcPr>
            <w:tcW w:w="84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13"/>
                <w:szCs w:val="13"/>
                <w:color w:val="auto"/>
              </w:rPr>
            </w:pPr>
          </w:p>
        </w:tc>
        <w:tc>
          <w:tcPr>
            <w:tcW w:w="1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191</w:t>
            </w: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employee-related costs driven by higher</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headcount.</w:t>
            </w:r>
          </w:p>
        </w:tc>
        <w:tc>
          <w:tcPr>
            <w:tcW w:w="0" w:type="dxa"/>
            <w:vAlign w:val="bottom"/>
          </w:tcPr>
          <w:p>
            <w:pPr>
              <w:spacing w:after="0"/>
              <w:rPr>
                <w:sz w:val="1"/>
                <w:szCs w:val="1"/>
                <w:color w:val="auto"/>
              </w:rPr>
            </w:pPr>
          </w:p>
        </w:tc>
      </w:tr>
      <w:tr>
        <w:trPr>
          <w:trHeight w:val="160"/>
        </w:trPr>
        <w:tc>
          <w:tcPr>
            <w:tcW w:w="284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w:t>
            </w:r>
          </w:p>
        </w:tc>
        <w:tc>
          <w:tcPr>
            <w:tcW w:w="840" w:type="dxa"/>
            <w:vAlign w:val="bottom"/>
            <w:gridSpan w:val="2"/>
            <w:shd w:val="clear" w:color="auto" w:fill="CCEEFF"/>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3"/>
                <w:szCs w:val="13"/>
                <w:color w:val="auto"/>
              </w:rPr>
            </w:pPr>
          </w:p>
        </w:tc>
        <w:tc>
          <w:tcPr>
            <w:tcW w:w="482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w w:val="99"/>
              </w:rPr>
              <w:t>Decrease primarily due to a decrease in professional fees and cloud hosting</w:t>
            </w:r>
          </w:p>
        </w:tc>
        <w:tc>
          <w:tcPr>
            <w:tcW w:w="0" w:type="dxa"/>
            <w:vAlign w:val="bottom"/>
          </w:tcPr>
          <w:p>
            <w:pPr>
              <w:spacing w:after="0"/>
              <w:rPr>
                <w:sz w:val="1"/>
                <w:szCs w:val="1"/>
                <w:color w:val="auto"/>
              </w:rPr>
            </w:pPr>
          </w:p>
        </w:tc>
      </w:tr>
      <w:tr>
        <w:trPr>
          <w:trHeight w:val="211"/>
        </w:trPr>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w:t>
            </w: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Amortization of developed</w:t>
            </w:r>
          </w:p>
        </w:tc>
        <w:tc>
          <w:tcPr>
            <w:tcW w:w="14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17</w:t>
            </w:r>
          </w:p>
        </w:tc>
        <w:tc>
          <w:tcPr>
            <w:tcW w:w="84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rPr>
              <w:t>77 %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is primarily due to amortization of acquired developed</w:t>
            </w:r>
          </w:p>
        </w:tc>
        <w:tc>
          <w:tcPr>
            <w:tcW w:w="0" w:type="dxa"/>
            <w:vAlign w:val="bottom"/>
          </w:tcPr>
          <w:p>
            <w:pPr>
              <w:spacing w:after="0"/>
              <w:rPr>
                <w:sz w:val="1"/>
                <w:szCs w:val="1"/>
                <w:color w:val="auto"/>
              </w:rPr>
            </w:pPr>
          </w:p>
        </w:tc>
      </w:tr>
      <w:tr>
        <w:trPr>
          <w:trHeight w:val="158"/>
        </w:trPr>
        <w:tc>
          <w:tcPr>
            <w:tcW w:w="2840" w:type="dxa"/>
            <w:vAlign w:val="bottom"/>
          </w:tcPr>
          <w:p>
            <w:pPr>
              <w:ind w:left="500"/>
              <w:spacing w:after="0" w:line="158" w:lineRule="exact"/>
              <w:rPr>
                <w:sz w:val="20"/>
                <w:szCs w:val="20"/>
                <w:color w:val="auto"/>
              </w:rPr>
            </w:pPr>
            <w:r>
              <w:rPr>
                <w:rFonts w:ascii="Times New Roman" w:cs="Times New Roman" w:eastAsia="Times New Roman" w:hAnsi="Times New Roman"/>
                <w:sz w:val="16"/>
                <w:szCs w:val="16"/>
                <w:color w:val="auto"/>
              </w:rPr>
              <w:t>technologies</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technologies related to acquisitions in fiscal 2025 and the second half of</w:t>
            </w:r>
          </w:p>
        </w:tc>
        <w:tc>
          <w:tcPr>
            <w:tcW w:w="0" w:type="dxa"/>
            <w:vAlign w:val="bottom"/>
          </w:tcPr>
          <w:p>
            <w:pPr>
              <w:spacing w:after="0"/>
              <w:rPr>
                <w:sz w:val="1"/>
                <w:szCs w:val="1"/>
                <w:color w:val="auto"/>
              </w:rPr>
            </w:pPr>
          </w:p>
        </w:tc>
      </w:tr>
      <w:tr>
        <w:trPr>
          <w:trHeight w:val="209"/>
        </w:trPr>
        <w:tc>
          <w:tcPr>
            <w:tcW w:w="2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fiscal 2024.</w:t>
            </w:r>
          </w:p>
        </w:tc>
        <w:tc>
          <w:tcPr>
            <w:tcW w:w="0" w:type="dxa"/>
            <w:vAlign w:val="bottom"/>
          </w:tcPr>
          <w:p>
            <w:pPr>
              <w:spacing w:after="0"/>
              <w:rPr>
                <w:sz w:val="1"/>
                <w:szCs w:val="1"/>
                <w:color w:val="auto"/>
              </w:rPr>
            </w:pPr>
          </w:p>
        </w:tc>
      </w:tr>
      <w:tr>
        <w:trPr>
          <w:trHeight w:val="229"/>
        </w:trPr>
        <w:tc>
          <w:tcPr>
            <w:tcW w:w="2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cost of revenue</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23</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Borders>
              <w:bottom w:val="single" w:sz="8" w:color="CCEEFF"/>
            </w:tcBorders>
            <w:shd w:val="clear" w:color="auto" w:fill="CCEEFF"/>
          </w:tcPr>
          <w:p>
            <w:pPr>
              <w:spacing w:after="0"/>
              <w:rPr>
                <w:sz w:val="19"/>
                <w:szCs w:val="19"/>
                <w:color w:val="auto"/>
              </w:rPr>
            </w:pPr>
          </w:p>
        </w:tc>
        <w:tc>
          <w:tcPr>
            <w:tcW w:w="4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4"/>
        </w:trPr>
        <w:tc>
          <w:tcPr>
            <w:tcW w:w="2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Marketing and sales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20" w:type="dxa"/>
            <w:vAlign w:val="bottom"/>
          </w:tcPr>
          <w:p>
            <w:pPr>
              <w:spacing w:after="0"/>
              <w:rPr>
                <w:sz w:val="16"/>
                <w:szCs w:val="16"/>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5 %</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primarily due to sales commissions to Solution Providers due to</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w w:val="98"/>
              </w:rPr>
              <w:t>the recognition of these costs to marketing and sales expense under the new</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transaction model. Increase also due to employee related costs mostly</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related to internal sales commissions, headcount growth and merit</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increases partially offset by a decrease in stock-based compensation</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expense, an increase in cloud hosting costs and professional fees offset by</w:t>
            </w:r>
          </w:p>
        </w:tc>
      </w:tr>
      <w:tr>
        <w:trPr>
          <w:trHeight w:val="209"/>
        </w:trPr>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the increase in capitalized software costs.</w:t>
            </w:r>
          </w:p>
        </w:tc>
      </w:tr>
      <w:tr>
        <w:trPr>
          <w:trHeight w:val="160"/>
        </w:trPr>
        <w:tc>
          <w:tcPr>
            <w:tcW w:w="284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714</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
              <w:spacing w:after="0" w:line="160" w:lineRule="exact"/>
              <w:rPr>
                <w:sz w:val="20"/>
                <w:szCs w:val="20"/>
                <w:color w:val="auto"/>
              </w:rPr>
            </w:pPr>
            <w:r>
              <w:rPr>
                <w:rFonts w:ascii="Times New Roman" w:cs="Times New Roman" w:eastAsia="Times New Roman" w:hAnsi="Times New Roman"/>
                <w:sz w:val="16"/>
                <w:szCs w:val="16"/>
                <w:color w:val="auto"/>
              </w:rPr>
              <w:t>32</w:t>
            </w:r>
          </w:p>
        </w:tc>
        <w:tc>
          <w:tcPr>
            <w:tcW w:w="940" w:type="dxa"/>
            <w:vAlign w:val="bottom"/>
            <w:shd w:val="clear" w:color="auto" w:fill="CCEEFF"/>
          </w:tcPr>
          <w:p>
            <w:pPr>
              <w:jc w:val="right"/>
              <w:ind w:right="41"/>
              <w:spacing w:after="0" w:line="160" w:lineRule="exact"/>
              <w:rPr>
                <w:sz w:val="20"/>
                <w:szCs w:val="20"/>
                <w:color w:val="auto"/>
              </w:rPr>
            </w:pPr>
            <w:r>
              <w:rPr>
                <w:rFonts w:ascii="Times New Roman" w:cs="Times New Roman" w:eastAsia="Times New Roman" w:hAnsi="Times New Roman"/>
                <w:sz w:val="16"/>
                <w:szCs w:val="16"/>
                <w:color w:val="auto"/>
              </w:rPr>
              <w:t>5 %</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682</w:t>
            </w:r>
          </w:p>
        </w:tc>
        <w:tc>
          <w:tcPr>
            <w:tcW w:w="494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Increase primarily due to employee-related costs driven by higher</w:t>
            </w:r>
          </w:p>
        </w:tc>
      </w:tr>
      <w:tr>
        <w:trPr>
          <w:trHeight w:val="158"/>
        </w:trPr>
        <w:tc>
          <w:tcPr>
            <w:tcW w:w="2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94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headcount and merit increases partially offset by a decrease in stock-based</w:t>
            </w:r>
          </w:p>
        </w:tc>
      </w:tr>
      <w:tr>
        <w:trPr>
          <w:trHeight w:val="158"/>
        </w:trPr>
        <w:tc>
          <w:tcPr>
            <w:tcW w:w="2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94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compensation expense and an increase in cloud hosting costs offset by the</w:t>
            </w:r>
          </w:p>
        </w:tc>
      </w:tr>
      <w:tr>
        <w:trPr>
          <w:trHeight w:val="211"/>
        </w:trPr>
        <w:tc>
          <w:tcPr>
            <w:tcW w:w="2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increase in capitalized software costs.</w:t>
            </w: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316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jc w:val="right"/>
              <w:ind w:right="1"/>
              <w:spacing w:after="0" w:line="158" w:lineRule="exact"/>
              <w:rPr>
                <w:sz w:val="20"/>
                <w:szCs w:val="20"/>
                <w:color w:val="auto"/>
              </w:rPr>
            </w:pPr>
            <w:r>
              <w:rPr>
                <w:rFonts w:ascii="Times New Roman" w:cs="Times New Roman" w:eastAsia="Times New Roman" w:hAnsi="Times New Roman"/>
                <w:sz w:val="16"/>
                <w:szCs w:val="16"/>
                <w:color w:val="auto"/>
              </w:rPr>
              <w:t>43</w:t>
            </w:r>
          </w:p>
        </w:tc>
        <w:tc>
          <w:tcPr>
            <w:tcW w:w="940" w:type="dxa"/>
            <w:vAlign w:val="bottom"/>
          </w:tcPr>
          <w:p>
            <w:pPr>
              <w:jc w:val="right"/>
              <w:ind w:right="41"/>
              <w:spacing w:after="0" w:line="158" w:lineRule="exact"/>
              <w:rPr>
                <w:sz w:val="20"/>
                <w:szCs w:val="20"/>
                <w:color w:val="auto"/>
              </w:rPr>
            </w:pPr>
            <w:r>
              <w:rPr>
                <w:rFonts w:ascii="Times New Roman" w:cs="Times New Roman" w:eastAsia="Times New Roman" w:hAnsi="Times New Roman"/>
                <w:sz w:val="16"/>
                <w:szCs w:val="16"/>
                <w:color w:val="auto"/>
              </w:rPr>
              <w:t>16 %</w:t>
            </w:r>
          </w:p>
        </w:tc>
        <w:tc>
          <w:tcPr>
            <w:tcW w:w="28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273</w:t>
            </w:r>
          </w:p>
        </w:tc>
        <w:tc>
          <w:tcPr>
            <w:tcW w:w="49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Increase primarily due to an increase in acquisition related costs as well as</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w w:val="98"/>
              </w:rPr>
              <w:t>an increase in employee-related costs driven by higher headcount and merit</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increases partially offset by a decrease in stock-based compensation</w:t>
            </w:r>
          </w:p>
        </w:tc>
      </w:tr>
      <w:tr>
        <w:trPr>
          <w:trHeight w:val="209"/>
        </w:trPr>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expense and an increase in cloud hosting costs.</w:t>
            </w:r>
          </w:p>
        </w:tc>
      </w:tr>
      <w:tr>
        <w:trPr>
          <w:trHeight w:val="160"/>
        </w:trPr>
        <w:tc>
          <w:tcPr>
            <w:tcW w:w="284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Amortization of purchased intangibles</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
              <w:spacing w:after="0" w:line="160" w:lineRule="exact"/>
              <w:rPr>
                <w:sz w:val="20"/>
                <w:szCs w:val="20"/>
                <w:color w:val="auto"/>
              </w:rPr>
            </w:pPr>
            <w:r>
              <w:rPr>
                <w:rFonts w:ascii="Times New Roman" w:cs="Times New Roman" w:eastAsia="Times New Roman" w:hAnsi="Times New Roman"/>
                <w:sz w:val="16"/>
                <w:szCs w:val="16"/>
                <w:color w:val="auto"/>
              </w:rPr>
              <w:t>3</w:t>
            </w:r>
          </w:p>
        </w:tc>
        <w:tc>
          <w:tcPr>
            <w:tcW w:w="940" w:type="dxa"/>
            <w:vAlign w:val="bottom"/>
            <w:shd w:val="clear" w:color="auto" w:fill="CCEEFF"/>
          </w:tcPr>
          <w:p>
            <w:pPr>
              <w:jc w:val="right"/>
              <w:ind w:right="41"/>
              <w:spacing w:after="0" w:line="160" w:lineRule="exact"/>
              <w:rPr>
                <w:sz w:val="20"/>
                <w:szCs w:val="20"/>
                <w:color w:val="auto"/>
              </w:rPr>
            </w:pPr>
            <w:r>
              <w:rPr>
                <w:rFonts w:ascii="Times New Roman" w:cs="Times New Roman" w:eastAsia="Times New Roman" w:hAnsi="Times New Roman"/>
                <w:sz w:val="16"/>
                <w:szCs w:val="16"/>
                <w:color w:val="auto"/>
              </w:rPr>
              <w:t>14 %</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21</w:t>
            </w:r>
          </w:p>
        </w:tc>
        <w:tc>
          <w:tcPr>
            <w:tcW w:w="494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The increase is primarily due to amortization of acquired intangibles as a</w:t>
            </w:r>
          </w:p>
        </w:tc>
      </w:tr>
      <w:tr>
        <w:trPr>
          <w:trHeight w:val="158"/>
        </w:trPr>
        <w:tc>
          <w:tcPr>
            <w:tcW w:w="2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94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result of an acquisition in fiscal 2025 offset by previously acquired assets</w:t>
            </w:r>
          </w:p>
        </w:tc>
      </w:tr>
      <w:tr>
        <w:trPr>
          <w:trHeight w:val="211"/>
        </w:trPr>
        <w:tc>
          <w:tcPr>
            <w:tcW w:w="2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that continue to become fully amortized.</w:t>
            </w:r>
          </w:p>
        </w:tc>
      </w:tr>
      <w:tr>
        <w:trPr>
          <w:trHeight w:val="209"/>
        </w:trPr>
        <w:tc>
          <w:tcPr>
            <w:tcW w:w="28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122</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6 %</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4940" w:type="dxa"/>
            <w:vAlign w:val="bottom"/>
          </w:tcPr>
          <w:p>
            <w:pPr>
              <w:spacing w:after="0"/>
              <w:rPr>
                <w:sz w:val="18"/>
                <w:szCs w:val="18"/>
                <w:color w:val="auto"/>
              </w:rPr>
            </w:pPr>
          </w:p>
        </w:tc>
      </w:tr>
      <w:tr>
        <w:trPr>
          <w:trHeight w:val="21"/>
        </w:trPr>
        <w:tc>
          <w:tcPr>
            <w:tcW w:w="2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bl>
    <w:p>
      <w:pPr>
        <w:spacing w:after="0" w:line="311" w:lineRule="exact"/>
        <w:rPr>
          <w:sz w:val="20"/>
          <w:szCs w:val="20"/>
          <w:color w:val="auto"/>
        </w:rPr>
      </w:pPr>
    </w:p>
    <w:p>
      <w:pPr>
        <w:ind w:right="180" w:firstLine="434"/>
        <w:spacing w:after="0" w:line="268" w:lineRule="auto"/>
        <w:rPr>
          <w:sz w:val="20"/>
          <w:szCs w:val="20"/>
          <w:color w:val="auto"/>
        </w:rPr>
      </w:pPr>
      <w:r>
        <w:rPr>
          <w:rFonts w:ascii="Times New Roman" w:cs="Times New Roman" w:eastAsia="Times New Roman" w:hAnsi="Times New Roman"/>
          <w:sz w:val="18"/>
          <w:szCs w:val="18"/>
          <w:color w:val="auto"/>
        </w:rPr>
        <w:t>The following table highlights our expectation for the absolute dollar change and percent of revenue change between the third quarter of fiscal 2025, as compared to the third quarter of fiscal 2024:</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Absolute dollar impact</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 of net revenue impact</w:t>
            </w:r>
          </w:p>
        </w:tc>
      </w:tr>
      <w:tr>
        <w:trPr>
          <w:trHeight w:val="24"/>
        </w:trPr>
        <w:tc>
          <w:tcPr>
            <w:tcW w:w="66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04"/>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Increase</w:t>
            </w:r>
          </w:p>
        </w:tc>
        <w:tc>
          <w:tcPr>
            <w:tcW w:w="140" w:type="dxa"/>
            <w:vAlign w:val="bottom"/>
            <w:shd w:val="clear" w:color="auto" w:fill="CCEEFF"/>
          </w:tcPr>
          <w:p>
            <w:pPr>
              <w:spacing w:after="0"/>
              <w:rPr>
                <w:sz w:val="17"/>
                <w:szCs w:val="17"/>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Flat</w:t>
            </w: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Marketing and sales</w:t>
            </w:r>
          </w:p>
        </w:tc>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Increase</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Increase</w:t>
            </w:r>
          </w:p>
        </w:tc>
      </w:tr>
      <w:tr>
        <w:trPr>
          <w:trHeight w:val="212"/>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3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7"/>
              </w:rPr>
              <w:t>Increase</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Flat</w:t>
            </w: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Flat</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Flat</w:t>
            </w:r>
          </w:p>
        </w:tc>
      </w:tr>
      <w:tr>
        <w:trPr>
          <w:trHeight w:val="212"/>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23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6"/>
              </w:rPr>
              <w:t>Flat</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Flat</w:t>
            </w:r>
          </w:p>
        </w:tc>
      </w:tr>
    </w:tbl>
    <w:p>
      <w:pPr>
        <w:spacing w:after="0" w:line="3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Interest and Other Income (Expense), Net</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components of interest and other income (expense), net: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20" w:type="dxa"/>
            <w:vAlign w:val="bottom"/>
            <w:shd w:val="clear" w:color="auto" w:fill="CCEEFF"/>
          </w:tcPr>
          <w:p>
            <w:pPr>
              <w:spacing w:after="0"/>
              <w:rPr>
                <w:sz w:val="17"/>
                <w:szCs w:val="17"/>
                <w:color w:val="auto"/>
              </w:rPr>
            </w:pPr>
          </w:p>
        </w:tc>
        <w:tc>
          <w:tcPr>
            <w:tcW w:w="2500" w:type="dxa"/>
            <w:vAlign w:val="bottom"/>
            <w:gridSpan w:val="4"/>
            <w:shd w:val="clear" w:color="auto" w:fill="CCEEFF"/>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84"/>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investment income, net</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9"/>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foreign currency</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strategic investments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9"/>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29"/>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income (expense), net</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160" w:firstLine="395"/>
        <w:spacing w:after="0" w:line="250" w:lineRule="auto"/>
        <w:rPr>
          <w:sz w:val="20"/>
          <w:szCs w:val="20"/>
          <w:color w:val="auto"/>
        </w:rPr>
      </w:pPr>
      <w:r>
        <w:rPr>
          <w:rFonts w:ascii="Times New Roman" w:cs="Times New Roman" w:eastAsia="Times New Roman" w:hAnsi="Times New Roman"/>
          <w:sz w:val="18"/>
          <w:szCs w:val="18"/>
          <w:color w:val="auto"/>
        </w:rPr>
        <w:t>Interest and other income (expense), net, positively changed by $13 million during the three months ended July 31, 2024, and $19 million during the six months ended July 31, 2024, as compared to the same periods in the prior fiscal year. The positive change in the three and six months ended July 31, 2024, as compared to the same periods in the prior fiscal year was primarily due to a decrease in impairments of strategic investment equity securities, an increase in interest income, and an increase in gains for investments in debt and equity securities that are held in a rabbi trust under non-qualified deferred compensation plans in the current periods as compared to the prior periods.</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Interest expense and investment income fluctuates based on average cash, marketable securities, debt balances, average maturities, and interest rates.</w:t>
      </w:r>
    </w:p>
    <w:p>
      <w:pPr>
        <w:spacing w:after="0" w:line="240"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8" w:name="page49"/>
    <w:bookmarkEnd w:id="48"/>
    <w:p>
      <w:pPr>
        <w:ind w:left="24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4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93" w:lineRule="exact"/>
        <w:rPr>
          <w:sz w:val="20"/>
          <w:szCs w:val="20"/>
          <w:color w:val="auto"/>
        </w:rPr>
      </w:pPr>
    </w:p>
    <w:p>
      <w:pPr>
        <w:ind w:right="100" w:firstLine="434"/>
        <w:spacing w:after="0" w:line="236" w:lineRule="auto"/>
        <w:rPr>
          <w:sz w:val="20"/>
          <w:szCs w:val="20"/>
          <w:color w:val="auto"/>
        </w:rPr>
      </w:pPr>
      <w:r>
        <w:rPr>
          <w:rFonts w:ascii="Times New Roman" w:cs="Times New Roman" w:eastAsia="Times New Roman" w:hAnsi="Times New Roman"/>
          <w:sz w:val="18"/>
          <w:szCs w:val="18"/>
          <w:color w:val="auto"/>
        </w:rPr>
        <w:t>We had an income tax expense of $70 million, relative to pre-tax income of $352 million for the three months ended July 31, 2024, and an income tax expense of $36 million, relative to pre-tax income of $258 million for the three months ended July 31, 2023. Income tax expense for the three months ended July 31, 2024, reflects U.S. and foreign tax expense, including withholding tax, reduced by tax-deductible stock-based compensation and the foreign derived intangibles tax benefit in the U.S. The tax expense increased compared to July 31, 2023, mainly due to a nonrecurring tax benefit in the prior year arising from the temporary relief provided by Notice 2023-55 relating to U.S. foreign tax credit regulations.</w:t>
      </w:r>
    </w:p>
    <w:p>
      <w:pPr>
        <w:spacing w:after="0" w:line="219" w:lineRule="exact"/>
        <w:rPr>
          <w:sz w:val="20"/>
          <w:szCs w:val="20"/>
          <w:color w:val="auto"/>
        </w:rPr>
      </w:pPr>
    </w:p>
    <w:p>
      <w:pPr>
        <w:ind w:right="60" w:firstLine="475"/>
        <w:spacing w:after="0" w:line="249" w:lineRule="auto"/>
        <w:rPr>
          <w:sz w:val="20"/>
          <w:szCs w:val="20"/>
          <w:color w:val="auto"/>
        </w:rPr>
      </w:pPr>
      <w:r>
        <w:rPr>
          <w:rFonts w:ascii="Times New Roman" w:cs="Times New Roman" w:eastAsia="Times New Roman" w:hAnsi="Times New Roman"/>
          <w:sz w:val="18"/>
          <w:szCs w:val="18"/>
          <w:color w:val="auto"/>
        </w:rPr>
        <w:t>We had an income tax expense of $127 million, relative to pre-tax income of $661 million for the six months ended July 31, 2024, and income tax expense of $96 million, relative to pre-tax income of $479 million for the six months ended July 31, 2023. Income tax expense for the six months ended July 31, 2024, reflects U.S. and foreign tax expense, including withholding tax, reduced by tax-deductible stock-based compensation and the foreign derived intangibles tax benefit in the U.S. The tax expense increased compared to July 31, 2023 due to increased profit before tax, offset by an increase in tax-deductible stock-based compensation. The period to July 31, 2023 had a nonrecurring tax benefit arising from the temporary relief provided by Notice 2023-55 relating to U.S. foreign tax credit regulations.</w:t>
      </w:r>
    </w:p>
    <w:p>
      <w:pPr>
        <w:spacing w:after="0" w:line="198" w:lineRule="exact"/>
        <w:rPr>
          <w:sz w:val="20"/>
          <w:szCs w:val="20"/>
          <w:color w:val="auto"/>
        </w:rPr>
      </w:pPr>
    </w:p>
    <w:p>
      <w:pPr>
        <w:ind w:firstLine="434"/>
        <w:spacing w:after="0" w:line="232" w:lineRule="auto"/>
        <w:rPr>
          <w:sz w:val="20"/>
          <w:szCs w:val="20"/>
          <w:color w:val="auto"/>
        </w:rPr>
      </w:pPr>
      <w:r>
        <w:rPr>
          <w:rFonts w:ascii="Times New Roman" w:cs="Times New Roman" w:eastAsia="Times New Roman" w:hAnsi="Times New Roman"/>
          <w:sz w:val="18"/>
          <w:szCs w:val="18"/>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The Company continues to retain a valuation allowance against Australia, Portugal, New Zealand, California, Massachusetts, and Michigan deferred tax assets and deferred tax assets that will convert to a capital loss upon reversal in the U.S., as we do not have sufficient income of the appropriate character to benefit these deferred tax assets.</w:t>
      </w:r>
    </w:p>
    <w:p>
      <w:pPr>
        <w:spacing w:after="0" w:line="223" w:lineRule="exact"/>
        <w:rPr>
          <w:sz w:val="20"/>
          <w:szCs w:val="20"/>
          <w:color w:val="auto"/>
        </w:rPr>
      </w:pPr>
    </w:p>
    <w:p>
      <w:pPr>
        <w:jc w:val="both"/>
        <w:ind w:right="80" w:firstLine="434"/>
        <w:spacing w:after="0" w:line="256" w:lineRule="auto"/>
        <w:rPr>
          <w:sz w:val="20"/>
          <w:szCs w:val="20"/>
          <w:color w:val="auto"/>
        </w:rPr>
      </w:pPr>
      <w:r>
        <w:rPr>
          <w:rFonts w:ascii="Times New Roman" w:cs="Times New Roman" w:eastAsia="Times New Roman" w:hAnsi="Times New Roman"/>
          <w:sz w:val="18"/>
          <w:szCs w:val="18"/>
          <w:color w:val="auto"/>
        </w:rPr>
        <w:t>As we continually strive to optimize our overall business model, tax planning strategies may become feasible and prudent allowing us to realize many of the deferred tax assets that are offset by a valuation allowance; therefore, we will continue to evaluate the ability to utilize the deferred tax assets each quarter, both in the U.S. and in foreign jurisdictions, based on all available evidence, both positive and negative.</w:t>
      </w:r>
    </w:p>
    <w:p>
      <w:pPr>
        <w:spacing w:after="0" w:line="193" w:lineRule="exact"/>
        <w:rPr>
          <w:sz w:val="20"/>
          <w:szCs w:val="20"/>
          <w:color w:val="auto"/>
        </w:rPr>
      </w:pPr>
    </w:p>
    <w:p>
      <w:pPr>
        <w:ind w:right="220" w:firstLine="474"/>
        <w:spacing w:after="0" w:line="241" w:lineRule="auto"/>
        <w:rPr>
          <w:sz w:val="20"/>
          <w:szCs w:val="20"/>
          <w:color w:val="auto"/>
        </w:rPr>
      </w:pPr>
      <w:r>
        <w:rPr>
          <w:rFonts w:ascii="Times New Roman" w:cs="Times New Roman" w:eastAsia="Times New Roman" w:hAnsi="Times New Roman"/>
          <w:sz w:val="18"/>
          <w:szCs w:val="18"/>
          <w:color w:val="auto"/>
        </w:rPr>
        <w:t>As of July 31, 2024, we had $271 million of gross unrecognized tax benefits, of which $228 million would impact the effective tax rate, if recognized. The remaining $43 million would reduce our valuation allowance, if recognized. The amount of unrecognized tax benefits will immaterially decrease in the next twelve months for statute lapses.</w:t>
      </w:r>
    </w:p>
    <w:p>
      <w:pPr>
        <w:spacing w:after="0" w:line="205" w:lineRule="exact"/>
        <w:rPr>
          <w:sz w:val="20"/>
          <w:szCs w:val="20"/>
          <w:color w:val="auto"/>
        </w:rPr>
      </w:pPr>
    </w:p>
    <w:p>
      <w:pPr>
        <w:ind w:right="100" w:firstLine="395"/>
        <w:spacing w:after="0" w:line="236" w:lineRule="auto"/>
        <w:rPr>
          <w:sz w:val="20"/>
          <w:szCs w:val="20"/>
          <w:color w:val="auto"/>
        </w:rPr>
      </w:pPr>
      <w:r>
        <w:rPr>
          <w:rFonts w:ascii="Times New Roman" w:cs="Times New Roman" w:eastAsia="Times New Roman" w:hAnsi="Times New Roman"/>
          <w:sz w:val="18"/>
          <w:szCs w:val="18"/>
          <w:color w:val="auto"/>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A significant amount of our earnings are generated by our European and Asia Pacific subsidiaries. Our future effective tax rates may be adversely affected to the extent earnings are lower than anticipated in countries where we have lower statutory tax rates.</w:t>
      </w:r>
    </w:p>
    <w:p>
      <w:pPr>
        <w:spacing w:after="0" w:line="206" w:lineRule="exact"/>
        <w:rPr>
          <w:sz w:val="20"/>
          <w:szCs w:val="20"/>
          <w:color w:val="auto"/>
        </w:rPr>
      </w:pPr>
    </w:p>
    <w:p>
      <w:pPr>
        <w:ind w:right="120" w:firstLine="434"/>
        <w:spacing w:after="0" w:line="234" w:lineRule="auto"/>
        <w:rPr>
          <w:sz w:val="20"/>
          <w:szCs w:val="20"/>
          <w:color w:val="auto"/>
        </w:rPr>
      </w:pPr>
      <w:r>
        <w:rPr>
          <w:rFonts w:ascii="Times New Roman" w:cs="Times New Roman" w:eastAsia="Times New Roman" w:hAnsi="Times New Roman"/>
          <w:sz w:val="18"/>
          <w:szCs w:val="18"/>
          <w:color w:val="auto"/>
        </w:rPr>
        <w:t>The U.S. Tax Cut and Jobs Act (“Tax Act”) enacted on December 22, 2017, eliminates the option to deduct research and development expenditures and requires taxpayers to capitalize and amortize such expenditures over five or fifteen years beginning in fiscal 2023. We anticipate that the U.S. Department of Treasury will continue to interpret or issue guidance on how provisions of the Tax Act will be applied or otherwise administered. As future guidance is issued, we may adjust the amounts that we have previously recorded that may materially impact our financial statements.</w:t>
      </w:r>
    </w:p>
    <w:p>
      <w:pPr>
        <w:spacing w:after="0" w:line="219"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Signed into law on August 16, 2022 in the U.S., the Inflation Reduction Act contains many revisions to the Internal Revenue Code effective in taxable years beginning after December 31, 2022, including a 15% corporate alternative minimum tax. Autodesk continues to monitor the impact of the Inflation Reduction Act on our consolidated financial statements.</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Signed into law on December 18, 2023 in Ireland, the Finance (No. 2) Act 2023 provides legislation to implement tax principles arising from proposals</w:t>
      </w:r>
    </w:p>
    <w:p>
      <w:pPr>
        <w:spacing w:after="0" w:line="53"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made by the Organization for Economic Co-operation and Development to establish a global minimum tax rate of 15%. The Company’s assessment of this legislation resulted in additional tax expense having a minimal impact to the consolidated financial statements. Other countries have enacted legislation or are actively considering changes to their tax law. The Company will continue to monitor proposed and enacted legislation for potential future impact on its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Other Financial Information</w:t>
      </w:r>
    </w:p>
    <w:p>
      <w:pPr>
        <w:spacing w:after="0" w:line="242" w:lineRule="exact"/>
        <w:rPr>
          <w:sz w:val="20"/>
          <w:szCs w:val="20"/>
          <w:color w:val="auto"/>
        </w:rPr>
      </w:pPr>
    </w:p>
    <w:p>
      <w:pPr>
        <w:ind w:firstLine="434"/>
        <w:spacing w:after="0" w:line="303" w:lineRule="auto"/>
        <w:rPr>
          <w:sz w:val="20"/>
          <w:szCs w:val="20"/>
          <w:color w:val="auto"/>
        </w:rPr>
      </w:pPr>
      <w:r>
        <w:rPr>
          <w:rFonts w:ascii="Times New Roman" w:cs="Times New Roman" w:eastAsia="Times New Roman" w:hAnsi="Times New Roman"/>
          <w:sz w:val="16"/>
          <w:szCs w:val="16"/>
          <w:color w:val="auto"/>
        </w:rPr>
        <w:t>In addition to our results determined under GAAP discussed above, we believe the following non-GAAP measures are useful to investors in evaluating our operating performance. For the three and six months ended July 31, 2024 and 2023, our gross profit, income from operations, operating margin, net income, and diluted net income per share on a GAAP and non-GAAP basis were as follows (in millions except for operating margin and per share data):</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80" w:type="dxa"/>
            <w:vAlign w:val="bottom"/>
            <w:gridSpan w:val="3"/>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4"/>
        </w:trPr>
        <w:tc>
          <w:tcPr>
            <w:tcW w:w="52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2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5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4"/>
              </w:rPr>
              <w:t>1,365</w:t>
            </w:r>
          </w:p>
        </w:tc>
        <w:tc>
          <w:tcPr>
            <w:tcW w:w="100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1,218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2,645</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2,360</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gross profit</w:t>
            </w:r>
          </w:p>
        </w:tc>
        <w:tc>
          <w:tcPr>
            <w:tcW w:w="820" w:type="dxa"/>
            <w:vAlign w:val="bottom"/>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4"/>
              </w:rPr>
              <w:t>1,398</w:t>
            </w:r>
          </w:p>
        </w:tc>
        <w:tc>
          <w:tcPr>
            <w:tcW w:w="100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1,243</w:t>
            </w:r>
          </w:p>
        </w:tc>
        <w:tc>
          <w:tcPr>
            <w:tcW w:w="12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2,706</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2,406</w:t>
            </w: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343</w:t>
            </w:r>
          </w:p>
        </w:tc>
        <w:tc>
          <w:tcPr>
            <w:tcW w:w="100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642</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479</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820" w:type="dxa"/>
            <w:vAlign w:val="bottom"/>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560</w:t>
            </w:r>
          </w:p>
        </w:tc>
        <w:tc>
          <w:tcPr>
            <w:tcW w:w="100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1,050</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893</w:t>
            </w: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operating margin</w:t>
            </w:r>
          </w:p>
        </w:tc>
        <w:tc>
          <w:tcPr>
            <w:tcW w:w="8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282</w:t>
            </w:r>
          </w:p>
        </w:tc>
        <w:tc>
          <w:tcPr>
            <w:tcW w:w="100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534</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383</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820" w:type="dxa"/>
            <w:vAlign w:val="bottom"/>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466</w:t>
            </w:r>
          </w:p>
        </w:tc>
        <w:tc>
          <w:tcPr>
            <w:tcW w:w="100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871</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744</w:t>
            </w: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diluted net income per share</w:t>
            </w: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1.30</w:t>
            </w:r>
          </w:p>
        </w:tc>
        <w:tc>
          <w:tcPr>
            <w:tcW w:w="100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2.46</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1.77</w:t>
            </w:r>
          </w:p>
        </w:tc>
      </w:tr>
      <w:tr>
        <w:trPr>
          <w:trHeight w:val="20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diluted net income per share</w:t>
            </w:r>
          </w:p>
        </w:tc>
        <w:tc>
          <w:tcPr>
            <w:tcW w:w="820" w:type="dxa"/>
            <w:vAlign w:val="bottom"/>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2.15</w:t>
            </w:r>
          </w:p>
        </w:tc>
        <w:tc>
          <w:tcPr>
            <w:tcW w:w="100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Pr>
          <w:p>
            <w:pPr>
              <w:spacing w:after="0"/>
              <w:rPr>
                <w:sz w:val="17"/>
                <w:szCs w:val="17"/>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4.01</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3.44</w:t>
            </w:r>
          </w:p>
        </w:tc>
      </w:tr>
    </w:tbl>
    <w:p>
      <w:pPr>
        <w:spacing w:after="0" w:line="301"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For our internal budgeting and resource allocation process and as a means to provide consistency in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benefits, credits,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221" w:lineRule="exact"/>
        <w:rPr>
          <w:sz w:val="20"/>
          <w:szCs w:val="20"/>
          <w:color w:val="auto"/>
        </w:rPr>
      </w:pPr>
    </w:p>
    <w:p>
      <w:pPr>
        <w:ind w:right="40" w:firstLine="395"/>
        <w:spacing w:after="0" w:line="247" w:lineRule="auto"/>
        <w:rPr>
          <w:sz w:val="20"/>
          <w:szCs w:val="20"/>
          <w:color w:val="auto"/>
        </w:rPr>
      </w:pPr>
      <w:r>
        <w:rPr>
          <w:rFonts w:ascii="Times New Roman" w:cs="Times New Roman" w:eastAsia="Times New Roman" w:hAnsi="Times New Roman"/>
          <w:sz w:val="18"/>
          <w:szCs w:val="18"/>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color w:val="auto"/>
        </w:rPr>
        <w:t>Reconciliation of GAAP Financial Measures to Non-GAAP Financial Measures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for operating margin and per share data):</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6"/>
          <w:szCs w:val="16"/>
          <w:color w:val="auto"/>
        </w:rPr>
        <w:t>Gross profit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6"/>
          <w:szCs w:val="16"/>
          <w:color w:val="auto"/>
        </w:rPr>
        <w:t>Non-GAAP gross profit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7135495" cy="1587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296"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6"/>
          <w:szCs w:val="16"/>
          <w:color w:val="auto"/>
        </w:rPr>
        <w:t>Income from operations</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Acquisition-related costs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Lease-related asset impairments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6"/>
          <w:szCs w:val="16"/>
          <w:color w:val="auto"/>
        </w:rPr>
        <w:t>Non-GAAP income from operations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7135495" cy="158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margin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Acquisition-related costs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Lease-related asset impairments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Non-GAAP operating margin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7135495" cy="1587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296"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6"/>
          <w:szCs w:val="16"/>
          <w:color w:val="auto"/>
        </w:rPr>
        <w:t>Net income</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Acquisition-related costs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Lease-related asset impairments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Loss on strategic investments and dispositions, net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Discrete tax provision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Establishment of valuation allowance on deferred tax assets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Income tax effect of 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6"/>
          <w:szCs w:val="16"/>
          <w:color w:val="auto"/>
        </w:rPr>
        <w:t>Non-GAAP net income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00" w:type="dxa"/>
            <w:vAlign w:val="bottom"/>
          </w:tcPr>
          <w:p>
            <w:pPr>
              <w:spacing w:after="0"/>
              <w:rPr>
                <w:sz w:val="16"/>
                <w:szCs w:val="16"/>
                <w:color w:val="auto"/>
              </w:rPr>
            </w:pPr>
          </w:p>
        </w:tc>
        <w:tc>
          <w:tcPr>
            <w:tcW w:w="2260" w:type="dxa"/>
            <w:vAlign w:val="bottom"/>
            <w:gridSpan w:val="4"/>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4"/>
        </w:trPr>
        <w:tc>
          <w:tcPr>
            <w:tcW w:w="940" w:type="dxa"/>
            <w:vAlign w:val="bottom"/>
            <w:vMerge w:val="restart"/>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2"/>
                <w:szCs w:val="2"/>
                <w:color w:val="auto"/>
              </w:rPr>
            </w:pPr>
          </w:p>
        </w:tc>
        <w:tc>
          <w:tcPr>
            <w:tcW w:w="98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9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9"/>
        </w:trPr>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1,365</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1,218</w:t>
            </w:r>
          </w:p>
        </w:tc>
        <w:tc>
          <w:tcPr>
            <w:tcW w:w="100" w:type="dxa"/>
            <w:vAlign w:val="bottom"/>
          </w:tcPr>
          <w:p>
            <w:pPr>
              <w:spacing w:after="0"/>
              <w:rPr>
                <w:sz w:val="19"/>
                <w:szCs w:val="19"/>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2,645</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2,360</w:t>
            </w:r>
          </w:p>
        </w:tc>
        <w:tc>
          <w:tcPr>
            <w:tcW w:w="0" w:type="dxa"/>
            <w:vAlign w:val="bottom"/>
          </w:tcPr>
          <w:p>
            <w:pPr>
              <w:spacing w:after="0"/>
              <w:rPr>
                <w:sz w:val="1"/>
                <w:szCs w:val="1"/>
                <w:color w:val="auto"/>
              </w:rPr>
            </w:pPr>
          </w:p>
        </w:tc>
      </w:tr>
      <w:tr>
        <w:trPr>
          <w:trHeight w:val="211"/>
        </w:trPr>
        <w:tc>
          <w:tcPr>
            <w:tcW w:w="9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12</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1"/>
        </w:trPr>
        <w:tc>
          <w:tcPr>
            <w:tcW w:w="9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6"/>
        </w:trPr>
        <w:tc>
          <w:tcPr>
            <w:tcW w:w="9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1,398</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2,706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2,406</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9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343</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24"/>
                <w:szCs w:val="24"/>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Pr>
          <w:p>
            <w:pPr>
              <w:spacing w:after="0"/>
              <w:rPr>
                <w:sz w:val="24"/>
                <w:szCs w:val="24"/>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211"/>
        </w:trPr>
        <w:tc>
          <w:tcPr>
            <w:tcW w:w="9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170</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1"/>
        </w:trPr>
        <w:tc>
          <w:tcPr>
            <w:tcW w:w="9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1"/>
        </w:trPr>
        <w:tc>
          <w:tcPr>
            <w:tcW w:w="9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1"/>
        </w:trPr>
        <w:tc>
          <w:tcPr>
            <w:tcW w:w="9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1"/>
        </w:trPr>
        <w:tc>
          <w:tcPr>
            <w:tcW w:w="9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6"/>
        </w:trPr>
        <w:tc>
          <w:tcPr>
            <w:tcW w:w="9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560</w:t>
            </w: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893</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23 %</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11"/>
        </w:trPr>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1"/>
        </w:trPr>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11"/>
        </w:trPr>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11"/>
        </w:trPr>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1 %</w:t>
            </w:r>
          </w:p>
        </w:tc>
        <w:tc>
          <w:tcPr>
            <w:tcW w:w="300" w:type="dxa"/>
            <w:vAlign w:val="bottom"/>
          </w:tcPr>
          <w:p>
            <w:pPr>
              <w:spacing w:after="0"/>
              <w:rPr>
                <w:sz w:val="18"/>
                <w:szCs w:val="18"/>
                <w:color w:val="auto"/>
              </w:rPr>
            </w:pP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1"/>
        </w:trPr>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6"/>
        </w:trPr>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37 %</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9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282</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24"/>
                <w:szCs w:val="24"/>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24"/>
                <w:szCs w:val="24"/>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11"/>
        </w:trPr>
        <w:tc>
          <w:tcPr>
            <w:tcW w:w="9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170</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1"/>
        </w:trPr>
        <w:tc>
          <w:tcPr>
            <w:tcW w:w="9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1"/>
        </w:trPr>
        <w:tc>
          <w:tcPr>
            <w:tcW w:w="9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1"/>
        </w:trPr>
        <w:tc>
          <w:tcPr>
            <w:tcW w:w="9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1"/>
        </w:trPr>
        <w:tc>
          <w:tcPr>
            <w:tcW w:w="9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1"/>
        </w:trPr>
        <w:tc>
          <w:tcPr>
            <w:tcW w:w="9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6</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1"/>
        </w:trPr>
        <w:tc>
          <w:tcPr>
            <w:tcW w:w="9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tcPr>
          <w:p>
            <w:pPr>
              <w:spacing w:after="0"/>
              <w:rPr>
                <w:sz w:val="18"/>
                <w:szCs w:val="18"/>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1"/>
        </w:trPr>
        <w:tc>
          <w:tcPr>
            <w:tcW w:w="9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9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(41)</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6"/>
        </w:trPr>
        <w:tc>
          <w:tcPr>
            <w:tcW w:w="9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466</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744</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-33020</wp:posOffset>
            </wp:positionV>
            <wp:extent cx="8102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10260" cy="8255"/>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-7620</wp:posOffset>
            </wp:positionV>
            <wp:extent cx="8102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0260" cy="8255"/>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-174625</wp:posOffset>
            </wp:positionV>
            <wp:extent cx="8102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0260" cy="8255"/>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-1687195</wp:posOffset>
            </wp:positionV>
            <wp:extent cx="8102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10260" cy="8255"/>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-1829435</wp:posOffset>
            </wp:positionV>
            <wp:extent cx="8102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0260" cy="8255"/>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-2806700</wp:posOffset>
            </wp:positionV>
            <wp:extent cx="8102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10260" cy="8255"/>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-2948940</wp:posOffset>
            </wp:positionV>
            <wp:extent cx="8102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0260" cy="8255"/>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-4068445</wp:posOffset>
            </wp:positionV>
            <wp:extent cx="8102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10260" cy="8255"/>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-3926840</wp:posOffset>
            </wp:positionV>
            <wp:extent cx="8102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0260" cy="8255"/>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-4603115</wp:posOffset>
            </wp:positionV>
            <wp:extent cx="34423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42335" cy="8255"/>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-4737100</wp:posOffset>
            </wp:positionV>
            <wp:extent cx="16878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340"/>
            <w:col w:w="4980"/>
          </w:cols>
          <w:pgMar w:left="320" w:top="869"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85"/>
        </w:trPr>
        <w:tc>
          <w:tcPr>
            <w:tcW w:w="6140" w:type="dxa"/>
            <w:vAlign w:val="bottom"/>
          </w:tcPr>
          <w:p>
            <w:pPr>
              <w:spacing w:after="0"/>
              <w:rPr>
                <w:sz w:val="16"/>
                <w:szCs w:val="16"/>
                <w:color w:val="auto"/>
              </w:rPr>
            </w:pPr>
          </w:p>
        </w:tc>
        <w:tc>
          <w:tcPr>
            <w:tcW w:w="260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80" w:type="dxa"/>
            <w:vAlign w:val="bottom"/>
          </w:tcPr>
          <w:p>
            <w:pPr>
              <w:spacing w:after="0"/>
              <w:rPr>
                <w:sz w:val="16"/>
                <w:szCs w:val="16"/>
                <w:color w:val="auto"/>
              </w:rPr>
            </w:pPr>
          </w:p>
        </w:tc>
        <w:tc>
          <w:tcPr>
            <w:tcW w:w="2120" w:type="dxa"/>
            <w:vAlign w:val="bottom"/>
            <w:gridSpan w:val="4"/>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4"/>
        </w:trPr>
        <w:tc>
          <w:tcPr>
            <w:tcW w:w="6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61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6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7"/>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760" w:type="dxa"/>
            <w:vAlign w:val="bottom"/>
            <w:shd w:val="clear" w:color="auto" w:fill="CCEEFF"/>
          </w:tcPr>
          <w:p>
            <w:pPr>
              <w:jc w:val="right"/>
              <w:ind w:right="58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09"/>
        </w:trPr>
        <w:tc>
          <w:tcPr>
            <w:tcW w:w="6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6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2"/>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r>
      <w:tr>
        <w:trPr>
          <w:trHeight w:val="209"/>
        </w:trPr>
        <w:tc>
          <w:tcPr>
            <w:tcW w:w="6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76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r>
      <w:tr>
        <w:trPr>
          <w:trHeight w:val="212"/>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Acquisition-related costs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09"/>
        </w:trPr>
        <w:tc>
          <w:tcPr>
            <w:tcW w:w="6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Lease-related asset impairments and other charges</w:t>
            </w:r>
          </w:p>
        </w:tc>
        <w:tc>
          <w:tcPr>
            <w:tcW w:w="7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212"/>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strategic investments and dispositions, net</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r>
      <w:tr>
        <w:trPr>
          <w:trHeight w:val="209"/>
        </w:trPr>
        <w:tc>
          <w:tcPr>
            <w:tcW w:w="6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Establishment of valuation allowance on deferred tax assets</w:t>
            </w:r>
          </w:p>
        </w:tc>
        <w:tc>
          <w:tcPr>
            <w:tcW w:w="7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Discrete tax provision items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09"/>
        </w:trPr>
        <w:tc>
          <w:tcPr>
            <w:tcW w:w="6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(0.19)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r>
      <w:tr>
        <w:trPr>
          <w:trHeight w:val="229"/>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diluted net income per share</w:t>
            </w:r>
          </w:p>
        </w:tc>
        <w:tc>
          <w:tcPr>
            <w:tcW w:w="760" w:type="dxa"/>
            <w:vAlign w:val="bottom"/>
            <w:tcBorders>
              <w:bottom w:val="single" w:sz="8" w:color="auto"/>
            </w:tcBorders>
            <w:shd w:val="clear" w:color="auto" w:fill="CCEEFF"/>
          </w:tcPr>
          <w:p>
            <w:pPr>
              <w:jc w:val="right"/>
              <w:ind w:right="58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Totals may not sum due to rounding.</w:t>
      </w:r>
    </w:p>
    <w:p>
      <w:pPr>
        <w:spacing w:after="0" w:line="219"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non-GAAP financial measures may exclude the following, as applicable:</w:t>
      </w:r>
    </w:p>
    <w:p>
      <w:pPr>
        <w:spacing w:after="0" w:line="238" w:lineRule="exact"/>
        <w:rPr>
          <w:sz w:val="20"/>
          <w:szCs w:val="20"/>
          <w:color w:val="auto"/>
        </w:rPr>
      </w:pPr>
    </w:p>
    <w:p>
      <w:pPr>
        <w:ind w:right="18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expenses. </w:t>
      </w:r>
      <w:r>
        <w:rPr>
          <w:rFonts w:ascii="Times New Roman" w:cs="Times New Roman" w:eastAsia="Times New Roman" w:hAnsi="Times New Roman"/>
          <w:sz w:val="18"/>
          <w:szCs w:val="18"/>
          <w:color w:val="auto"/>
        </w:rPr>
        <w:t>We exclude stock-based compensation expenses from non-GAAP measures primarily because they are non-cash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212"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Amortization of developed technologies and purchased intangibles. </w:t>
      </w:r>
      <w:r>
        <w:rPr>
          <w:rFonts w:ascii="Times New Roman" w:cs="Times New Roman" w:eastAsia="Times New Roman" w:hAnsi="Times New Roman"/>
          <w:sz w:val="18"/>
          <w:szCs w:val="18"/>
          <w:color w:val="auto"/>
        </w:rPr>
        <w:t>We incur amortization of acquisition-related developed technologies and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212"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CEO transition costs. </w:t>
      </w:r>
      <w:r>
        <w:rPr>
          <w:rFonts w:ascii="Times New Roman" w:cs="Times New Roman" w:eastAsia="Times New Roman" w:hAnsi="Times New Roman"/>
          <w:sz w:val="18"/>
          <w:szCs w:val="18"/>
          <w:color w:val="auto"/>
        </w:rPr>
        <w:t>We exclude amounts paid to our former CEOs upon departure under the terms of their transition agreements, including severance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acceleration of 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212" w:lineRule="exact"/>
        <w:rPr>
          <w:sz w:val="20"/>
          <w:szCs w:val="20"/>
          <w:color w:val="auto"/>
        </w:rPr>
      </w:pPr>
    </w:p>
    <w:p>
      <w:pPr>
        <w:jc w:val="both"/>
        <w:ind w:right="50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impairment. </w:t>
      </w:r>
      <w:r>
        <w:rPr>
          <w:rFonts w:ascii="Times New Roman" w:cs="Times New Roman" w:eastAsia="Times New Roman" w:hAnsi="Times New Roman"/>
          <w:sz w:val="18"/>
          <w:szCs w:val="18"/>
          <w:color w:val="auto"/>
        </w:rPr>
        <w:t>This is a non-cash charge to write down goodwill to fair value when there was an indication that the asset was impaired.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204" w:lineRule="exact"/>
        <w:rPr>
          <w:sz w:val="20"/>
          <w:szCs w:val="20"/>
          <w:color w:val="auto"/>
        </w:rPr>
      </w:pPr>
    </w:p>
    <w:p>
      <w:pPr>
        <w:ind w:right="100" w:firstLine="395"/>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Restructuring and other exit costs, net. </w:t>
      </w:r>
      <w:r>
        <w:rPr>
          <w:rFonts w:ascii="Times New Roman" w:cs="Times New Roman" w:eastAsia="Times New Roman" w:hAnsi="Times New Roman"/>
          <w:sz w:val="16"/>
          <w:szCs w:val="16"/>
          <w:color w:val="auto"/>
        </w:rPr>
        <w:t>These expenses are associated with realigning our business strategies based on current economic conditions.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64" w:lineRule="exact"/>
        <w:rPr>
          <w:sz w:val="20"/>
          <w:szCs w:val="20"/>
          <w:color w:val="auto"/>
        </w:rPr>
      </w:pPr>
    </w:p>
    <w:p>
      <w:pPr>
        <w:jc w:val="both"/>
        <w:ind w:firstLine="395"/>
        <w:spacing w:after="0" w:line="238" w:lineRule="auto"/>
        <w:rPr>
          <w:sz w:val="20"/>
          <w:szCs w:val="20"/>
          <w:color w:val="auto"/>
        </w:rPr>
      </w:pPr>
      <w:r>
        <w:rPr>
          <w:rFonts w:ascii="Times New Roman" w:cs="Times New Roman" w:eastAsia="Times New Roman" w:hAnsi="Times New Roman"/>
          <w:sz w:val="18"/>
          <w:szCs w:val="18"/>
          <w:i w:val="1"/>
          <w:iCs w:val="1"/>
          <w:color w:val="auto"/>
        </w:rPr>
        <w:t>Lease-related asset impairments and other charges. </w:t>
      </w:r>
      <w:r>
        <w:rPr>
          <w:rFonts w:ascii="Times New Roman" w:cs="Times New Roman" w:eastAsia="Times New Roman" w:hAnsi="Times New Roman"/>
          <w:sz w:val="18"/>
          <w:szCs w:val="18"/>
          <w:color w:val="auto"/>
        </w:rPr>
        <w:t> These charges are associated with the optimization of our facilities costs related to leases for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have vacated as a result of our one-time move to a more hybrid remote workforce. In connection with these facility leases, we recognize costs related to the impairment or abandonment of operating lease right-of-use assets, computer equipment, furniture, and leasehold improvements, and other costs. We exclude these charges because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52" w:name="page53"/>
    <w:bookmarkEnd w:id="52"/>
    <w:p>
      <w:pPr>
        <w:ind w:right="180"/>
        <w:spacing w:after="0" w:line="253" w:lineRule="auto"/>
        <w:rPr>
          <w:sz w:val="20"/>
          <w:szCs w:val="20"/>
          <w:color w:val="auto"/>
        </w:rPr>
      </w:pPr>
      <w:r>
        <w:rPr>
          <w:rFonts w:ascii="Times New Roman" w:cs="Times New Roman" w:eastAsia="Times New Roman" w:hAnsi="Times New Roman"/>
          <w:sz w:val="18"/>
          <w:szCs w:val="18"/>
          <w:color w:val="auto"/>
        </w:rPr>
        <w:t>these expenses are not reflective of ongoing business and operating results. We believe it is useful for investors to understand the effects of these items on our total operating expenses.</w:t>
      </w:r>
    </w:p>
    <w:p>
      <w:pPr>
        <w:spacing w:after="0" w:line="206" w:lineRule="exact"/>
        <w:rPr>
          <w:sz w:val="20"/>
          <w:szCs w:val="20"/>
          <w:color w:val="auto"/>
        </w:rPr>
      </w:pPr>
    </w:p>
    <w:p>
      <w:pPr>
        <w:jc w:val="both"/>
        <w:ind w:right="8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Acquisition-related costs. </w:t>
      </w:r>
      <w:r>
        <w:rPr>
          <w:rFonts w:ascii="Times New Roman" w:cs="Times New Roman" w:eastAsia="Times New Roman" w:hAnsi="Times New Roman"/>
          <w:sz w:val="18"/>
          <w:szCs w:val="18"/>
          <w:color w:val="auto"/>
        </w:rPr>
        <w:t>We exclude certain acquisition-related costs, including due diligence costs, professional fees in connection with an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financing costs, and certain integration-related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acquisition-related costs, may not be indicative of such future costs. We believe excluding acquisition-related costs facilitates the comparison of our financial results to our historical operating results and to other companies in our industry.</w:t>
      </w:r>
    </w:p>
    <w:p>
      <w:pPr>
        <w:spacing w:after="0" w:line="212" w:lineRule="exact"/>
        <w:rPr>
          <w:sz w:val="20"/>
          <w:szCs w:val="20"/>
          <w:color w:val="auto"/>
        </w:rPr>
      </w:pPr>
    </w:p>
    <w:p>
      <w:pPr>
        <w:ind w:right="20" w:firstLine="395"/>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Loss (gain) on strategic investments and dispositions. </w:t>
      </w:r>
      <w:r>
        <w:rPr>
          <w:rFonts w:ascii="Times New Roman" w:cs="Times New Roman" w:eastAsia="Times New Roman" w:hAnsi="Times New Roman"/>
          <w:sz w:val="16"/>
          <w:szCs w:val="16"/>
          <w:color w:val="auto"/>
        </w:rPr>
        <w:t>We exclude gains and losses related to our strategic investments and dispositions of strategic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investments, purchased intangibles, and businesses from our non-GAAP measures primarily because management finds it useful to exclude these variable gains and losses on these investments and dispositions in assessing our financial results. Included in these amounts are non-cash unrealized gains and losses on the derivative components, dividends received, realized gains and losses on the sales or losses on the impairment of these investments, and gain and loss on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w:t>
      </w:r>
    </w:p>
    <w:p>
      <w:pPr>
        <w:spacing w:after="0" w:line="185" w:lineRule="exact"/>
        <w:rPr>
          <w:sz w:val="20"/>
          <w:szCs w:val="20"/>
          <w:color w:val="auto"/>
        </w:rPr>
      </w:pPr>
    </w:p>
    <w:p>
      <w:pPr>
        <w:ind w:right="140" w:firstLine="395"/>
        <w:spacing w:after="0" w:line="279" w:lineRule="auto"/>
        <w:rPr>
          <w:sz w:val="20"/>
          <w:szCs w:val="20"/>
          <w:color w:val="auto"/>
        </w:rPr>
      </w:pPr>
      <w:r>
        <w:rPr>
          <w:rFonts w:ascii="Times New Roman" w:cs="Times New Roman" w:eastAsia="Times New Roman" w:hAnsi="Times New Roman"/>
          <w:sz w:val="16"/>
          <w:szCs w:val="16"/>
          <w:i w:val="1"/>
          <w:iCs w:val="1"/>
          <w:color w:val="auto"/>
        </w:rPr>
        <w:t xml:space="preserve">Discrete tax provision items. </w:t>
      </w:r>
      <w:r>
        <w:rPr>
          <w:rFonts w:ascii="Times New Roman" w:cs="Times New Roman" w:eastAsia="Times New Roman" w:hAnsi="Times New Roman"/>
          <w:sz w:val="16"/>
          <w:szCs w:val="16"/>
          <w:color w:val="auto"/>
        </w:rPr>
        <w:t>We exclude the GAAP tax provision, including discrete items, from the non-GAAP measure of net income (loss),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w:t>
      </w:r>
    </w:p>
    <w:p>
      <w:pPr>
        <w:spacing w:after="0" w:line="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210" w:lineRule="exact"/>
        <w:rPr>
          <w:sz w:val="20"/>
          <w:szCs w:val="20"/>
          <w:color w:val="auto"/>
        </w:rPr>
      </w:pPr>
    </w:p>
    <w:p>
      <w:pPr>
        <w:ind w:right="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Establishment (release) of a valuation allowance on certain net deferred tax assets. </w:t>
      </w:r>
      <w:r>
        <w:rPr>
          <w:rFonts w:ascii="Times New Roman" w:cs="Times New Roman" w:eastAsia="Times New Roman" w:hAnsi="Times New Roman"/>
          <w:sz w:val="18"/>
          <w:szCs w:val="18"/>
          <w:color w:val="auto"/>
        </w:rPr>
        <w:t>This is a non-cash charge to record or to release a valuation allowance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certain deferred tax assets. As explained above, management finds it useful to exclude certain non-cash charges to assess the appropriate level of various cash expenses to assist in budgeting, planning, and forecasting future periods.</w:t>
      </w:r>
    </w:p>
    <w:p>
      <w:pPr>
        <w:spacing w:after="0" w:line="204" w:lineRule="exact"/>
        <w:rPr>
          <w:sz w:val="20"/>
          <w:szCs w:val="20"/>
          <w:color w:val="auto"/>
        </w:rPr>
      </w:pPr>
    </w:p>
    <w:p>
      <w:pPr>
        <w:ind w:right="3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effects on the difference between GAAP and non-GAAP costs and expenses. </w:t>
      </w:r>
      <w:r>
        <w:rPr>
          <w:rFonts w:ascii="Times New Roman" w:cs="Times New Roman" w:eastAsia="Times New Roman" w:hAnsi="Times New Roman"/>
          <w:sz w:val="18"/>
          <w:szCs w:val="18"/>
          <w:color w:val="auto"/>
        </w:rPr>
        <w:t>The income tax effects that are excluded from the non-GAAP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relate to the tax impact on the difference between GAAP and non-GAAP expenses, primarily due to stock-based compensation, amortization of purchased intangibles, and restructuring charges and other exit costs (benefits) for GAAP and non-GAAP measures.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2"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Long-term cash requirements for items other than normal operating expenses are anticipated for the following: the acquisition of businesses, software products, or technologies complementary to our business; repayment of debt; common stock repurchases; and capital expenditures, including the purchase and implementation of internal-use software applications.</w:t>
      </w:r>
    </w:p>
    <w:p>
      <w:pPr>
        <w:spacing w:after="0" w:line="212" w:lineRule="exact"/>
        <w:rPr>
          <w:sz w:val="20"/>
          <w:szCs w:val="20"/>
          <w:color w:val="auto"/>
        </w:rPr>
      </w:pPr>
    </w:p>
    <w:p>
      <w:pPr>
        <w:ind w:right="700" w:firstLine="395"/>
        <w:spacing w:after="0" w:line="268" w:lineRule="auto"/>
        <w:rPr>
          <w:sz w:val="20"/>
          <w:szCs w:val="20"/>
          <w:color w:val="auto"/>
        </w:rPr>
      </w:pPr>
      <w:r>
        <w:rPr>
          <w:rFonts w:ascii="Times New Roman" w:cs="Times New Roman" w:eastAsia="Times New Roman" w:hAnsi="Times New Roman"/>
          <w:sz w:val="18"/>
          <w:szCs w:val="18"/>
          <w:color w:val="auto"/>
        </w:rPr>
        <w:t>At July 31, 2024, our principal sources of liquidity were cash, cash equivalents, and marketable securities totaling $2.11 billion and net accounts receivable of $402 million.</w:t>
      </w:r>
    </w:p>
    <w:p>
      <w:pPr>
        <w:spacing w:after="0" w:line="183" w:lineRule="exact"/>
        <w:rPr>
          <w:sz w:val="20"/>
          <w:szCs w:val="20"/>
          <w:color w:val="auto"/>
        </w:rPr>
      </w:pPr>
    </w:p>
    <w:p>
      <w:pPr>
        <w:ind w:firstLine="395"/>
        <w:spacing w:after="0" w:line="232" w:lineRule="auto"/>
        <w:rPr>
          <w:sz w:val="20"/>
          <w:szCs w:val="20"/>
          <w:color w:val="auto"/>
        </w:rPr>
      </w:pPr>
      <w:r>
        <w:rPr>
          <w:rFonts w:ascii="Times New Roman" w:cs="Times New Roman" w:eastAsia="Times New Roman" w:hAnsi="Times New Roman"/>
          <w:sz w:val="18"/>
          <w:szCs w:val="18"/>
          <w:color w:val="auto"/>
        </w:rPr>
        <w:t>In November 2022, Autodesk entered into an amended and restated credit agreement (“Credit Agreement”) by and among Autodesk, the lenders party thereto, and Citibank, N.A., as agent, that provides for a revolving credit facility in the aggregate principal amount of $1.5 billion with an option to be increased up to $2.0 billion. The revolving credit facility is available for working capital or other business needs. The maturity date on the Credit Agreement is September 30, 2026. At July 31, 2024, Autodesk had no outstanding borrowings under the Credit Agreement. Additionally, as of September 3, 2024, we have no amounts outstanding under the Credit Agreement. See Part I, Item 1, “Financial Statements,” Note 14, “Borrowing Arrangements,” in the Notes to Condensed Consolidated Financial Statements for further discussion on our covenant</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3" w:name="page54"/>
    <w:bookmarkEnd w:id="53"/>
    <w:p>
      <w:pPr>
        <w:ind w:right="240"/>
        <w:spacing w:after="0" w:line="253" w:lineRule="auto"/>
        <w:rPr>
          <w:sz w:val="20"/>
          <w:szCs w:val="20"/>
          <w:color w:val="auto"/>
        </w:rPr>
      </w:pPr>
      <w:r>
        <w:rPr>
          <w:rFonts w:ascii="Times New Roman" w:cs="Times New Roman" w:eastAsia="Times New Roman" w:hAnsi="Times New Roman"/>
          <w:sz w:val="18"/>
          <w:szCs w:val="18"/>
          <w:color w:val="auto"/>
        </w:rPr>
        <w:t>requirements and recent amendments to the Credit Agreement. If we are unable to remain in compliance with the covenants under the Credit Agreement, we will not be able to draw on our revolving credit facility.</w:t>
      </w:r>
    </w:p>
    <w:p>
      <w:pPr>
        <w:spacing w:after="0" w:line="195" w:lineRule="exact"/>
        <w:rPr>
          <w:sz w:val="20"/>
          <w:szCs w:val="20"/>
          <w:color w:val="auto"/>
        </w:rPr>
      </w:pPr>
    </w:p>
    <w:p>
      <w:pPr>
        <w:ind w:right="420" w:firstLine="395"/>
        <w:spacing w:after="0" w:line="315" w:lineRule="auto"/>
        <w:rPr>
          <w:sz w:val="20"/>
          <w:szCs w:val="20"/>
          <w:color w:val="auto"/>
        </w:rPr>
      </w:pPr>
      <w:r>
        <w:rPr>
          <w:rFonts w:ascii="Times New Roman" w:cs="Times New Roman" w:eastAsia="Times New Roman" w:hAnsi="Times New Roman"/>
          <w:sz w:val="16"/>
          <w:szCs w:val="16"/>
          <w:color w:val="auto"/>
        </w:rPr>
        <w:t>As of July 31, 2024, we have $2.30 billion aggregate principal amount of notes outstanding, with $300 million due in fiscal 2026. See Part I, Item 1, “Financial Statements,” Note 14, “Borrowing Arrangements,” in the Notes to Condensed Consolidated Financial Statements for further discussion.</w:t>
      </w:r>
    </w:p>
    <w:p>
      <w:pPr>
        <w:spacing w:after="0" w:line="162"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$1.5 billion revolving credit facility.</w:t>
      </w:r>
    </w:p>
    <w:p>
      <w:pPr>
        <w:spacing w:after="0" w:line="206" w:lineRule="exact"/>
        <w:rPr>
          <w:sz w:val="20"/>
          <w:szCs w:val="20"/>
          <w:color w:val="auto"/>
        </w:rPr>
      </w:pPr>
    </w:p>
    <w:p>
      <w:pPr>
        <w:ind w:right="120" w:firstLine="395"/>
        <w:spacing w:after="0" w:line="248" w:lineRule="auto"/>
        <w:rPr>
          <w:sz w:val="20"/>
          <w:szCs w:val="20"/>
          <w:color w:val="auto"/>
        </w:rPr>
      </w:pPr>
      <w:r>
        <w:rPr>
          <w:rFonts w:ascii="Times New Roman" w:cs="Times New Roman" w:eastAsia="Times New Roman" w:hAnsi="Times New Roman"/>
          <w:sz w:val="18"/>
          <w:szCs w:val="18"/>
          <w:color w:val="auto"/>
        </w:rPr>
        <w:t>Our cash and cash equivalents balances are concentrated in a few locations around the world, with substantial amounts held outside of the United States. As of July 31, 2024, approximately 77% of our total cash or cash equivalents are located in foreign jurisdictions and that percentage will fluctuate subject to business needs. There are several factors that can impact our ability to utilize foreign cash balances, such as foreign exchange restrictions, foreign regulatory restrictions, or adverse tax costs. Earnings in foreign jurisdictions are generally available for distribution to the United States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or in combination of current cash balances, ongoing cash flows, and external borrowings.</w:t>
      </w:r>
    </w:p>
    <w:p>
      <w:pPr>
        <w:spacing w:after="0" w:line="213"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Cash from operations could also be affected by various risks and uncertainties, including, but not limited to, the risks detailed in Part II, Item 1A titled “Risk Factors.” Based on our current business plan and revenue prospects, we believe that our existing cash and cash equivalents, our anticipated cash flows from operations, and our available revolving credit facility will be sufficient to meet our working capital and operating resource expenditure requirements for at least the next 12 months.</w:t>
      </w:r>
    </w:p>
    <w:p>
      <w:pPr>
        <w:spacing w:after="0" w:line="210"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4"/>
        </w:trPr>
        <w:tc>
          <w:tcPr>
            <w:tcW w:w="8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5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center"/>
              <w:ind w:left="565"/>
              <w:spacing w:after="0"/>
              <w:rPr>
                <w:sz w:val="20"/>
                <w:szCs w:val="20"/>
                <w:color w:val="auto"/>
              </w:rPr>
            </w:pPr>
            <w:r>
              <w:rPr>
                <w:rFonts w:ascii="Times New Roman" w:cs="Times New Roman" w:eastAsia="Times New Roman" w:hAnsi="Times New Roman"/>
                <w:sz w:val="16"/>
                <w:szCs w:val="16"/>
                <w:color w:val="auto"/>
                <w:w w:val="99"/>
              </w:rPr>
              <w:t>706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center"/>
              <w:ind w:left="563"/>
              <w:spacing w:after="0"/>
              <w:rPr>
                <w:sz w:val="20"/>
                <w:szCs w:val="20"/>
                <w:color w:val="auto"/>
              </w:rPr>
            </w:pPr>
            <w:r>
              <w:rPr>
                <w:rFonts w:ascii="Times New Roman" w:cs="Times New Roman" w:eastAsia="Times New Roman" w:hAnsi="Times New Roman"/>
                <w:sz w:val="16"/>
                <w:szCs w:val="16"/>
                <w:color w:val="auto"/>
                <w:w w:val="99"/>
              </w:rPr>
              <w:t>858</w:t>
            </w:r>
          </w:p>
        </w:tc>
        <w:tc>
          <w:tcPr>
            <w:tcW w:w="0" w:type="dxa"/>
            <w:vAlign w:val="bottom"/>
          </w:tcPr>
          <w:p>
            <w:pPr>
              <w:spacing w:after="0"/>
              <w:rPr>
                <w:sz w:val="1"/>
                <w:szCs w:val="1"/>
                <w:color w:val="auto"/>
              </w:rPr>
            </w:pP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spacing w:after="0"/>
              <w:rPr>
                <w:sz w:val="18"/>
                <w:szCs w:val="18"/>
                <w:color w:val="auto"/>
              </w:rPr>
            </w:pPr>
          </w:p>
        </w:tc>
        <w:tc>
          <w:tcPr>
            <w:tcW w:w="1000" w:type="dxa"/>
            <w:vAlign w:val="bottom"/>
          </w:tcPr>
          <w:p>
            <w:pPr>
              <w:jc w:val="center"/>
              <w:ind w:left="545"/>
              <w:spacing w:after="0"/>
              <w:rPr>
                <w:sz w:val="20"/>
                <w:szCs w:val="20"/>
                <w:color w:val="auto"/>
              </w:rPr>
            </w:pPr>
            <w:r>
              <w:rPr>
                <w:rFonts w:ascii="Times New Roman" w:cs="Times New Roman" w:eastAsia="Times New Roman" w:hAnsi="Times New Roman"/>
                <w:sz w:val="16"/>
                <w:szCs w:val="16"/>
                <w:color w:val="auto"/>
                <w:w w:val="97"/>
              </w:rPr>
              <w:t>(864)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center"/>
              <w:ind w:left="523"/>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1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545"/>
              <w:spacing w:after="0"/>
              <w:rPr>
                <w:sz w:val="20"/>
                <w:szCs w:val="20"/>
                <w:color w:val="auto"/>
              </w:rPr>
            </w:pPr>
            <w:r>
              <w:rPr>
                <w:rFonts w:ascii="Times New Roman" w:cs="Times New Roman" w:eastAsia="Times New Roman" w:hAnsi="Times New Roman"/>
                <w:sz w:val="16"/>
                <w:szCs w:val="16"/>
                <w:color w:val="auto"/>
                <w:w w:val="97"/>
              </w:rPr>
              <w:t>(221)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523"/>
              <w:spacing w:after="0"/>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of $706 million for the six months ended July 31, 2024, primarily consisted of $534 million of our net income adjusted for $442 million non-cash items such as stock-based compensation expense, and depreciation, amortization, and accretion expense, and deferred income tax. The decrease in working capital is primarily due to a decrease in deferred revenue of $577 million due to the timing of our billing installments and seasonality of billings in the fourth fiscal quarter partially offset by the change in accounts receivable of $477 million due to the seasonality of our billings in the fourth fiscal quarter and timing of cash collections from customers.</w:t>
      </w:r>
    </w:p>
    <w:p>
      <w:pPr>
        <w:spacing w:after="0" w:line="212"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Net cash provided by operating activities of $858 million for the six months ended July 31, 2023, primarily consisted of $383 million of our net income adjusted for $400 million non-cash items such as stock-based compensation expense, and depreciation, amortization, and accretion expense, and deferred income tax. Cash provided by working capital increased due to the change in accounts receivable of $559 million due to the seasonality of our billings in the fourth fiscal quarter and timing of cash collections from customers offset in part by a decrease in deferred revenue of $350 million due to the timing of our billing installments and seasonality of billings in the fourth fiscal quarter and the change in accounts payable and other liabilities of $106 million primarily due to the timing of payments related to employee compensation and related costs.</w:t>
      </w:r>
    </w:p>
    <w:p>
      <w:pPr>
        <w:spacing w:after="0" w:line="212" w:lineRule="exact"/>
        <w:rPr>
          <w:sz w:val="20"/>
          <w:szCs w:val="20"/>
          <w:color w:val="auto"/>
        </w:rPr>
      </w:pPr>
    </w:p>
    <w:p>
      <w:pPr>
        <w:ind w:right="200" w:firstLine="395"/>
        <w:spacing w:after="0" w:line="252" w:lineRule="auto"/>
        <w:rPr>
          <w:sz w:val="20"/>
          <w:szCs w:val="20"/>
          <w:color w:val="auto"/>
        </w:rPr>
      </w:pPr>
      <w:r>
        <w:rPr>
          <w:rFonts w:ascii="Times New Roman" w:cs="Times New Roman" w:eastAsia="Times New Roman" w:hAnsi="Times New Roman"/>
          <w:sz w:val="18"/>
          <w:szCs w:val="18"/>
          <w:color w:val="auto"/>
        </w:rPr>
        <w:t>Net cash used in investing activities was $864 million for the six months ended July 31, 2024, primarily due to business combinations, net of cash acquired, and purchases of marketable securities partially offset by the sales and maturities of marketable securities. Net cash used in investing activities was $418 million for the six months ended July 31, 2023, primarily due to purchases of marketable securities partially offset by the sales and maturities of marketable securities.</w:t>
      </w:r>
    </w:p>
    <w:p>
      <w:pPr>
        <w:spacing w:after="0" w:line="210" w:lineRule="exact"/>
        <w:rPr>
          <w:sz w:val="20"/>
          <w:szCs w:val="20"/>
          <w:color w:val="auto"/>
        </w:rPr>
      </w:pPr>
    </w:p>
    <w:p>
      <w:pPr>
        <w:ind w:right="140" w:firstLine="395"/>
        <w:spacing w:after="0" w:line="332" w:lineRule="auto"/>
        <w:rPr>
          <w:sz w:val="20"/>
          <w:szCs w:val="20"/>
          <w:color w:val="auto"/>
        </w:rPr>
      </w:pPr>
      <w:r>
        <w:rPr>
          <w:rFonts w:ascii="Times New Roman" w:cs="Times New Roman" w:eastAsia="Times New Roman" w:hAnsi="Times New Roman"/>
          <w:sz w:val="16"/>
          <w:szCs w:val="16"/>
          <w:color w:val="auto"/>
        </w:rPr>
        <w:t>Net cash used in financing activities was $221 million for the six months ended July 31, 2024, primarily due to taxes paid related to net share settlement of equity awards and repurchases of common stock and $665 million for the six months ended July 31, 2023, primarily due to repurchases of common stock.</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2" w:lineRule="exact"/>
        <w:rPr>
          <w:sz w:val="20"/>
          <w:szCs w:val="20"/>
          <w:color w:val="auto"/>
        </w:rPr>
      </w:pPr>
    </w:p>
    <w:p>
      <w:pPr>
        <w:ind w:right="100" w:firstLine="395"/>
        <w:spacing w:after="0" w:line="248" w:lineRule="auto"/>
        <w:rPr>
          <w:sz w:val="20"/>
          <w:szCs w:val="20"/>
          <w:color w:val="auto"/>
        </w:rPr>
      </w:pPr>
      <w:r>
        <w:rPr>
          <w:rFonts w:ascii="Times New Roman" w:cs="Times New Roman" w:eastAsia="Times New Roman" w:hAnsi="Times New Roman"/>
          <w:sz w:val="18"/>
          <w:szCs w:val="18"/>
          <w:color w:val="auto"/>
        </w:rPr>
        <w:t>Autodesk's stock repurchase programs provide Autodesk with the ability to offset the dilution from the issuance of stock under our employee stock plans and reduce shares outstanding over time and has the effect of returning excess cash generated from our business to stockholders. Under the share repurchase programs, Autodesk may repurchase shares from time to time in open market transactions, privately negotiated transactions, accelerated share repurchase programs, tender offers, or by other means. The share repurchase programs do not have an expiration date and the pace and timing of repurchases will depend on factors such as cash generation from operations, available surplus, the volume of employee stock plan activity, remaining shares or dollar amount available in the authorized pool, cash requirements for acquisitions, cash requirements to retire outstanding debt, economic and market conditions, stock price, and legal and regulatory requirements.</w:t>
      </w:r>
    </w:p>
    <w:p>
      <w:pPr>
        <w:spacing w:after="0" w:line="213"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provides information about the repurchase of common stock in open-market transactions during the three months ended July 31,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20" w:type="dxa"/>
            <w:vAlign w:val="bottom"/>
          </w:tcPr>
          <w:p>
            <w:pPr>
              <w:spacing w:after="0"/>
              <w:rPr>
                <w:sz w:val="13"/>
                <w:szCs w:val="13"/>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Approximate Dollar Value of Shares</w:t>
            </w:r>
          </w:p>
        </w:tc>
        <w:tc>
          <w:tcPr>
            <w:tcW w:w="0" w:type="dxa"/>
            <w:vAlign w:val="bottom"/>
          </w:tcPr>
          <w:p>
            <w:pPr>
              <w:spacing w:after="0"/>
              <w:rPr>
                <w:sz w:val="1"/>
                <w:szCs w:val="1"/>
                <w:color w:val="auto"/>
              </w:rPr>
            </w:pPr>
          </w:p>
        </w:tc>
      </w:tr>
      <w:tr>
        <w:trPr>
          <w:trHeight w:val="145"/>
        </w:trPr>
        <w:tc>
          <w:tcPr>
            <w:tcW w:w="4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2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2"/>
          </w:tcPr>
          <w:p>
            <w:pPr>
              <w:jc w:val="right"/>
              <w:ind w:right="3"/>
              <w:spacing w:after="0" w:line="145" w:lineRule="exact"/>
              <w:rPr>
                <w:sz w:val="20"/>
                <w:szCs w:val="20"/>
                <w:color w:val="auto"/>
              </w:rPr>
            </w:pPr>
            <w:r>
              <w:rPr>
                <w:rFonts w:ascii="Times New Roman" w:cs="Times New Roman" w:eastAsia="Times New Roman" w:hAnsi="Times New Roman"/>
                <w:sz w:val="14"/>
                <w:szCs w:val="14"/>
                <w:b w:val="1"/>
                <w:bCs w:val="1"/>
                <w:color w:val="auto"/>
              </w:rPr>
              <w:t>that May Yet Be Purchased Under</w:t>
            </w:r>
          </w:p>
        </w:tc>
        <w:tc>
          <w:tcPr>
            <w:tcW w:w="0" w:type="dxa"/>
            <w:vAlign w:val="bottom"/>
          </w:tcPr>
          <w:p>
            <w:pPr>
              <w:spacing w:after="0"/>
              <w:rPr>
                <w:sz w:val="1"/>
                <w:szCs w:val="1"/>
                <w:color w:val="auto"/>
              </w:rPr>
            </w:pPr>
          </w:p>
        </w:tc>
      </w:tr>
      <w:tr>
        <w:trPr>
          <w:trHeight w:val="143"/>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13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Purchased as Part of Publicly</w:t>
            </w:r>
          </w:p>
        </w:tc>
        <w:tc>
          <w:tcPr>
            <w:tcW w:w="120" w:type="dxa"/>
            <w:vAlign w:val="bottom"/>
          </w:tcPr>
          <w:p>
            <w:pPr>
              <w:spacing w:after="0"/>
              <w:rPr>
                <w:sz w:val="12"/>
                <w:szCs w:val="12"/>
                <w:color w:val="auto"/>
              </w:rPr>
            </w:pPr>
          </w:p>
        </w:tc>
        <w:tc>
          <w:tcPr>
            <w:tcW w:w="22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 xml:space="preserve">the Plans or Programs </w:t>
            </w:r>
            <w:r>
              <w:rPr>
                <w:rFonts w:ascii="Times New Roman" w:cs="Times New Roman" w:eastAsia="Times New Roman" w:hAnsi="Times New Roman"/>
                <w:sz w:val="14"/>
                <w:szCs w:val="14"/>
                <w:b w:val="1"/>
                <w:bCs w:val="1"/>
                <w:i w:val="1"/>
                <w:iCs w:val="1"/>
                <w:color w:val="auto"/>
              </w:rPr>
              <w:t>(in millions)</w:t>
            </w:r>
          </w:p>
        </w:tc>
        <w:tc>
          <w:tcPr>
            <w:tcW w:w="0" w:type="dxa"/>
            <w:vAlign w:val="bottom"/>
          </w:tcPr>
          <w:p>
            <w:pPr>
              <w:spacing w:after="0"/>
              <w:rPr>
                <w:sz w:val="1"/>
                <w:szCs w:val="1"/>
                <w:color w:val="auto"/>
              </w:rPr>
            </w:pPr>
          </w:p>
        </w:tc>
      </w:tr>
      <w:tr>
        <w:trPr>
          <w:trHeight w:val="192"/>
        </w:trPr>
        <w:tc>
          <w:tcPr>
            <w:tcW w:w="4180" w:type="dxa"/>
            <w:vAlign w:val="bottom"/>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 (1)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tcPr>
          <w:p>
            <w:pPr>
              <w:jc w:val="right"/>
              <w:ind w:right="943"/>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May 1 - May 31</w:t>
            </w:r>
          </w:p>
        </w:tc>
        <w:tc>
          <w:tcPr>
            <w:tcW w:w="13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w:t>
            </w:r>
          </w:p>
        </w:tc>
        <w:tc>
          <w:tcPr>
            <w:tcW w:w="0" w:type="dxa"/>
            <w:vAlign w:val="bottom"/>
          </w:tcPr>
          <w:p>
            <w:pPr>
              <w:spacing w:after="0"/>
              <w:rPr>
                <w:sz w:val="1"/>
                <w:szCs w:val="1"/>
                <w:color w:val="auto"/>
              </w:rPr>
            </w:pPr>
          </w:p>
        </w:tc>
      </w:tr>
      <w:tr>
        <w:trPr>
          <w:trHeight w:val="209"/>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1 - June 30</w:t>
            </w:r>
          </w:p>
        </w:tc>
        <w:tc>
          <w:tcPr>
            <w:tcW w:w="13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239.06</w:t>
            </w:r>
          </w:p>
        </w:tc>
        <w:tc>
          <w:tcPr>
            <w:tcW w:w="1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4,704</w:t>
            </w:r>
          </w:p>
        </w:tc>
        <w:tc>
          <w:tcPr>
            <w:tcW w:w="0" w:type="dxa"/>
            <w:vAlign w:val="bottom"/>
          </w:tcPr>
          <w:p>
            <w:pPr>
              <w:spacing w:after="0"/>
              <w:rPr>
                <w:sz w:val="1"/>
                <w:szCs w:val="1"/>
                <w:color w:val="auto"/>
              </w:rPr>
            </w:pPr>
          </w:p>
        </w:tc>
      </w:tr>
      <w:tr>
        <w:trPr>
          <w:trHeight w:val="21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 July 31</w:t>
            </w:r>
          </w:p>
        </w:tc>
        <w:tc>
          <w:tcPr>
            <w:tcW w:w="13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246.37</w:t>
            </w:r>
          </w:p>
        </w:tc>
        <w:tc>
          <w:tcPr>
            <w:tcW w:w="120" w:type="dxa"/>
            <w:vAlign w:val="bottom"/>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4,615</w:t>
            </w:r>
          </w:p>
        </w:tc>
        <w:tc>
          <w:tcPr>
            <w:tcW w:w="0" w:type="dxa"/>
            <w:vAlign w:val="bottom"/>
          </w:tcPr>
          <w:p>
            <w:pPr>
              <w:spacing w:after="0"/>
              <w:rPr>
                <w:sz w:val="1"/>
                <w:szCs w:val="1"/>
                <w:color w:val="auto"/>
              </w:rPr>
            </w:pPr>
          </w:p>
        </w:tc>
      </w:tr>
      <w:tr>
        <w:trPr>
          <w:trHeight w:val="204"/>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471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244.63</w:t>
            </w:r>
          </w:p>
        </w:tc>
        <w:tc>
          <w:tcPr>
            <w:tcW w:w="120" w:type="dxa"/>
            <w:vAlign w:val="bottom"/>
          </w:tcPr>
          <w:p>
            <w:pPr>
              <w:spacing w:after="0"/>
              <w:rPr>
                <w:sz w:val="17"/>
                <w:szCs w:val="17"/>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hanging="395"/>
        <w:spacing w:after="0"/>
        <w:tabs>
          <w:tab w:leader="none" w:pos="4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represents shares purchased in open-market transactions under the stock repurchase plan approved by the Board of Directors in November 2022.</w:t>
      </w:r>
    </w:p>
    <w:p>
      <w:pPr>
        <w:spacing w:after="0" w:line="4" w:lineRule="exact"/>
        <w:rPr>
          <w:rFonts w:ascii="Times New Roman" w:cs="Times New Roman" w:eastAsia="Times New Roman" w:hAnsi="Times New Roman"/>
          <w:sz w:val="16"/>
          <w:szCs w:val="16"/>
          <w:color w:val="auto"/>
        </w:rPr>
      </w:pPr>
    </w:p>
    <w:p>
      <w:pPr>
        <w:ind w:left="400" w:right="200" w:hanging="395"/>
        <w:spacing w:after="0" w:line="251" w:lineRule="auto"/>
        <w:tabs>
          <w:tab w:leader="none" w:pos="4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correspond to the plan publicly announced and approved by the Board of Directors in November 2022 that authorized the repurchase of $5 billion. At July 31, 2024, $4.62 billion remained available for repurchase under the November 2022 repurchase program. The plan does not have a fixed expiration date. See Part I, Item 1, “Financial Statements,” Note 18, “Stockholders' Equity,” in the Notes to the Condensed Consolidated Financial Statements for further discussion.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Billings: </w:t>
      </w:r>
      <w:r>
        <w:rPr>
          <w:rFonts w:ascii="Times New Roman" w:cs="Times New Roman" w:eastAsia="Times New Roman" w:hAnsi="Times New Roman"/>
          <w:sz w:val="18"/>
          <w:szCs w:val="18"/>
          <w:color w:val="auto"/>
        </w:rPr>
        <w:t>Total revenue plus the net change in deferred revenue from the beginning to the end of the period.</w:t>
      </w:r>
    </w:p>
    <w:p>
      <w:pPr>
        <w:spacing w:after="0" w:line="240" w:lineRule="exact"/>
        <w:rPr>
          <w:sz w:val="20"/>
          <w:szCs w:val="20"/>
          <w:color w:val="auto"/>
        </w:rPr>
      </w:pPr>
    </w:p>
    <w:p>
      <w:pPr>
        <w:ind w:right="900"/>
        <w:spacing w:after="0" w:line="271" w:lineRule="auto"/>
        <w:rPr>
          <w:sz w:val="20"/>
          <w:szCs w:val="20"/>
          <w:color w:val="auto"/>
        </w:rPr>
      </w:pPr>
      <w:r>
        <w:rPr>
          <w:rFonts w:ascii="Times New Roman" w:cs="Times New Roman" w:eastAsia="Times New Roman" w:hAnsi="Times New Roman"/>
          <w:sz w:val="18"/>
          <w:szCs w:val="18"/>
          <w:i w:val="1"/>
          <w:iCs w:val="1"/>
          <w:color w:val="auto"/>
        </w:rPr>
        <w:t>Cloud Service Offerings</w:t>
      </w:r>
      <w:r>
        <w:rPr>
          <w:rFonts w:ascii="Times New Roman" w:cs="Times New Roman" w:eastAsia="Times New Roman" w:hAnsi="Times New Roman"/>
          <w:sz w:val="18"/>
          <w:szCs w:val="18"/>
          <w:color w:val="auto"/>
        </w:rPr>
        <w:t>: Represents individual term-based offerings deployed through web browser technologies or in a hybrid software and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configuration. Cloud service offerings that are bundled with other product offerings are not captured as a separate cloud service offering.</w:t>
      </w:r>
    </w:p>
    <w:p>
      <w:pPr>
        <w:spacing w:after="0" w:line="190"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Constant Currency (CC) Growth Rates: </w:t>
      </w:r>
      <w:r>
        <w:rPr>
          <w:rFonts w:ascii="Times New Roman" w:cs="Times New Roman" w:eastAsia="Times New Roman" w:hAnsi="Times New Roman"/>
          <w:sz w:val="18"/>
          <w:szCs w:val="18"/>
          <w:color w:val="auto"/>
        </w:rPr>
        <w:t>We attempt to represent the changes in the underlying business operations by eliminating fluctuations caused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206"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Design Business: </w:t>
      </w:r>
      <w:r>
        <w:rPr>
          <w:rFonts w:ascii="Times New Roman" w:cs="Times New Roman" w:eastAsia="Times New Roman" w:hAnsi="Times New Roman"/>
          <w:sz w:val="18"/>
          <w:szCs w:val="18"/>
          <w:color w:val="auto"/>
        </w:rPr>
        <w:t>Represents the combination of maintenance, product subscriptions, and all EBAs. Main products include, but are not limited to, AutoCAD,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AutoCAD LT, Industry Collections, Revit, Inventor, Maya and 3ds Max. Certain products, such as our computer aided manufacturing solutions, incorporate both Design and Make functionality and are classified as Design.</w:t>
      </w:r>
    </w:p>
    <w:p>
      <w:pPr>
        <w:spacing w:after="0" w:line="204" w:lineRule="exact"/>
        <w:rPr>
          <w:sz w:val="20"/>
          <w:szCs w:val="20"/>
          <w:color w:val="auto"/>
        </w:rPr>
      </w:pPr>
    </w:p>
    <w:p>
      <w:pPr>
        <w:jc w:val="both"/>
        <w:ind w:right="24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Enterprise Business Agreements (EBAs): </w:t>
      </w:r>
      <w:r>
        <w:rPr>
          <w:rFonts w:ascii="Times New Roman" w:cs="Times New Roman" w:eastAsia="Times New Roman" w:hAnsi="Times New Roman"/>
          <w:sz w:val="18"/>
          <w:szCs w:val="18"/>
          <w:color w:val="auto"/>
        </w:rPr>
        <w:t>Represents programs providing enterprise customers with token-based access to a broad pool of Autodesk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a defined contract term.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Flex: </w:t>
      </w:r>
      <w:r>
        <w:rPr>
          <w:rFonts w:ascii="Times New Roman" w:cs="Times New Roman" w:eastAsia="Times New Roman" w:hAnsi="Times New Roman"/>
          <w:sz w:val="18"/>
          <w:szCs w:val="18"/>
          <w:color w:val="auto"/>
        </w:rPr>
        <w:t>A pay-as-you-go consumption option to pre-purchase tokens to access any product available with Flex for a daily rate.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Cash flow from operating activities minus capital expenditures.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55" w:name="page56"/>
    <w:bookmarkEnd w:id="55"/>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Industry Collections: </w:t>
      </w:r>
      <w:r>
        <w:rPr>
          <w:rFonts w:ascii="Times New Roman" w:cs="Times New Roman" w:eastAsia="Times New Roman" w:hAnsi="Times New Roman"/>
          <w:sz w:val="18"/>
          <w:szCs w:val="18"/>
          <w:color w:val="auto"/>
        </w:rPr>
        <w:t>Autodesk Industry Collections are a combination of products and services that target a specific user objective and support a set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workflows for that objective. Our Industry Collections consist of: Autodesk Architecture, Engineering and Construction Collection, Autodesk Product Design and Manufacturing Collection, and Autodesk Media and Entertainment Collection.</w:t>
      </w:r>
    </w:p>
    <w:p>
      <w:pPr>
        <w:spacing w:after="0" w:line="204" w:lineRule="exact"/>
        <w:rPr>
          <w:sz w:val="20"/>
          <w:szCs w:val="20"/>
          <w:color w:val="auto"/>
        </w:rPr>
      </w:pPr>
    </w:p>
    <w:p>
      <w:pPr>
        <w:ind w:right="180"/>
        <w:spacing w:after="0" w:line="304" w:lineRule="auto"/>
        <w:rPr>
          <w:sz w:val="20"/>
          <w:szCs w:val="20"/>
          <w:color w:val="auto"/>
        </w:rPr>
      </w:pPr>
      <w:r>
        <w:rPr>
          <w:rFonts w:ascii="Times New Roman" w:cs="Times New Roman" w:eastAsia="Times New Roman" w:hAnsi="Times New Roman"/>
          <w:sz w:val="16"/>
          <w:szCs w:val="16"/>
          <w:i w:val="1"/>
          <w:iCs w:val="1"/>
          <w:color w:val="auto"/>
        </w:rPr>
        <w:t xml:space="preserve">Maintenance Plan: </w:t>
      </w:r>
      <w:r>
        <w:rPr>
          <w:rFonts w:ascii="Times New Roman" w:cs="Times New Roman" w:eastAsia="Times New Roman" w:hAnsi="Times New Roman"/>
          <w:sz w:val="16"/>
          <w:szCs w:val="16"/>
          <w:color w:val="auto"/>
        </w:rPr>
        <w:t>Our maintenance plans provide our customers with a cost effective and predictable budgetary option to obtain the productivity benefits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one year.</w:t>
      </w:r>
    </w:p>
    <w:p>
      <w:pPr>
        <w:spacing w:after="0" w:line="16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Make Business: </w:t>
      </w:r>
      <w:r>
        <w:rPr>
          <w:rFonts w:ascii="Times New Roman" w:cs="Times New Roman" w:eastAsia="Times New Roman" w:hAnsi="Times New Roman"/>
          <w:sz w:val="18"/>
          <w:szCs w:val="18"/>
          <w:color w:val="auto"/>
        </w:rPr>
        <w:t>Represents certain cloud-based product subscriptions. Main products include, but are not limited to, Assemble, Autodesk Build, BIM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Collaborate Pro, BuildingConnected, Fusion, and Flow Production Tracking. Certain products, such as Fusion, incorporate both Design and Make functionality and are classified as Make.</w:t>
      </w:r>
    </w:p>
    <w:p>
      <w:pPr>
        <w:spacing w:after="0" w:line="204"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Net Revenue Retention Rate (NR3): </w:t>
      </w:r>
      <w:r>
        <w:rPr>
          <w:rFonts w:ascii="Times New Roman" w:cs="Times New Roman" w:eastAsia="Times New Roman" w:hAnsi="Times New Roman"/>
          <w:sz w:val="16"/>
          <w:szCs w:val="16"/>
          <w:color w:val="auto"/>
        </w:rPr>
        <w:t>Measures the year-over-year change in Recurring Revenue for the population of customers that existed one year ago (“base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customers”). Net revenue retention rate is calculated by dividing the current quarter Recurring Revenue related to base customers by the total corresponding quarter Recurring Revenue from one year ago. Recurring Revenue is based on USD reported revenue, and fluctuations caused by changes in foreign currency exchange rates and hedge gains or losses have not been eliminated. Recurring Revenue related to acquired companies, one year after acquisition, has been captured as existing customers until such data conforms to the calculation methodology. This may cause variability in the comparison.</w:t>
      </w:r>
    </w:p>
    <w:p>
      <w:pPr>
        <w:spacing w:after="0" w:line="182" w:lineRule="exact"/>
        <w:rPr>
          <w:sz w:val="20"/>
          <w:szCs w:val="20"/>
          <w:color w:val="auto"/>
        </w:rPr>
      </w:pPr>
    </w:p>
    <w:p>
      <w:pPr>
        <w:ind w:right="72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Consists of revenue from consulting, and other products and services, and is recognized as the products are delivered and services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w:t>
      </w:r>
    </w:p>
    <w:p>
      <w:pPr>
        <w:spacing w:after="0" w:line="19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Subscription: </w:t>
      </w:r>
      <w:r>
        <w:rPr>
          <w:rFonts w:ascii="Times New Roman" w:cs="Times New Roman" w:eastAsia="Times New Roman" w:hAnsi="Times New Roman"/>
          <w:sz w:val="18"/>
          <w:szCs w:val="18"/>
          <w:color w:val="auto"/>
        </w:rPr>
        <w:t>Provides customers a flexible, cost-effective way to access and manage 3D design, engineering, and entertainment software tools.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subscriptions currently represent a hybrid of desktop and cloud functionality, which provides a device-independent, collaborative design workflow for designers and their stakeholders.</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Recurring Revenue: </w:t>
      </w:r>
      <w:r>
        <w:rPr>
          <w:rFonts w:ascii="Times New Roman" w:cs="Times New Roman" w:eastAsia="Times New Roman" w:hAnsi="Times New Roman"/>
          <w:sz w:val="18"/>
          <w:szCs w:val="18"/>
          <w:color w:val="auto"/>
        </w:rPr>
        <w:t>Consists of the revenue for the period from our traditional maintenance plans, our subscription plan offerings, and certain Other revenue.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excludes subscription revenue related to third-party products. Recurring revenue acquired with the acquisition of a business is captured when total subscriptions are captured in our systems and may cause variability in the comparison of this calculation.</w:t>
      </w:r>
    </w:p>
    <w:p>
      <w:pPr>
        <w:spacing w:after="0" w:line="20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Remaining Performance Obligations (RPO): </w:t>
      </w:r>
      <w:r>
        <w:rPr>
          <w:rFonts w:ascii="Times New Roman" w:cs="Times New Roman" w:eastAsia="Times New Roman" w:hAnsi="Times New Roman"/>
          <w:sz w:val="18"/>
          <w:szCs w:val="18"/>
          <w:color w:val="auto"/>
        </w:rPr>
        <w:t>The sum of total short-term, long-term, and unbilled deferred revenue. Current remaining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the amount of revenue we expect to recognize in the next twelve months.</w:t>
      </w:r>
    </w:p>
    <w:p>
      <w:pPr>
        <w:spacing w:after="0" w:line="190"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18"/>
          <w:szCs w:val="18"/>
          <w:i w:val="1"/>
          <w:iCs w:val="1"/>
          <w:color w:val="auto"/>
        </w:rPr>
        <w:t>Solution Provider</w:t>
      </w:r>
      <w:r>
        <w:rPr>
          <w:rFonts w:ascii="Times New Roman" w:cs="Times New Roman" w:eastAsia="Times New Roman" w:hAnsi="Times New Roman"/>
          <w:sz w:val="18"/>
          <w:szCs w:val="18"/>
          <w:color w:val="auto"/>
        </w:rPr>
        <w:t>: Solution Provider is the name of our channel partners who primarily serve our new transaction model customers worldwide. Solution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may also be resellers in relation to Autodesk solutions.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Spend</w:t>
      </w:r>
      <w:r>
        <w:rPr>
          <w:rFonts w:ascii="Times New Roman" w:cs="Times New Roman" w:eastAsia="Times New Roman" w:hAnsi="Times New Roman"/>
          <w:sz w:val="18"/>
          <w:szCs w:val="18"/>
          <w:color w:val="auto"/>
        </w:rPr>
        <w:t>: The sum of cost of revenue and operating expenses.</w:t>
      </w:r>
    </w:p>
    <w:p>
      <w:pPr>
        <w:spacing w:after="0" w:line="24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Subscription Plan: </w:t>
      </w:r>
      <w:r>
        <w:rPr>
          <w:rFonts w:ascii="Times New Roman" w:cs="Times New Roman" w:eastAsia="Times New Roman" w:hAnsi="Times New Roman"/>
          <w:sz w:val="18"/>
          <w:szCs w:val="18"/>
          <w:color w:val="auto"/>
        </w:rPr>
        <w:t>Comprises our term-based product subscriptions, cloud service offerings, and EBAs. Subscriptions represent a combined hybrid offering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desktop software and cloud functionality which provides a device-independent, collaborative design workflow for designers and their stakeholders. With subscription, customers can use our software anytime, anywhere, and get access to the latest updates to previous versions.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Includes our cloud-enabled term-based product subscriptions, cloud service offerings, and flexible EBAs.</w:t>
      </w:r>
    </w:p>
    <w:p>
      <w:pPr>
        <w:spacing w:after="0" w:line="240"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16"/>
          <w:szCs w:val="16"/>
          <w:i w:val="1"/>
          <w:iCs w:val="1"/>
          <w:color w:val="auto"/>
        </w:rPr>
        <w:t xml:space="preserve">Unbilled Deferred Revenue: </w:t>
      </w:r>
      <w:r>
        <w:rPr>
          <w:rFonts w:ascii="Times New Roman" w:cs="Times New Roman" w:eastAsia="Times New Roman" w:hAnsi="Times New Roman"/>
          <w:sz w:val="16"/>
          <w:szCs w:val="16"/>
          <w:color w:val="auto"/>
        </w:rPr>
        <w:t>Unbilled deferred revenue represents contractually stated or committed orders under early renewal and multi-year billing plans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subscription, services, and maintenance for which the associated deferred revenue has not been recognized. Under FASB Accounting Standards Codification ("ASC") Topic 606, unbilled deferred revenue is not included as a receivable or deferred revenue on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6" w:name="page57"/>
    <w:bookmarkEnd w:id="56"/>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42" w:lineRule="exact"/>
        <w:rPr>
          <w:sz w:val="20"/>
          <w:szCs w:val="20"/>
          <w:color w:val="auto"/>
        </w:rPr>
      </w:pPr>
    </w:p>
    <w:p>
      <w:pPr>
        <w:ind w:right="140" w:firstLine="434"/>
        <w:spacing w:after="0" w:line="248" w:lineRule="auto"/>
        <w:rPr>
          <w:sz w:val="20"/>
          <w:szCs w:val="20"/>
          <w:color w:val="auto"/>
        </w:rPr>
      </w:pPr>
      <w:r>
        <w:rPr>
          <w:rFonts w:ascii="Times New Roman" w:cs="Times New Roman" w:eastAsia="Times New Roman" w:hAnsi="Times New Roman"/>
          <w:sz w:val="18"/>
          <w:szCs w:val="18"/>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July 31, 2024, and January 31, 2024, we had open cash flow and balance sheet hedge contracts with future settlements generally within one to 12 months. Contracts were primarily denominated in Euros, British pounds, Canadian dollars, Japanese yen, Singapore dollars, and Australian dollars. We do not enter into foreign exchange derivative instruments for trading or speculative purposes.</w:t>
      </w:r>
    </w:p>
    <w:p>
      <w:pPr>
        <w:spacing w:after="0" w:line="213" w:lineRule="exact"/>
        <w:rPr>
          <w:sz w:val="20"/>
          <w:szCs w:val="20"/>
          <w:color w:val="auto"/>
        </w:rPr>
      </w:pPr>
    </w:p>
    <w:p>
      <w:pPr>
        <w:ind w:right="100" w:firstLine="434"/>
        <w:spacing w:after="0" w:line="263" w:lineRule="auto"/>
        <w:rPr>
          <w:sz w:val="20"/>
          <w:szCs w:val="20"/>
          <w:color w:val="auto"/>
        </w:rPr>
      </w:pPr>
      <w:r>
        <w:rPr>
          <w:rFonts w:ascii="Times New Roman" w:cs="Times New Roman" w:eastAsia="Times New Roman" w:hAnsi="Times New Roman"/>
          <w:sz w:val="18"/>
          <w:szCs w:val="18"/>
          <w:color w:val="auto"/>
        </w:rPr>
        <w:t>Our option and foreign exchange forward contracts outstanding as of the respective period-ends are summarized in U.S. dollar equivalents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3"/>
          </w:tcPr>
          <w:p>
            <w:pPr>
              <w:jc w:val="right"/>
              <w:ind w:right="745"/>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4"/>
          </w:tcPr>
          <w:p>
            <w:pPr>
              <w:jc w:val="right"/>
              <w:ind w:right="923"/>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4"/>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140" w:type="dxa"/>
            <w:vAlign w:val="bottom"/>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6"/>
                <w:szCs w:val="16"/>
                <w:color w:val="auto"/>
              </w:rPr>
            </w:pPr>
          </w:p>
        </w:tc>
        <w:tc>
          <w:tcPr>
            <w:tcW w:w="12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7"/>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Forward Contracts:</w:t>
            </w: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09"/>
        </w:trPr>
        <w:tc>
          <w:tcPr>
            <w:tcW w:w="5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20" w:type="dxa"/>
            <w:vAlign w:val="bottom"/>
          </w:tcPr>
          <w:p>
            <w:pPr>
              <w:spacing w:after="0"/>
              <w:rPr>
                <w:sz w:val="18"/>
                <w:szCs w:val="18"/>
                <w:color w:val="auto"/>
              </w:rPr>
            </w:pPr>
          </w:p>
        </w:tc>
        <w:tc>
          <w:tcPr>
            <w:tcW w:w="1140" w:type="dxa"/>
            <w:vAlign w:val="bottom"/>
          </w:tcPr>
          <w:p>
            <w:pPr>
              <w:jc w:val="right"/>
              <w:ind w:right="985"/>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9"/>
              </w:rPr>
              <w:t>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Sold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 Contracts: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7"/>
        </w:trPr>
        <w:tc>
          <w:tcPr>
            <w:tcW w:w="5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Sold</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bl>
    <w:p>
      <w:pPr>
        <w:spacing w:after="0" w:line="314" w:lineRule="exact"/>
        <w:rPr>
          <w:sz w:val="20"/>
          <w:szCs w:val="20"/>
          <w:color w:val="auto"/>
        </w:rPr>
      </w:pPr>
    </w:p>
    <w:p>
      <w:pPr>
        <w:jc w:val="both"/>
        <w:ind w:right="240" w:firstLine="434"/>
        <w:spacing w:after="0" w:line="252" w:lineRule="auto"/>
        <w:rPr>
          <w:sz w:val="20"/>
          <w:szCs w:val="20"/>
          <w:color w:val="auto"/>
        </w:rPr>
      </w:pPr>
      <w:r>
        <w:rPr>
          <w:rFonts w:ascii="Times New Roman" w:cs="Times New Roman" w:eastAsia="Times New Roman" w:hAnsi="Times New Roman"/>
          <w:sz w:val="18"/>
          <w:szCs w:val="18"/>
          <w:color w:val="auto"/>
        </w:rPr>
        <w:t>We use foreign currency contracts to reduce the exchange rate impact on the net revenue and operating expenses of certain anticipated transactions. A hypothetical 10% appreciation of the U.S. dollar from its value at July 31, 2024, and January 31, 2024, would increase the fair value of our foreign currency contracts by $83 million and $121 million, respectively. A hypothetical 10% depreciation of the dollar from its value at July 31, 2024, and January 31, 2024, would decrease the fair value of our foreign currency contracts by $68 million and $99 million,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42" w:lineRule="exact"/>
        <w:rPr>
          <w:sz w:val="20"/>
          <w:szCs w:val="20"/>
          <w:color w:val="auto"/>
        </w:rPr>
      </w:pPr>
    </w:p>
    <w:p>
      <w:pPr>
        <w:ind w:right="140" w:firstLine="434"/>
        <w:spacing w:after="0" w:line="252" w:lineRule="auto"/>
        <w:rPr>
          <w:sz w:val="20"/>
          <w:szCs w:val="20"/>
          <w:color w:val="auto"/>
        </w:rPr>
      </w:pPr>
      <w:r>
        <w:rPr>
          <w:rFonts w:ascii="Times New Roman" w:cs="Times New Roman" w:eastAsia="Times New Roman" w:hAnsi="Times New Roman"/>
          <w:sz w:val="18"/>
          <w:szCs w:val="18"/>
          <w:color w:val="auto"/>
        </w:rPr>
        <w:t>Interest rate movements affect both the interest income we earn on our short-term investments and the market value of certain longer-term securities. At July 31, 2024, we had $1,399 million of cash equivalents and marketable securities, including $365 million classified as short-term marketable securities and $231 million classified as long-term marketable securities. If interest rates were to move up or down by 50 or 100 basis points over a 12-month period, the market value change of these securities would not have a material impact on our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Market Risk</w:t>
      </w:r>
    </w:p>
    <w:p>
      <w:pPr>
        <w:spacing w:after="0" w:line="242"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Part I, Item 1, “Financial Statements,” Note 5, “Financial Instruments,” in the Notes to Condensed Consolidated Financial Statements for further discussion regarding these strategic investments.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7" w:name="page58"/>
    <w:bookmarkEnd w:id="57"/>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2" w:lineRule="exact"/>
        <w:rPr>
          <w:sz w:val="20"/>
          <w:szCs w:val="20"/>
          <w:color w:val="auto"/>
        </w:rPr>
      </w:pPr>
    </w:p>
    <w:p>
      <w:pPr>
        <w:ind w:right="200" w:firstLine="395"/>
        <w:spacing w:after="0" w:line="286" w:lineRule="auto"/>
        <w:rPr>
          <w:sz w:val="20"/>
          <w:szCs w:val="20"/>
          <w:color w:val="auto"/>
        </w:rPr>
      </w:pPr>
      <w:r>
        <w:rPr>
          <w:rFonts w:ascii="Times New Roman" w:cs="Times New Roman" w:eastAsia="Times New Roman" w:hAnsi="Times New Roman"/>
          <w:sz w:val="16"/>
          <w:szCs w:val="16"/>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ind w:firstLine="5"/>
        <w:spacing w:after="0" w:line="283" w:lineRule="auto"/>
        <w:tabs>
          <w:tab w:leader="none" w:pos="20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recorded, processed, summarized, and reported within the time periods specified in the rules of the Securities and Exchange Commission, and (ii) accumulated and communicated to Autodesk management, including our CEO and CFO, to allow timely decisions regarding required disclosure. We conducted an evaluation, under the supervision and with the participation of our CEO and CFO, of the effectiveness of the design and operation of our disclosure controls and procedures as of the end of the period covered by this Quarterly Report on Form 10-Q. Based upon this evaluation, our CEO and CFO have concluded that our disclosure controls and procedures were effective to meet the objective for which they were designed and operated at the reasonable assurance level.</w:t>
      </w:r>
    </w:p>
    <w:p>
      <w:pPr>
        <w:spacing w:after="0" w:line="187"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Our disclosure controls and procedures include components of our internal control over financial reporting. Our management, including our CEO and CFO,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00" w:firstLine="395"/>
        <w:spacing w:after="0" w:line="24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during the three months ended July 31, 2024,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42"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We are involved in a variety of claims, suits, investigations, inquiries and proceedings in the normal course of business activities including claims of alleged infringement of intellectual property rights, commercial, employment, tax, prosecution of unauthorized use,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200" w:lineRule="exact"/>
        <w:rPr>
          <w:sz w:val="20"/>
          <w:szCs w:val="20"/>
          <w:color w:val="auto"/>
        </w:rPr>
      </w:pPr>
    </w:p>
    <w:p>
      <w:pPr>
        <w:ind w:right="100" w:firstLine="434"/>
        <w:spacing w:after="0" w:line="234" w:lineRule="auto"/>
        <w:rPr>
          <w:sz w:val="20"/>
          <w:szCs w:val="20"/>
          <w:color w:val="auto"/>
        </w:rPr>
      </w:pPr>
      <w:r>
        <w:rPr>
          <w:rFonts w:ascii="Times New Roman" w:cs="Times New Roman" w:eastAsia="Times New Roman" w:hAnsi="Times New Roman"/>
          <w:sz w:val="18"/>
          <w:szCs w:val="18"/>
          <w:color w:val="auto"/>
        </w:rPr>
        <w:t>In early March 2024, the Audit Committee of Autodesk’s Board of Directors commenced an internal investigation with the assistance of outside counsel and advisors regarding the Company’s free cash flow and non-GAAP operating margin practices (the “Internal Investigation”). On March 8, 2024, the Company voluntarily contacted the U.S. Securities and Exchange Commission (“SEC”) to inform it of the Internal Investigation. On April 3, 2024, the United States Attorney’s Office for the Northern District of California (“USAO”) contacted the Company regarding the Internal Investigation. The Company voluntarily provided the SEC and USAO with certain documents relating to the Internal Investigation and will continue to cooperate with the SEC and USAO. At this stage, the Company cannot reasonably estimate the amount of any possible financial loss that could result from this matter.</w:t>
      </w:r>
    </w:p>
    <w:p>
      <w:pPr>
        <w:spacing w:after="0" w:line="210" w:lineRule="exact"/>
        <w:rPr>
          <w:sz w:val="20"/>
          <w:szCs w:val="20"/>
          <w:color w:val="auto"/>
        </w:rPr>
      </w:pPr>
    </w:p>
    <w:p>
      <w:pPr>
        <w:ind w:right="20" w:firstLine="434"/>
        <w:spacing w:after="0" w:line="231" w:lineRule="auto"/>
        <w:rPr>
          <w:sz w:val="20"/>
          <w:szCs w:val="20"/>
          <w:color w:val="auto"/>
        </w:rPr>
      </w:pPr>
      <w:r>
        <w:rPr>
          <w:rFonts w:ascii="Times New Roman" w:cs="Times New Roman" w:eastAsia="Times New Roman" w:hAnsi="Times New Roman"/>
          <w:sz w:val="18"/>
          <w:szCs w:val="18"/>
          <w:color w:val="auto"/>
        </w:rPr>
        <w:t>On April 24, 2024, plaintiff Michael Barkasi filed a purported federal securities class action complaint in the Northern District of California against Autodesk, our Chief Executive Officer, Andrew Anagnost, and our former Chief Financial Officer, Deborah L. Clifford. The complaint, which was filed shortly after Autodesk’s announcement of the Audit Committee of the Board of Directors’ internal investigation regarding Autodesk’s free cash flow and non-GAAP operating margin practices, generally alleges that the defendants made false and misleading statements in violation of Sections 10(b) and 20(a) of the Securities Exchange Act of 1934, and Rule 10b-5 promulgated thereunder. The action purports to be brought on behalf of those who purchased or otherwise acquired Autodesk’s publicly traded securities between June 1, 2023 and April 16, 2024, and seeks unspecified damages and other relief. On July 10, 2024, the Court appointed a lead plaintiff in the action, and an amended complaint is due September 16, 2024. At this stage, the Company cannot reasonably estimate the amount of any possible financial loss that could result from this matter.</w:t>
      </w:r>
    </w:p>
    <w:p>
      <w:pPr>
        <w:spacing w:after="0" w:line="209" w:lineRule="exact"/>
        <w:rPr>
          <w:sz w:val="20"/>
          <w:szCs w:val="20"/>
          <w:color w:val="auto"/>
        </w:rPr>
      </w:pPr>
    </w:p>
    <w:p>
      <w:pPr>
        <w:ind w:firstLine="434"/>
        <w:spacing w:after="0" w:line="270" w:lineRule="auto"/>
        <w:rPr>
          <w:sz w:val="20"/>
          <w:szCs w:val="20"/>
          <w:color w:val="auto"/>
        </w:rPr>
      </w:pPr>
      <w:r>
        <w:rPr>
          <w:rFonts w:ascii="Times New Roman" w:cs="Times New Roman" w:eastAsia="Times New Roman" w:hAnsi="Times New Roman"/>
          <w:sz w:val="16"/>
          <w:szCs w:val="16"/>
          <w:color w:val="auto"/>
        </w:rPr>
        <w:t>In addition, on June 7, 2024, a purported stockholder derivative complaint was filed in the United States District Court for the Northern District of California, naming our current directors and our Chief Strategy Officer as defendants and our company as a nominal defendant. The complaint generally alleges violations of Section 14(a) of the Exchange Act and breach of fiduciary duties, aiding and abetting breach of fiduciary duties, unjust enrichment, abuse of control, and waste of corporate assets, based on similar underlying allegations contained in the purported federal securities class action complaint described</w:t>
      </w:r>
    </w:p>
    <w:p>
      <w:pPr>
        <w:spacing w:after="0" w:line="1"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above. A second purported stockholder derivative complaint naming the same defendants was filed in the Northern District of California on June 25, 2024. The complaint in that later-filed case generally alleges violations of Section 10(b) of the Exchange Act and Rule 10b-5, Section 20(a) of the Exchange Act, breach of fiduciary duties, unjust enrichment, abuse of control, gross mismanagement, waste of corporate assets, and contribution, also based on similar underlying allegations contained in the purported federal securities class action complaint described above.</w:t>
      </w:r>
    </w:p>
    <w:p>
      <w:pPr>
        <w:spacing w:after="0" w:line="22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42" w:lineRule="exact"/>
        <w:rPr>
          <w:sz w:val="20"/>
          <w:szCs w:val="20"/>
          <w:color w:val="auto"/>
        </w:rPr>
      </w:pPr>
    </w:p>
    <w:p>
      <w:pPr>
        <w:ind w:right="100" w:firstLine="395"/>
        <w:spacing w:after="0" w:line="237"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significant risks, a number of which are beyond our control. In addition to the other information contained in this Quarterly Report on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Quarterly Report on Form 10-Q and in the documents incorporated herein by reference. They could affect our actual results of operations, causing them to differ materially from those expressed in forward-looking statements.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Summary of Risk Factors</w:t>
      </w:r>
    </w:p>
    <w:p>
      <w:pPr>
        <w:spacing w:after="0" w:line="242"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consider before investing in our securities. These risks are described more fully below and include, but are not limited to, risks relating to the following:</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9" w:name="page60"/>
    <w:bookmarkEnd w:id="59"/>
    <w:p>
      <w:pPr>
        <w:ind w:left="640" w:right="520" w:hanging="319"/>
        <w:spacing w:after="0" w:line="234" w:lineRule="auto"/>
        <w:tabs>
          <w:tab w:leader="none" w:pos="63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Our strategy to develop and introduce new products and services, exposing us to risks such as limited customer acceptance (both with new and existing customers), costs related to product defects, and large expenditures.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Global economic and political conditions.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Costs and challenges associated with strategic acquisitions and investments.</w:t>
      </w:r>
    </w:p>
    <w:p>
      <w:pPr>
        <w:spacing w:after="0" w:line="35" w:lineRule="exact"/>
        <w:rPr>
          <w:rFonts w:ascii="Arial" w:cs="Arial" w:eastAsia="Arial" w:hAnsi="Arial"/>
          <w:sz w:val="21"/>
          <w:szCs w:val="21"/>
          <w:color w:val="auto"/>
        </w:rPr>
      </w:pPr>
    </w:p>
    <w:p>
      <w:pPr>
        <w:ind w:left="640" w:right="100" w:hanging="319"/>
        <w:spacing w:after="0" w:line="234" w:lineRule="auto"/>
        <w:tabs>
          <w:tab w:leader="none" w:pos="63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Dependency on international revenue and operations, exposing us to significant international regulatory, economic, intellectual property, collections, currency exchange rate, taxation, political, and other risks.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Inability to predict subscription renewal rates and their impact on our future revenue and operating results.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Existing and increased competition and rapidly evolving technological changes.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Fluctuation of our financial results, key metrics and other operating metrics.</w:t>
      </w:r>
    </w:p>
    <w:p>
      <w:pPr>
        <w:spacing w:after="0" w:line="20" w:lineRule="exact"/>
        <w:rPr>
          <w:rFonts w:ascii="Arial" w:cs="Arial" w:eastAsia="Arial" w:hAnsi="Arial"/>
          <w:sz w:val="21"/>
          <w:szCs w:val="21"/>
          <w:color w:val="auto"/>
        </w:rPr>
      </w:pPr>
    </w:p>
    <w:p>
      <w:pPr>
        <w:ind w:left="640" w:hanging="319"/>
        <w:spacing w:after="0"/>
        <w:tabs>
          <w:tab w:leader="none" w:pos="6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17"/>
          <w:szCs w:val="17"/>
          <w:color w:val="auto"/>
        </w:rPr>
        <w:t>Deriving a substantial portion of our net revenue from a small number of solutions, including our AutoCAD-based software products and collections.</w:t>
      </w:r>
    </w:p>
    <w:p>
      <w:pPr>
        <w:spacing w:after="0" w:line="21" w:lineRule="exact"/>
        <w:rPr>
          <w:rFonts w:ascii="Arial" w:cs="Arial" w:eastAsia="Arial" w:hAnsi="Arial"/>
          <w:sz w:val="20"/>
          <w:szCs w:val="20"/>
          <w:color w:val="auto"/>
        </w:rPr>
      </w:pPr>
    </w:p>
    <w:p>
      <w:pPr>
        <w:ind w:left="640" w:hanging="319"/>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Any failure to successfully execute and manage initiatives to realign or introduce new business and sales initiatives.</w:t>
      </w:r>
    </w:p>
    <w:p>
      <w:pPr>
        <w:spacing w:after="0" w:line="16" w:lineRule="exact"/>
        <w:rPr>
          <w:rFonts w:ascii="Arial" w:cs="Arial" w:eastAsia="Arial" w:hAnsi="Arial"/>
          <w:sz w:val="21"/>
          <w:szCs w:val="21"/>
          <w:color w:val="auto"/>
        </w:rPr>
      </w:pPr>
    </w:p>
    <w:p>
      <w:pPr>
        <w:ind w:left="640" w:hanging="319"/>
        <w:spacing w:after="0" w:line="221"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Net revenue, billings, earnings, cash flow, or subscriptions shortfalls or volatility of the market causing the market price of our stock to decline.</w:t>
      </w: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relating to the proper management and governance of our use of AI in our offerings.</w:t>
      </w:r>
    </w:p>
    <w:p>
      <w:pPr>
        <w:spacing w:after="0" w:line="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Security incidents compromising the integrity of our or our customers’ offerings, services, data, or intellectual property.</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Reliance on third parties to provide us with a number of operational and technical services as well as software.</w:t>
      </w:r>
    </w:p>
    <w:p>
      <w:pPr>
        <w:spacing w:after="0" w:line="22" w:lineRule="exact"/>
        <w:rPr>
          <w:rFonts w:ascii="Arial" w:cs="Arial" w:eastAsia="Arial" w:hAnsi="Arial"/>
          <w:sz w:val="21"/>
          <w:szCs w:val="21"/>
          <w:color w:val="auto"/>
        </w:rPr>
      </w:pPr>
    </w:p>
    <w:p>
      <w:pPr>
        <w:ind w:left="640" w:right="320" w:hanging="319"/>
        <w:spacing w:after="0" w:line="229" w:lineRule="auto"/>
        <w:tabs>
          <w:tab w:leader="none" w:pos="63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Our highly complex software, which may contain undetected errors, defects, or vulnerabilities, and is subject to service disruptions, degradations, outages or other performance problems.</w:t>
      </w: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regulatory focus on privacy, data protection, and information security issues and expanding laws.</w:t>
      </w:r>
    </w:p>
    <w:p>
      <w:pPr>
        <w:spacing w:after="0" w:line="23" w:lineRule="exact"/>
        <w:rPr>
          <w:rFonts w:ascii="Times New Roman" w:cs="Times New Roman" w:eastAsia="Times New Roman" w:hAnsi="Times New Roman"/>
          <w:sz w:val="18"/>
          <w:szCs w:val="18"/>
          <w:color w:val="auto"/>
        </w:rPr>
      </w:pPr>
    </w:p>
    <w:p>
      <w:pPr>
        <w:ind w:left="640" w:right="200" w:hanging="319"/>
        <w:spacing w:after="0" w:line="234" w:lineRule="auto"/>
        <w:tabs>
          <w:tab w:leader="none" w:pos="63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Governmental export and import controls that could impair our ability to compete in international markets or subject us to liability if we violate the controls.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Protection of our intellectual property rights and intellectual property infringement claims from others.</w:t>
      </w:r>
    </w:p>
    <w:p>
      <w:pPr>
        <w:spacing w:after="0" w:line="21" w:lineRule="exact"/>
        <w:rPr>
          <w:rFonts w:ascii="Arial" w:cs="Arial" w:eastAsia="Arial" w:hAnsi="Arial"/>
          <w:sz w:val="21"/>
          <w:szCs w:val="21"/>
          <w:color w:val="auto"/>
        </w:rPr>
      </w:pPr>
    </w:p>
    <w:p>
      <w:pPr>
        <w:ind w:left="640" w:hanging="319"/>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The government procurement process.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Fluctuations in currency exchange rates.</w:t>
      </w:r>
    </w:p>
    <w:p>
      <w:pPr>
        <w:spacing w:after="0" w:line="16" w:lineRule="exact"/>
        <w:rPr>
          <w:rFonts w:ascii="Arial" w:cs="Arial" w:eastAsia="Arial" w:hAnsi="Arial"/>
          <w:sz w:val="21"/>
          <w:szCs w:val="21"/>
          <w:color w:val="auto"/>
        </w:rPr>
      </w:pPr>
    </w:p>
    <w:p>
      <w:pPr>
        <w:ind w:left="640" w:hanging="319"/>
        <w:spacing w:after="0" w:line="219"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Our debt service obligations.</w:t>
      </w:r>
    </w:p>
    <w:p>
      <w:pPr>
        <w:spacing w:after="0" w:line="16" w:lineRule="exact"/>
        <w:rPr>
          <w:rFonts w:ascii="Arial" w:cs="Arial" w:eastAsia="Arial" w:hAnsi="Arial"/>
          <w:sz w:val="21"/>
          <w:szCs w:val="21"/>
          <w:color w:val="auto"/>
        </w:rPr>
      </w:pPr>
    </w:p>
    <w:p>
      <w:pPr>
        <w:ind w:left="640" w:right="220" w:hanging="319"/>
        <w:spacing w:after="0" w:line="237" w:lineRule="auto"/>
        <w:tabs>
          <w:tab w:leader="none" w:pos="63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Our investment portfolio consisting of a variety of investment vehicles that are subject to interest rate trends, market volatility, and other economic factors.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Our Business and Strategy</w:t>
      </w:r>
    </w:p>
    <w:p>
      <w:pPr>
        <w:spacing w:after="0" w:line="227" w:lineRule="exact"/>
        <w:rPr>
          <w:sz w:val="20"/>
          <w:szCs w:val="20"/>
          <w:color w:val="auto"/>
        </w:rPr>
      </w:pPr>
    </w:p>
    <w:p>
      <w:pPr>
        <w:ind w:right="640"/>
        <w:spacing w:after="0" w:line="335" w:lineRule="auto"/>
        <w:rPr>
          <w:sz w:val="20"/>
          <w:szCs w:val="20"/>
          <w:color w:val="auto"/>
        </w:rPr>
      </w:pPr>
      <w:r>
        <w:rPr>
          <w:rFonts w:ascii="Times New Roman" w:cs="Times New Roman" w:eastAsia="Times New Roman" w:hAnsi="Times New Roman"/>
          <w:sz w:val="16"/>
          <w:szCs w:val="16"/>
          <w:i w:val="1"/>
          <w:iCs w:val="1"/>
          <w:color w:val="auto"/>
        </w:rPr>
        <w:t>Our strategy to develop and introduce new products and services exposes us to risks such as limited customer acceptance (both with new and existing customers), costs related to product defects, and large expenditures, each of which may result in no additional net revenue or decreased net revenue.</w:t>
      </w:r>
    </w:p>
    <w:p>
      <w:pPr>
        <w:spacing w:after="0" w:line="133" w:lineRule="exact"/>
        <w:rPr>
          <w:sz w:val="20"/>
          <w:szCs w:val="20"/>
          <w:color w:val="auto"/>
        </w:rPr>
      </w:pPr>
    </w:p>
    <w:p>
      <w:pPr>
        <w:ind w:firstLine="395"/>
        <w:spacing w:after="0" w:line="265" w:lineRule="auto"/>
        <w:rPr>
          <w:sz w:val="20"/>
          <w:szCs w:val="20"/>
          <w:color w:val="auto"/>
        </w:rPr>
      </w:pPr>
      <w:r>
        <w:rPr>
          <w:rFonts w:ascii="Times New Roman" w:cs="Times New Roman" w:eastAsia="Times New Roman" w:hAnsi="Times New Roman"/>
          <w:sz w:val="16"/>
          <w:szCs w:val="16"/>
          <w:color w:val="auto"/>
        </w:rPr>
        <w:t>The software industry is characterized by rapid technological changes as well as changes in customer requirements and preferences. In recent years, the industry has undergone a transition from developing and selling perpetual licenses and on-premises products to subscriptions and cloud-enabled technologies. Both new and existing customers are also reconsidering how they purchase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If we are unable to provide new features, enhancements to user experience, and modifications in a timely and cost-effective manner that achieve market acceptance, align with customer expectations, and that keep pace with rapid technological developments and changing regulatory landscapes, our business and operating results could be adversely affected. For example, AI and machine learning are propelling advancements in technology, but if they are not widely adopted and accepted or fail to operate as expected, our business and reputation may be harmed.</w:t>
      </w:r>
    </w:p>
    <w:p>
      <w:pPr>
        <w:spacing w:after="0" w:line="204"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In addition, we frequently introduce new business models or methods that require a considerable investment of technical and financial resources, such as our introduction of flexible subscription and service offerings and our transition of multi-subscription plans to named-user plans. It is uncertain whether these strategies, including our product and pricing changes, will accurately reflect customer demand or be successful, or whether we will be able to develop the necessary infrastructure and business models more quickly than our competitors. We make such investments through further development and enhancement of our existing products and services, as well as through acquisitions. Such investments may not result in sufficient revenue</w:t>
      </w: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911" w:right="419" w:bottom="1440" w:gutter="0" w:footer="0" w:header="0"/>
        </w:sectPr>
      </w:pPr>
    </w:p>
    <w:bookmarkStart w:id="60" w:name="page61"/>
    <w:bookmarkEnd w:id="60"/>
    <w:p>
      <w:pPr>
        <w:jc w:val="both"/>
        <w:ind w:right="60"/>
        <w:spacing w:after="0" w:line="303" w:lineRule="auto"/>
        <w:rPr>
          <w:sz w:val="20"/>
          <w:szCs w:val="20"/>
          <w:color w:val="auto"/>
        </w:rPr>
      </w:pPr>
      <w:r>
        <w:rPr>
          <w:rFonts w:ascii="Times New Roman" w:cs="Times New Roman" w:eastAsia="Times New Roman" w:hAnsi="Times New Roman"/>
          <w:sz w:val="16"/>
          <w:szCs w:val="16"/>
          <w:color w:val="auto"/>
        </w:rPr>
        <w:t>generation to justify their costs and could result in decreased net revenue or profitability. If we are not able to meet customer requirements, either with respect to new customers or existing customers, and either with respect to our software or the manner in which we provide such products, or if we are not able to adapt our business model to meet our customers’ requirements, our business, financial condition, or results of operations may be adversely impacted.</w:t>
      </w:r>
    </w:p>
    <w:p>
      <w:pPr>
        <w:spacing w:after="0" w:line="172"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In particular, a critical component of our growth strategy is to have customers of our AutoCAD and AutoCAD LT products, as well as other individual Autodesk products, expand their portfolios to include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w:t>
      </w:r>
    </w:p>
    <w:p>
      <w:pPr>
        <w:spacing w:after="0" w:line="212"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Our executive management team must continuously act quickly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the strategy as market conditions evolve, we may fail to meet our customers’ expectations, be unable to compete with our competitors' products and technology, and lose the confidence of our channel partners and employees. This in turn could adversely affect our business and financial performance.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economic and political conditions may further impact our industries, business, and financial results.</w:t>
      </w:r>
    </w:p>
    <w:p>
      <w:pPr>
        <w:spacing w:after="0" w:line="229" w:lineRule="exact"/>
        <w:rPr>
          <w:sz w:val="20"/>
          <w:szCs w:val="20"/>
          <w:color w:val="auto"/>
        </w:rPr>
      </w:pPr>
    </w:p>
    <w:p>
      <w:pPr>
        <w:ind w:right="20" w:firstLine="395"/>
        <w:spacing w:after="0" w:line="260" w:lineRule="auto"/>
        <w:rPr>
          <w:sz w:val="20"/>
          <w:szCs w:val="20"/>
          <w:color w:val="auto"/>
        </w:rPr>
      </w:pPr>
      <w:r>
        <w:rPr>
          <w:rFonts w:ascii="Times New Roman" w:cs="Times New Roman" w:eastAsia="Times New Roman" w:hAnsi="Times New Roman"/>
          <w:sz w:val="16"/>
          <w:szCs w:val="16"/>
          <w:color w:val="auto"/>
        </w:rPr>
        <w:t>Our overall performance depends largely upon domestic and worldwide economic and political conditions. The United States and other countries’ economies have experienced cyclical downturns, in which economic activity was impacted by falling demand for a variety of goods and services, restricted credit, poor liquidity, decreased government spending, reduced corporate profitability, volatility in credit, equity, and foreign exchange markets, inflationary pressures and higher interest rates, bankruptcies, and overall uncertainty. These economic conditions can occur abruptly. For example, current geopolitical and global macro-economic challenges have caused uncertainty in the global economy, and an economic downturn or recession in the United States or in other countries may occur or has already occurred and may continue. The extent to which these challenges will impact our financial condition or results of operations is still uncertain and will continue to depend on developments such as the impact of these challenges on our customers, vendors, distributors, and resellers, such as the supply chain disruption and resulting inflationary pressures and global labor shortage that we have seen recently, material scarcity, as well as other factors; actions taken by governments, businesses, and consumers in response to these challenges; speed and timing of economic recovery, including in specific geographies; our billings and renewal rates, including new business close rates, rate of multi-year contracts, pace of closing larger transactions, and new unit volume growth; wars and armed conflicts, including the ongoing wars between Ukraine and Russia and between Israel and Hamas; foreign exchange rate fluctuations; and the effect of these challenges on margins and cash flow. All of these factors continue to evolve and remain uncertain at this time, and some of these factors are not within our control. If economic growth in countries where we do business slows or if such countries experience further economic recessions, customers may delay or reduce technology purchases, which we have seen recently in certain countries including China.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392" w:lineRule="exact"/>
        <w:rPr>
          <w:sz w:val="20"/>
          <w:szCs w:val="20"/>
          <w:color w:val="auto"/>
        </w:rPr>
      </w:pPr>
    </w:p>
    <w:p>
      <w:pPr>
        <w:ind w:firstLine="395"/>
        <w:spacing w:after="0" w:line="230" w:lineRule="auto"/>
        <w:rPr>
          <w:sz w:val="20"/>
          <w:szCs w:val="20"/>
          <w:color w:val="auto"/>
        </w:rPr>
      </w:pPr>
      <w:r>
        <w:rPr>
          <w:rFonts w:ascii="Times New Roman" w:cs="Times New Roman" w:eastAsia="Times New Roman" w:hAnsi="Times New Roman"/>
          <w:sz w:val="18"/>
          <w:szCs w:val="18"/>
          <w:color w:val="auto"/>
        </w:rPr>
        <w:t>As described elsewhere in these risk factors, we are dependent on international revenue and operations and are subject to related risks of conducting business globally. Trends toward nationalism and protectionism and the weakening or dissolution of international trade pacts may increase the cost of, or otherwise interfere with, conducting business. These trends have increased political and economic unpredictability globally and may increase the volatility of global financial markets, and the impact of such developments on the global economy remains uncertain. Political instability or adverse political developments in any of the countries in which we do business could harm our business, results of operations, and financial condition. 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War, including the ongoing wars between Ukraine and Russia and between Israel and Hamas, and any related political or economic responses and counter-responses or otherwise by various global actors or the general effect on the global economy, could also affect our business. Any of these events could harm our business, results of operations, and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could be adversely impacted by the costs and challenges associated with strategic acquisitions and investments.</w:t>
      </w:r>
    </w:p>
    <w:p>
      <w:pPr>
        <w:spacing w:after="0" w:line="229" w:lineRule="exact"/>
        <w:rPr>
          <w:sz w:val="20"/>
          <w:szCs w:val="20"/>
          <w:color w:val="auto"/>
        </w:rPr>
      </w:pPr>
    </w:p>
    <w:p>
      <w:pPr>
        <w:ind w:right="160" w:firstLine="395"/>
        <w:spacing w:after="0" w:line="253" w:lineRule="auto"/>
        <w:rPr>
          <w:sz w:val="20"/>
          <w:szCs w:val="20"/>
          <w:color w:val="auto"/>
        </w:rPr>
      </w:pPr>
      <w:r>
        <w:rPr>
          <w:rFonts w:ascii="Times New Roman" w:cs="Times New Roman" w:eastAsia="Times New Roman" w:hAnsi="Times New Roman"/>
          <w:sz w:val="18"/>
          <w:szCs w:val="18"/>
          <w:color w:val="auto"/>
        </w:rPr>
        <w:t>We regularly acquire or invest in businesses, software solutions, and technologies that are complementary to our business through acquisitions, strategic alliances, or equity or debt investments, including several transactions in fiscal 2024 and the six</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1" w:name="page62"/>
    <w:bookmarkEnd w:id="61"/>
    <w:p>
      <w:pPr>
        <w:ind w:right="140"/>
        <w:spacing w:after="0" w:line="276" w:lineRule="auto"/>
        <w:rPr>
          <w:sz w:val="20"/>
          <w:szCs w:val="20"/>
          <w:color w:val="auto"/>
        </w:rPr>
      </w:pPr>
      <w:r>
        <w:rPr>
          <w:rFonts w:ascii="Times New Roman" w:cs="Times New Roman" w:eastAsia="Times New Roman" w:hAnsi="Times New Roman"/>
          <w:sz w:val="16"/>
          <w:szCs w:val="16"/>
          <w:color w:val="auto"/>
        </w:rPr>
        <w:t>months ended July 31, 2024. The risks associated with such acquisitions include the difficulty of integrating solutions, operations, and personnel; inheriting liabilities such as intellectual property infringement claims; failure to realize anticipated revenue and cost projections and expected synergies; the requirement to test and assimilate the internal control processes of the acquired business in accordance with the requirements of Section 404 of the Sarbanes-Oxley Act of 2002; and diversion of management's time and attention. In addition, such acquisitions and investments involve other risks such as:</w:t>
      </w:r>
    </w:p>
    <w:p>
      <w:pPr>
        <w:spacing w:after="0" w:line="219" w:lineRule="exact"/>
        <w:rPr>
          <w:sz w:val="20"/>
          <w:szCs w:val="20"/>
          <w:color w:val="auto"/>
        </w:rPr>
      </w:pPr>
    </w:p>
    <w:p>
      <w:pPr>
        <w:ind w:left="640" w:hanging="319"/>
        <w:spacing w:after="0"/>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the inability to retain customers, key employees, vendors, distributors, business partners, and other entities associated with the acquired business;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the potential that due diligence of the acquired business or solution does not identify significant problems;</w:t>
      </w:r>
    </w:p>
    <w:p>
      <w:pPr>
        <w:spacing w:after="0" w:line="22" w:lineRule="exact"/>
        <w:rPr>
          <w:rFonts w:ascii="Arial" w:cs="Arial" w:eastAsia="Arial" w:hAnsi="Arial"/>
          <w:sz w:val="21"/>
          <w:szCs w:val="21"/>
          <w:color w:val="auto"/>
        </w:rPr>
      </w:pPr>
    </w:p>
    <w:p>
      <w:pPr>
        <w:ind w:left="640" w:right="120" w:hanging="319"/>
        <w:spacing w:after="0" w:line="234" w:lineRule="auto"/>
        <w:tabs>
          <w:tab w:leader="none" w:pos="63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exposure to litigation or other claims in connection with, or inheritance of claims or litigation risk as a result of, an acquisition, including claims from terminated employees, customers, or other third parties;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the potential for incompatible business cultures;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significantly higher than anticipated transaction or integration-related costs;</w:t>
      </w:r>
    </w:p>
    <w:p>
      <w:pPr>
        <w:spacing w:after="0" w:line="15" w:lineRule="exact"/>
        <w:rPr>
          <w:rFonts w:ascii="Arial" w:cs="Arial" w:eastAsia="Arial" w:hAnsi="Arial"/>
          <w:sz w:val="21"/>
          <w:szCs w:val="21"/>
          <w:color w:val="auto"/>
        </w:rPr>
      </w:pPr>
    </w:p>
    <w:p>
      <w:pPr>
        <w:ind w:left="640" w:right="120" w:hanging="319"/>
        <w:spacing w:after="0" w:line="243" w:lineRule="auto"/>
        <w:tabs>
          <w:tab w:leader="none" w:pos="6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acquired businesses or businesses that we invest in may not have adequate controls, processes, and procedures to ensure compliance with laws and regulations, including with respect to data privacy, data protection, and data security, as well as anti-bribery and anti-corruption laws, export controls, sanctions and industry-specific-regulation;</w:t>
      </w:r>
    </w:p>
    <w:p>
      <w:pPr>
        <w:spacing w:after="0" w:line="22" w:lineRule="exact"/>
        <w:rPr>
          <w:rFonts w:ascii="Times New Roman" w:cs="Times New Roman" w:eastAsia="Times New Roman" w:hAnsi="Times New Roman"/>
          <w:sz w:val="18"/>
          <w:szCs w:val="18"/>
          <w:color w:val="auto"/>
        </w:rPr>
      </w:pPr>
    </w:p>
    <w:p>
      <w:pPr>
        <w:ind w:left="640" w:right="280" w:hanging="319"/>
        <w:spacing w:after="0" w:line="234" w:lineRule="auto"/>
        <w:tabs>
          <w:tab w:leader="none" w:pos="63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potential additional exposure to economic, tax, currency, political, legal, and regulatory risks and liabilities, including risks associated with specific countries; and</w:t>
      </w:r>
    </w:p>
    <w:p>
      <w:pPr>
        <w:spacing w:after="0" w:line="21" w:lineRule="exact"/>
        <w:rPr>
          <w:rFonts w:ascii="Arial" w:cs="Arial" w:eastAsia="Arial" w:hAnsi="Arial"/>
          <w:sz w:val="21"/>
          <w:szCs w:val="21"/>
          <w:color w:val="auto"/>
        </w:rPr>
      </w:pPr>
    </w:p>
    <w:p>
      <w:pPr>
        <w:ind w:left="640" w:hanging="319"/>
        <w:spacing w:after="0"/>
        <w:tabs>
          <w:tab w:leader="none" w:pos="64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17"/>
          <w:szCs w:val="17"/>
          <w:color w:val="auto"/>
        </w:rPr>
        <w:t>the potential impact on relationships with existing customers, vendors, and distributors as business partners as a result of acquiring another business.</w:t>
      </w:r>
    </w:p>
    <w:p>
      <w:pPr>
        <w:spacing w:after="0" w:line="219"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color w:val="auto"/>
        </w:rPr>
        <w:t>We may not be successful in overcoming such risks, and such acquisitions and investments may negatively impact our business. In addition, if we do not complete an announced acquisition transaction or integrate an acquired business successfully and in a timely manner, we may not realize the benefits of the acquisition to the extent anticipated. Acquisitions and investments have in the past and may in the future contribute to fluctuations in our quarterly financial results. These fluctuations could arise from transaction-related costs and charges associated with eliminating redundant expenses or write-offs of impaired assets recorded in connection with acquisitions and investments, and could negatively impact our financial results.</w:t>
      </w:r>
    </w:p>
    <w:p>
      <w:pPr>
        <w:spacing w:after="0" w:line="210"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i w:val="1"/>
          <w:iCs w:val="1"/>
          <w:color w:val="auto"/>
        </w:rPr>
        <w:t>We are dependent on international revenue and operations, exposing us to significant international regulatory, economic, intellectual property, collections, currency exchange rate, taxation, political, and other risks, which could adversely impact our financial results.</w:t>
      </w:r>
    </w:p>
    <w:p>
      <w:pPr>
        <w:spacing w:after="0" w:line="179" w:lineRule="exact"/>
        <w:rPr>
          <w:sz w:val="20"/>
          <w:szCs w:val="20"/>
          <w:color w:val="auto"/>
        </w:rPr>
      </w:pPr>
    </w:p>
    <w:p>
      <w:pPr>
        <w:ind w:firstLine="395"/>
        <w:spacing w:after="0" w:line="234" w:lineRule="auto"/>
        <w:rPr>
          <w:sz w:val="20"/>
          <w:szCs w:val="20"/>
          <w:color w:val="auto"/>
        </w:rPr>
      </w:pPr>
      <w:r>
        <w:rPr>
          <w:rFonts w:ascii="Times New Roman" w:cs="Times New Roman" w:eastAsia="Times New Roman" w:hAnsi="Times New Roman"/>
          <w:sz w:val="18"/>
          <w:szCs w:val="18"/>
          <w:color w:val="auto"/>
        </w:rPr>
        <w:t>International net revenue represented 64% of our net revenue for both the six months ended July 31, 2024 and 2023. Our international revenue, some of which comes from emerging economies, is subject to economic and political conditions in foreign markets, including those resulting from economic and political conditions in the United States. For example, we have recently seen a deceleration in growth in certain geographies including China. Our total revenue is also impacted by the relative geographical and country mix of our revenue over time. Our dependency on international revenue makes us much more exposed to global economic and political trends, which can negatively impact our financial results even if our results in the United States are strong for a particular period.</w:t>
      </w:r>
    </w:p>
    <w:p>
      <w:pPr>
        <w:spacing w:after="0" w:line="223" w:lineRule="exact"/>
        <w:rPr>
          <w:sz w:val="20"/>
          <w:szCs w:val="20"/>
          <w:color w:val="auto"/>
        </w:rPr>
      </w:pPr>
    </w:p>
    <w:p>
      <w:pPr>
        <w:jc w:val="both"/>
        <w:ind w:right="220" w:firstLine="395"/>
        <w:spacing w:after="0" w:line="250" w:lineRule="auto"/>
        <w:rPr>
          <w:sz w:val="20"/>
          <w:szCs w:val="20"/>
          <w:color w:val="auto"/>
        </w:rPr>
      </w:pPr>
      <w:r>
        <w:rPr>
          <w:rFonts w:ascii="Times New Roman" w:cs="Times New Roman" w:eastAsia="Times New Roman" w:hAnsi="Times New Roman"/>
          <w:sz w:val="18"/>
          <w:szCs w:val="18"/>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United States. Risks inherent in our international operations include:</w:t>
      </w:r>
    </w:p>
    <w:p>
      <w:pPr>
        <w:spacing w:after="0" w:line="11" w:lineRule="exact"/>
        <w:rPr>
          <w:sz w:val="20"/>
          <w:szCs w:val="20"/>
          <w:color w:val="auto"/>
        </w:rPr>
      </w:pPr>
    </w:p>
    <w:p>
      <w:pPr>
        <w:ind w:left="640" w:hanging="319"/>
        <w:spacing w:after="0"/>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economic volatility;</w:t>
      </w:r>
    </w:p>
    <w:p>
      <w:pPr>
        <w:spacing w:after="0" w:line="21" w:lineRule="exact"/>
        <w:rPr>
          <w:rFonts w:ascii="Arial" w:cs="Arial" w:eastAsia="Arial" w:hAnsi="Arial"/>
          <w:sz w:val="21"/>
          <w:szCs w:val="21"/>
          <w:color w:val="auto"/>
        </w:rPr>
      </w:pPr>
    </w:p>
    <w:p>
      <w:pPr>
        <w:ind w:left="640" w:right="200" w:hanging="319"/>
        <w:spacing w:after="0" w:line="255" w:lineRule="auto"/>
        <w:tabs>
          <w:tab w:leader="none" w:pos="635"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tariffs, quotas, and other trade barriers and restrictions, including any political or economic responses and counter-responses or otherwise by various global actors to the ongoing wars between Ukraine and Russia and between Israel and Hamas;</w:t>
      </w:r>
    </w:p>
    <w:p>
      <w:pPr>
        <w:spacing w:after="0" w:line="21" w:lineRule="exact"/>
        <w:rPr>
          <w:rFonts w:ascii="Times New Roman" w:cs="Times New Roman" w:eastAsia="Times New Roman" w:hAnsi="Times New Roman"/>
          <w:sz w:val="21"/>
          <w:szCs w:val="21"/>
          <w:color w:val="auto"/>
        </w:rPr>
      </w:pPr>
    </w:p>
    <w:p>
      <w:pPr>
        <w:ind w:left="640" w:hanging="319"/>
        <w:spacing w:after="0"/>
        <w:tabs>
          <w:tab w:leader="none" w:pos="6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17"/>
          <w:szCs w:val="17"/>
          <w:color w:val="auto"/>
        </w:rPr>
        <w:t>fluctuating currency exchange rates, including devaluations, currency controls, and inflation, and risks related to any hedging activities we undertake;</w:t>
      </w:r>
    </w:p>
    <w:p>
      <w:pPr>
        <w:spacing w:after="0" w:line="15" w:lineRule="exact"/>
        <w:rPr>
          <w:rFonts w:ascii="Arial" w:cs="Arial" w:eastAsia="Arial" w:hAnsi="Arial"/>
          <w:sz w:val="20"/>
          <w:szCs w:val="20"/>
          <w:color w:val="auto"/>
        </w:rPr>
      </w:pPr>
    </w:p>
    <w:p>
      <w:pPr>
        <w:ind w:left="640" w:hanging="319"/>
        <w:spacing w:after="0" w:line="232" w:lineRule="auto"/>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regulatory requirements and practices;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delays resulting from difficulty in obtaining export licenses for certain technology;</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different purchase patterns as compared to the developed world;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62" w:name="page63"/>
    <w:bookmarkEnd w:id="62"/>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operating in locations with a higher incidence of corruption and fraudulent business practices, particularly in emerging economies;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compliance with the U.S. Foreign Corrupt Practices Act, the U.K. Bribery Act, and other anti-corruption laws;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difficulties in staffing and managing foreign sales and development operations;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local competition;</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longer collection cycles for accounts receivable;</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U.S. and foreign tax law changes and the complexities of tax reporting;</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laws regarding the free flow of data across international borders and management of and access to data and public networks;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possible future limitations upon foreign-owned businesses;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inadequate local infrastructure;</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greater difficulty in protecting intellectual property;</w:t>
      </w:r>
    </w:p>
    <w:p>
      <w:pPr>
        <w:spacing w:after="0" w:line="16" w:lineRule="exact"/>
        <w:rPr>
          <w:rFonts w:ascii="Arial" w:cs="Arial" w:eastAsia="Arial" w:hAnsi="Arial"/>
          <w:sz w:val="21"/>
          <w:szCs w:val="21"/>
          <w:color w:val="auto"/>
        </w:rPr>
      </w:pPr>
    </w:p>
    <w:p>
      <w:pPr>
        <w:ind w:left="640" w:hanging="319"/>
        <w:spacing w:after="0" w:line="221"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software piracy; and</w:t>
      </w:r>
    </w:p>
    <w:p>
      <w:pPr>
        <w:ind w:left="640" w:hanging="319"/>
        <w:spacing w:after="0" w:line="233"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our control, including popular uprisings, terrorism, war (including the ongoing wars between Ukraine and Russia and between Israel and Hamas, and any related political or economic responses and counter-responses or otherwise by various global actors or the general effect on the global economy), natural disasters, and diseases and pandemics, such as COVID-19.</w:t>
      </w:r>
    </w:p>
    <w:p>
      <w:pPr>
        <w:spacing w:after="0"/>
        <w:rPr>
          <w:sz w:val="20"/>
          <w:szCs w:val="20"/>
          <w:color w:val="auto"/>
        </w:rPr>
      </w:pPr>
      <w:r>
        <w:rPr>
          <w:rFonts w:ascii="Times New Roman" w:cs="Times New Roman" w:eastAsia="Times New Roman" w:hAnsi="Times New Roman"/>
          <w:sz w:val="18"/>
          <w:szCs w:val="18"/>
          <w:color w:val="auto"/>
        </w:rPr>
        <w:t>Some of our business partners also have international operations and are subject to the risks described above.</w:t>
      </w:r>
    </w:p>
    <w:p>
      <w:pPr>
        <w:spacing w:after="0" w:line="210" w:lineRule="exact"/>
        <w:rPr>
          <w:sz w:val="20"/>
          <w:szCs w:val="20"/>
          <w:color w:val="auto"/>
        </w:rPr>
      </w:pPr>
    </w:p>
    <w:p>
      <w:pPr>
        <w:ind w:right="60" w:firstLine="434"/>
        <w:spacing w:after="0" w:line="234" w:lineRule="auto"/>
        <w:rPr>
          <w:sz w:val="20"/>
          <w:szCs w:val="20"/>
          <w:color w:val="auto"/>
        </w:rPr>
      </w:pPr>
      <w:r>
        <w:rPr>
          <w:rFonts w:ascii="Times New Roman" w:cs="Times New Roman" w:eastAsia="Times New Roman" w:hAnsi="Times New Roman"/>
          <w:sz w:val="18"/>
          <w:szCs w:val="18"/>
          <w:color w:val="auto"/>
        </w:rPr>
        <w:t>The application of the Trade and Cooperation Agreement between the European Union, the European Atomic Energy Community, and the United Kingdom signed in December 2020 (the “TCA”), which took effect January 1, 2021, could have adverse tax, tax treaty, banking, operational, legal, regulatory, or other impacts on our businesses in the region. The withdrawal could also, among other potential outcomes, create currency volatility; disrupt the free movement of goods, services, and people between the United Kingdom and the European Union; and significantly disrupt trade between the United Kingdom and the European Union and other parties. Uncertainty around these and related issues could lead to adverse effects on the United Kingdom economy, the European Union economies, and the other economies in which we operate.</w:t>
      </w:r>
    </w:p>
    <w:p>
      <w:pPr>
        <w:spacing w:after="0" w:line="210" w:lineRule="exact"/>
        <w:rPr>
          <w:sz w:val="20"/>
          <w:szCs w:val="20"/>
          <w:color w:val="auto"/>
        </w:rPr>
      </w:pPr>
    </w:p>
    <w:p>
      <w:pPr>
        <w:ind w:right="20" w:firstLine="474"/>
        <w:spacing w:after="0" w:line="231" w:lineRule="auto"/>
        <w:rPr>
          <w:sz w:val="20"/>
          <w:szCs w:val="20"/>
          <w:color w:val="auto"/>
        </w:rPr>
      </w:pPr>
      <w:r>
        <w:rPr>
          <w:rFonts w:ascii="Times New Roman" w:cs="Times New Roman" w:eastAsia="Times New Roman" w:hAnsi="Times New Roman"/>
          <w:sz w:val="18"/>
          <w:szCs w:val="18"/>
          <w:color w:val="auto"/>
        </w:rPr>
        <w:t>In addition, in recent years, the United States has instituted or proposed changes to foreign trade policy, including the negotiation or termination of trade agreements, the imposition of tariffs on products imported from certain countries, economic sanctions on individuals, corporations, or countries, and other government regulations affecting trade between the United States and other countries in which we do business. More recently, the United States and other global actors have imposed sanctions as a result of the war against Ukraine launched by Russia and the ongoing war between Israel and Hamas. New or increased tariffs and other changes in U.S. trade policy, including new sanctions, could trigger retaliatory actions by affected countries, including Russia. In addition, certain foreign governments, including the Chinese government, have instituted or considered imposing trade sanctions on certain U.S.-manufactured goods. The escalation of protectionist or retaliatory trade measures in either the United States or any other countries in which we do business, such as announcing sanctions, a change in tariff structures, export compliance, or other trade policies, may increase the cost of, or otherwise interfere with, the conduct of our business, and could have a material adverse effect on our operations and business outlook.</w:t>
      </w:r>
    </w:p>
    <w:p>
      <w:pPr>
        <w:spacing w:after="0" w:line="207" w:lineRule="exact"/>
        <w:rPr>
          <w:sz w:val="20"/>
          <w:szCs w:val="20"/>
          <w:color w:val="auto"/>
        </w:rPr>
      </w:pPr>
    </w:p>
    <w:p>
      <w:pPr>
        <w:ind w:right="120" w:firstLine="474"/>
        <w:spacing w:after="0" w:line="253" w:lineRule="auto"/>
        <w:rPr>
          <w:sz w:val="20"/>
          <w:szCs w:val="20"/>
          <w:color w:val="auto"/>
        </w:rPr>
      </w:pPr>
      <w:r>
        <w:rPr>
          <w:rFonts w:ascii="Times New Roman" w:cs="Times New Roman" w:eastAsia="Times New Roman" w:hAnsi="Times New Roman"/>
          <w:sz w:val="18"/>
          <w:szCs w:val="18"/>
          <w:color w:val="auto"/>
        </w:rPr>
        <w:t>Even if we are able to successfully manage the risks of international operations, our business may be adversely affected if our business partners are not able to successfully manage these risks.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be able to predict subscription renewal rates and their impact on our future revenue and operating results.</w:t>
      </w:r>
    </w:p>
    <w:p>
      <w:pPr>
        <w:spacing w:after="0" w:line="242" w:lineRule="exact"/>
        <w:rPr>
          <w:sz w:val="20"/>
          <w:szCs w:val="20"/>
          <w:color w:val="auto"/>
        </w:rPr>
      </w:pPr>
    </w:p>
    <w:p>
      <w:pPr>
        <w:ind w:right="60" w:firstLine="395"/>
        <w:spacing w:after="0" w:line="289" w:lineRule="auto"/>
        <w:rPr>
          <w:sz w:val="20"/>
          <w:szCs w:val="20"/>
          <w:color w:val="auto"/>
        </w:rPr>
      </w:pPr>
      <w:r>
        <w:rPr>
          <w:rFonts w:ascii="Times New Roman" w:cs="Times New Roman" w:eastAsia="Times New Roman" w:hAnsi="Times New Roman"/>
          <w:sz w:val="16"/>
          <w:szCs w:val="16"/>
          <w:color w:val="auto"/>
        </w:rPr>
        <w:t>We are dependent on attracting new customers as well as renewing and expanding our business with existing customers. Our customers are not obligated to renew their subscriptions for our offerings, and they may elect not to renew, upgrade, or expand their subscriptions. We cannot assure renewal rates or the mix of subscriptions renewals. Customer renewal rates may decline or fluctuate due to a number of factors, including offering pricing; competitive offerings; customer satisfaction; and reductions in customer spending levels, customer activity, or number of users due to economic downturns or financial markets uncertainty. If our customers do not renew their subscriptions or if they renew on less favorable terms, our revenues may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Existing and increased competition and rapidly evolving technological changes may reduce our revenue and profits.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97" w:right="399" w:bottom="1440" w:gutter="0" w:footer="0" w:header="0"/>
        </w:sectPr>
      </w:pPr>
    </w:p>
    <w:bookmarkStart w:id="63" w:name="page64"/>
    <w:bookmarkEnd w:id="63"/>
    <w:p>
      <w:pPr>
        <w:ind w:firstLine="395"/>
        <w:spacing w:after="0" w:line="268" w:lineRule="auto"/>
        <w:rPr>
          <w:sz w:val="20"/>
          <w:szCs w:val="20"/>
          <w:color w:val="auto"/>
        </w:rPr>
      </w:pPr>
      <w:r>
        <w:rPr>
          <w:rFonts w:ascii="Times New Roman" w:cs="Times New Roman" w:eastAsia="Times New Roman" w:hAnsi="Times New Roman"/>
          <w:sz w:val="16"/>
          <w:szCs w:val="16"/>
          <w:color w:val="auto"/>
        </w:rPr>
        <w:t xml:space="preserve">The software industry has limited barriers to entry, and the availability of computing devices with continually expanding performance at progressively lower prices contributes to the ease of market entry. The industry has undergone a transition from developing and selling perpetual licenses and on-premises products to </w:t>
      </w:r>
      <w:r>
        <w:rPr>
          <w:rFonts w:ascii="Times New Roman" w:cs="Times New Roman" w:eastAsia="Times New Roman" w:hAnsi="Times New Roman"/>
          <w:sz w:val="16"/>
          <w:szCs w:val="16"/>
          <w:color w:val="212529"/>
        </w:rPr>
        <w:t>subscriptions and cloud-enabled technologies</w:t>
      </w:r>
      <w:r>
        <w:rPr>
          <w:rFonts w:ascii="Times New Roman" w:cs="Times New Roman" w:eastAsia="Times New Roman" w:hAnsi="Times New Roman"/>
          <w:sz w:val="16"/>
          <w:szCs w:val="16"/>
          <w:color w:val="auto"/>
        </w:rPr>
        <w:t>. This shift further lowers barriers to entry and poses a disruptive challenge to established software companies. The markets in which we operate are characterized by vigorous competition, both by entrants with innovative technologies and by consolidation of companies with complementary offerings and technologies. Some of our competitors have greater financial, technical, sales and marketing, and other resources. Our competitors may also be able to develop and market new technologies that render our existing or future products less competitive. For example, disruptive technologies such as machine learning and other AI technologies may significantly alter the market for our products in unpredictable ways and reduce customer demand.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200" w:lineRule="exact"/>
        <w:rPr>
          <w:sz w:val="20"/>
          <w:szCs w:val="20"/>
          <w:color w:val="auto"/>
        </w:rPr>
      </w:pPr>
    </w:p>
    <w:p>
      <w:pPr>
        <w:spacing w:after="0" w:line="204"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i w:val="1"/>
          <w:iCs w:val="1"/>
          <w:color w:val="auto"/>
        </w:rPr>
        <w:t>Our financial results, key metrics, and other operating metrics fluctuate within each quarter and from quarter to quarter, making our future revenue and financial results difficult to predict.</w:t>
      </w:r>
    </w:p>
    <w:p>
      <w:pPr>
        <w:spacing w:after="0" w:line="192"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Our quarterly financial results, key metrics, and other operating metrics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risks described in these risk factors, some of the factors that could cause our financial results, key metrics, and other operating metrics to fluctuate include:</w:t>
      </w:r>
    </w:p>
    <w:p>
      <w:pPr>
        <w:spacing w:after="0" w:line="23" w:lineRule="exact"/>
        <w:rPr>
          <w:sz w:val="20"/>
          <w:szCs w:val="20"/>
          <w:color w:val="auto"/>
        </w:rPr>
      </w:pPr>
    </w:p>
    <w:p>
      <w:pPr>
        <w:ind w:left="640" w:right="300" w:hanging="319"/>
        <w:spacing w:after="0" w:line="234" w:lineRule="auto"/>
        <w:tabs>
          <w:tab w:leader="none" w:pos="63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general market, economic, business, and political conditions in Europe, APAC, and emerging economies, including from an economic downturn or recession in the United States or other countries;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produce sufficient revenue, billings, subscription, profitability, and cash flow growth;</w:t>
      </w:r>
    </w:p>
    <w:p>
      <w:pPr>
        <w:spacing w:after="0" w:line="21" w:lineRule="exact"/>
        <w:rPr>
          <w:rFonts w:ascii="Arial" w:cs="Arial" w:eastAsia="Arial" w:hAnsi="Arial"/>
          <w:sz w:val="21"/>
          <w:szCs w:val="21"/>
          <w:color w:val="auto"/>
        </w:rPr>
      </w:pPr>
    </w:p>
    <w:p>
      <w:pPr>
        <w:ind w:left="640" w:right="520" w:hanging="319"/>
        <w:spacing w:after="0" w:line="229" w:lineRule="auto"/>
        <w:tabs>
          <w:tab w:leader="none" w:pos="63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accurately predict the impact of acquired businesses or to identify and realize the anticipated benefits of acquisitions, and successfully integrate such acquired businesses and technologies;</w:t>
      </w:r>
    </w:p>
    <w:p>
      <w:pPr>
        <w:ind w:left="640" w:right="80" w:hanging="319"/>
        <w:spacing w:after="0" w:line="235" w:lineRule="auto"/>
        <w:tabs>
          <w:tab w:leader="none" w:pos="6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 to named-user plans and annual billing of multi-year contracts, which impacted the timing of our billings and cash collections in fiscal year 2024 and which is expected to continue into fiscal year 2025;</w:t>
      </w:r>
    </w:p>
    <w:p>
      <w:pPr>
        <w:spacing w:after="0" w:line="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successfully introduce and expand new transaction models such as Flex;</w:t>
      </w:r>
    </w:p>
    <w:p>
      <w:pPr>
        <w:spacing w:after="0" w:line="16" w:lineRule="exact"/>
        <w:rPr>
          <w:rFonts w:ascii="Arial" w:cs="Arial" w:eastAsia="Arial" w:hAnsi="Arial"/>
          <w:sz w:val="21"/>
          <w:szCs w:val="21"/>
          <w:color w:val="auto"/>
        </w:rPr>
      </w:pPr>
    </w:p>
    <w:p>
      <w:pPr>
        <w:ind w:left="640" w:hanging="319"/>
        <w:spacing w:after="0" w:line="219"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potential goodwill impairment charges related to prior acquisitions;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manage spend;</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billings linearity;</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subscription mix, pricing pressure, or changes in subscription pricing;</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weak or negative growth in one or more of the industries we serve, including AEC, manufacturing, and digital media and entertainment markets;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the success of new business or sales initiatives;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security breaches, related reputational harm, and potential financial penalties to customers and government entities;</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restructuring or other accounting charges and unexpected costs or other operating expenses;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timing of additional investments in our technologies or deployment of our services;</w:t>
      </w:r>
    </w:p>
    <w:p>
      <w:pPr>
        <w:spacing w:after="0" w:line="22" w:lineRule="exact"/>
        <w:rPr>
          <w:rFonts w:ascii="Arial" w:cs="Arial" w:eastAsia="Arial" w:hAnsi="Arial"/>
          <w:sz w:val="21"/>
          <w:szCs w:val="21"/>
          <w:color w:val="auto"/>
        </w:rPr>
      </w:pPr>
    </w:p>
    <w:p>
      <w:pPr>
        <w:ind w:left="640" w:right="500" w:hanging="319"/>
        <w:spacing w:after="0" w:line="234" w:lineRule="auto"/>
        <w:tabs>
          <w:tab w:leader="none" w:pos="63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revenue recognition or other accounting guidelines employed by us and/or established by the Financial Accounting Standards Board, Securities and Exchange Commission, or other rulemaking bodies;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fluctuations in foreign currency exchange rates and the effectiveness of our hedging activity;</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dependence on and timing of large transactions;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adjustments arising from ongoing or future tax examinations;</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the ability of governments around the world to adopt fiscal policies, meet their financial and debt obligations, and finance infrastructure projects;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expand our AutoCAD and AutoCAD LT customer base to related design products and services;</w:t>
      </w:r>
    </w:p>
    <w:p>
      <w:pPr>
        <w:spacing w:after="0" w:line="22" w:lineRule="exact"/>
        <w:rPr>
          <w:rFonts w:ascii="Arial" w:cs="Arial" w:eastAsia="Arial" w:hAnsi="Arial"/>
          <w:sz w:val="21"/>
          <w:szCs w:val="21"/>
          <w:color w:val="auto"/>
        </w:rPr>
      </w:pPr>
    </w:p>
    <w:p>
      <w:pPr>
        <w:ind w:left="640" w:right="280" w:hanging="319"/>
        <w:spacing w:after="0" w:line="234" w:lineRule="auto"/>
        <w:tabs>
          <w:tab w:leader="none" w:pos="63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rapidly adapt to technological and customer preference changes, including those related to cloud computing, mobile devices, and new computing platforms;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timing of the introduction of new products by us or our competitors;</w:t>
      </w:r>
    </w:p>
    <w:p>
      <w:pPr>
        <w:spacing w:after="0" w:line="21" w:lineRule="exact"/>
        <w:rPr>
          <w:rFonts w:ascii="Arial" w:cs="Arial" w:eastAsia="Arial" w:hAnsi="Arial"/>
          <w:sz w:val="21"/>
          <w:szCs w:val="21"/>
          <w:color w:val="auto"/>
        </w:rPr>
      </w:pPr>
    </w:p>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the financial and business condition of our reseller and distribution channels;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4" w:name="page65"/>
    <w:bookmarkEnd w:id="64"/>
    <w:p>
      <w:pPr>
        <w:ind w:left="640" w:hanging="319"/>
        <w:spacing w:after="0"/>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perceived or actual technical or other problems with a product or combination of subscriptions;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unexpected or negative outcomes of matters and expenses relating to litigation or regulatory inquiries;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increases in cloud functionality-related expenses;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timing of releases and retirements of offerings;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tax laws or tax or accounting rules and regulations, such as increased use of fair value measures;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sales compensation practices;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effectively implement and maintain our copyright legalization programs, especially in developing countries;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renegotiation or termination of royalty or intellectual property arrangements;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interruptions or terminations in the business of our consultants or third-party developers;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timing and degree of expected investments in growth and efficiency opportunities;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achieve continued success in technology advancements;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catastrophic events, natural disasters, or public health events, such as pandemics and epidemics, including COVID-19;</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regulatory compliance costs; and</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appropriately estimate the scope of services under consulting arrangements.</w:t>
      </w:r>
    </w:p>
    <w:p>
      <w:pPr>
        <w:spacing w:after="0" w:line="220" w:lineRule="exact"/>
        <w:rPr>
          <w:sz w:val="20"/>
          <w:szCs w:val="20"/>
          <w:color w:val="auto"/>
        </w:rPr>
      </w:pPr>
    </w:p>
    <w:p>
      <w:pPr>
        <w:ind w:firstLine="395"/>
        <w:spacing w:after="0" w:line="232" w:lineRule="auto"/>
        <w:rPr>
          <w:sz w:val="20"/>
          <w:szCs w:val="20"/>
          <w:color w:val="auto"/>
        </w:rPr>
      </w:pPr>
      <w:r>
        <w:rPr>
          <w:rFonts w:ascii="Times New Roman" w:cs="Times New Roman" w:eastAsia="Times New Roman" w:hAnsi="Times New Roman"/>
          <w:sz w:val="18"/>
          <w:szCs w:val="18"/>
          <w:color w:val="auto"/>
        </w:rPr>
        <w:t>We have also experienced fluctuations in financial results in interim periods in certain geographic regions due to seasonality or regional economic or political conditions. In particular, our financial results, key metrics, or other operating metrics in Europe during our third quarter are usually affected by a slower summer period, and our APAC operations typically experience seasonal slowing in our fourth quarter. War, including the ongoing wars between Ukraine and Russia and between Israel and Hamas, and any related political or economic responses and counter-responses or otherwise by various global actors or the general effect on the global economy, could also affect our business.</w:t>
      </w:r>
    </w:p>
    <w:p>
      <w:pPr>
        <w:spacing w:after="0" w:line="223" w:lineRule="exact"/>
        <w:rPr>
          <w:sz w:val="20"/>
          <w:szCs w:val="20"/>
          <w:color w:val="auto"/>
        </w:rPr>
      </w:pPr>
    </w:p>
    <w:p>
      <w:pPr>
        <w:ind w:right="340" w:firstLine="395"/>
        <w:spacing w:after="0" w:line="256" w:lineRule="auto"/>
        <w:rPr>
          <w:sz w:val="20"/>
          <w:szCs w:val="20"/>
          <w:color w:val="auto"/>
        </w:rPr>
      </w:pPr>
      <w:r>
        <w:rPr>
          <w:rFonts w:ascii="Times New Roman" w:cs="Times New Roman" w:eastAsia="Times New Roman" w:hAnsi="Times New Roman"/>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204"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i w:val="1"/>
          <w:iCs w:val="1"/>
          <w:color w:val="auto"/>
        </w:rPr>
        <w:t>We derive a substantial portion of our net revenue from a small number of solutions, including our AutoCAD-based software products and collections, and if these offerings are not successful, our revenue would be adversely affected.</w:t>
      </w:r>
    </w:p>
    <w:p>
      <w:pPr>
        <w:spacing w:after="0" w:line="192" w:lineRule="exact"/>
        <w:rPr>
          <w:sz w:val="20"/>
          <w:szCs w:val="20"/>
          <w:color w:val="auto"/>
        </w:rPr>
      </w:pPr>
    </w:p>
    <w:p>
      <w:pPr>
        <w:ind w:right="120" w:firstLine="434"/>
        <w:spacing w:after="0" w:line="249" w:lineRule="auto"/>
        <w:rPr>
          <w:sz w:val="20"/>
          <w:szCs w:val="20"/>
          <w:color w:val="auto"/>
        </w:rPr>
      </w:pPr>
      <w:r>
        <w:rPr>
          <w:rFonts w:ascii="Times New Roman" w:cs="Times New Roman" w:eastAsia="Times New Roman" w:hAnsi="Times New Roman"/>
          <w:sz w:val="18"/>
          <w:szCs w:val="18"/>
          <w:color w:val="auto"/>
        </w:rPr>
        <w:t>We derive a substantial portion of our net revenue from sales of subscriptions of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 During the six months ended July 31, 2024 and 2023, combined revenue from our AutoCAD and AutoCAD LT family products, not including collections having AutoCAD or AutoCAD LT as a component, represented 26% and 27% of our total net revenue, respectively.</w:t>
      </w:r>
    </w:p>
    <w:p>
      <w:pPr>
        <w:spacing w:after="0" w:line="210"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9" w:lineRule="exact"/>
        <w:rPr>
          <w:sz w:val="20"/>
          <w:szCs w:val="20"/>
          <w:color w:val="auto"/>
        </w:rPr>
      </w:pPr>
    </w:p>
    <w:p>
      <w:pPr>
        <w:ind w:right="20" w:firstLine="395"/>
        <w:spacing w:after="0" w:line="233" w:lineRule="auto"/>
        <w:rPr>
          <w:sz w:val="20"/>
          <w:szCs w:val="20"/>
          <w:color w:val="auto"/>
        </w:rPr>
      </w:pPr>
      <w:r>
        <w:rPr>
          <w:rFonts w:ascii="Times New Roman" w:cs="Times New Roman" w:eastAsia="Times New Roman" w:hAnsi="Times New Roman"/>
          <w:sz w:val="18"/>
          <w:szCs w:val="18"/>
          <w:color w:val="auto"/>
        </w:rPr>
        <w:t>As part of our effort to accommodate our customers’ needs and demands and the rapid evolution of technology, from time to time we evolve our business and sales initiatives, such as shifting to annual billing of multi-year contracts, introducing and expanding new business models such as the new transaction model and Flex,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revenue, billings, earnings, cash flow, or subscriptions shortfalls or volatility of the market generally may cause the market price of our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97" w:right="359" w:bottom="1440" w:gutter="0" w:footer="0" w:header="0"/>
        </w:sectPr>
      </w:pPr>
    </w:p>
    <w:bookmarkStart w:id="65" w:name="page66"/>
    <w:bookmarkEnd w:id="65"/>
    <w:p>
      <w:pPr>
        <w:ind w:right="380" w:firstLine="395"/>
        <w:spacing w:after="0" w:line="254" w:lineRule="auto"/>
        <w:rPr>
          <w:sz w:val="20"/>
          <w:szCs w:val="20"/>
          <w:color w:val="auto"/>
        </w:rPr>
      </w:pPr>
      <w:r>
        <w:rPr>
          <w:rFonts w:ascii="Times New Roman" w:cs="Times New Roman" w:eastAsia="Times New Roman" w:hAnsi="Times New Roman"/>
          <w:sz w:val="18"/>
          <w:szCs w:val="18"/>
          <w:color w:val="auto"/>
        </w:rPr>
        <w:t>The market price for our common stock has experienced significant fluctuations and may continue to fluctuate significantly. The market price for our common stock may be affected by a number of factors, including the other risks described in these risk factors and the following:</w:t>
      </w:r>
    </w:p>
    <w:p>
      <w:pPr>
        <w:spacing w:after="0" w:line="22" w:lineRule="exact"/>
        <w:rPr>
          <w:sz w:val="20"/>
          <w:szCs w:val="20"/>
          <w:color w:val="auto"/>
        </w:rPr>
      </w:pPr>
    </w:p>
    <w:p>
      <w:pPr>
        <w:ind w:left="640" w:right="20" w:hanging="319"/>
        <w:spacing w:after="0" w:line="237" w:lineRule="auto"/>
        <w:tabs>
          <w:tab w:leader="none" w:pos="63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shortfalls in our expected financial results, including net revenue, billings, earnings, and cash flow or key performance metrics, such as subscriptions, and how those results compare to securities analyst expectations, including whether those results fail to meet, exceed, or significantly exceed securities analyst expectations;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quarterly variations in our or our competitors’ results of operations;</w:t>
      </w:r>
    </w:p>
    <w:p>
      <w:pPr>
        <w:spacing w:after="0" w:line="20" w:lineRule="exact"/>
        <w:rPr>
          <w:rFonts w:ascii="Arial" w:cs="Arial" w:eastAsia="Arial" w:hAnsi="Arial"/>
          <w:sz w:val="21"/>
          <w:szCs w:val="21"/>
          <w:color w:val="auto"/>
        </w:rPr>
      </w:pPr>
    </w:p>
    <w:p>
      <w:pPr>
        <w:ind w:left="640" w:hanging="319"/>
        <w:spacing w:after="0"/>
        <w:tabs>
          <w:tab w:leader="none" w:pos="64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17"/>
          <w:szCs w:val="17"/>
          <w:color w:val="auto"/>
        </w:rPr>
        <w:t>general socioeconomic, political, or market conditions, including from an economic downturn or recession in the United States or in other countries;</w:t>
      </w:r>
    </w:p>
    <w:p>
      <w:pPr>
        <w:spacing w:after="0" w:line="34" w:lineRule="exact"/>
        <w:rPr>
          <w:rFonts w:ascii="Arial" w:cs="Arial" w:eastAsia="Arial" w:hAnsi="Arial"/>
          <w:sz w:val="20"/>
          <w:szCs w:val="20"/>
          <w:color w:val="auto"/>
        </w:rPr>
      </w:pPr>
    </w:p>
    <w:p>
      <w:pPr>
        <w:ind w:left="640" w:right="20" w:hanging="319"/>
        <w:spacing w:after="0" w:line="234" w:lineRule="auto"/>
        <w:tabs>
          <w:tab w:leader="none" w:pos="63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forward-looking estimates of future results, how those estimates compare to securities analyst expectations, or changes in recommendations or confusion on the part of analysts and investors about the short- and long-term impact to our business;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uncertainty about certain governments’ abilities to repay debt or effect fiscal policy;</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announcements of new offerings or enhancements by us or our competitors;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unusual events such as significant acquisitions, divestitures, regulatory actions, and litigation;</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laws, rules, or regulations applicable to our business;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outstanding debt service obligations;</w:t>
      </w:r>
    </w:p>
    <w:p>
      <w:pPr>
        <w:spacing w:after="0" w:line="2" w:lineRule="exact"/>
        <w:rPr>
          <w:rFonts w:ascii="Arial" w:cs="Arial" w:eastAsia="Arial" w:hAnsi="Arial"/>
          <w:sz w:val="21"/>
          <w:szCs w:val="21"/>
          <w:color w:val="auto"/>
        </w:rPr>
      </w:pPr>
    </w:p>
    <w:p>
      <w:pPr>
        <w:ind w:left="640" w:hanging="319"/>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activist shareholders or others, and our response to such actions; and</w:t>
      </w:r>
    </w:p>
    <w:p>
      <w:pPr>
        <w:spacing w:after="0" w:line="23" w:lineRule="exact"/>
        <w:rPr>
          <w:rFonts w:ascii="Times New Roman" w:cs="Times New Roman" w:eastAsia="Times New Roman" w:hAnsi="Times New Roman"/>
          <w:sz w:val="18"/>
          <w:szCs w:val="18"/>
          <w:color w:val="auto"/>
        </w:rPr>
      </w:pPr>
    </w:p>
    <w:p>
      <w:pPr>
        <w:ind w:left="640" w:right="160" w:hanging="319"/>
        <w:spacing w:after="0" w:line="234" w:lineRule="auto"/>
        <w:tabs>
          <w:tab w:leader="none" w:pos="63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other factors, including factors unrelated to our operating performance, such as instability affecting the economy or the operating performance of our competitors.</w:t>
      </w:r>
    </w:p>
    <w:p>
      <w:pPr>
        <w:spacing w:after="0" w:line="221" w:lineRule="exact"/>
        <w:rPr>
          <w:sz w:val="20"/>
          <w:szCs w:val="20"/>
          <w:color w:val="auto"/>
        </w:rPr>
      </w:pPr>
    </w:p>
    <w:p>
      <w:pPr>
        <w:jc w:val="both"/>
        <w:ind w:right="200" w:firstLine="395"/>
        <w:spacing w:after="0" w:line="256" w:lineRule="auto"/>
        <w:rPr>
          <w:sz w:val="20"/>
          <w:szCs w:val="20"/>
          <w:color w:val="auto"/>
        </w:rPr>
      </w:pPr>
      <w:r>
        <w:rPr>
          <w:rFonts w:ascii="Times New Roman" w:cs="Times New Roman" w:eastAsia="Times New Roman" w:hAnsi="Times New Roman"/>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204"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92"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We partner with certain independent firms and contractors to perform some of our product development activities. We believe our partnering strategy allows us to achieve efficiencies in developing new products and maintaining and enhancing existing product offerings. This strategy creates a dependency on independent developers. Independent developers, including those who currently develop solutions for us in the United States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211"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i w:val="1"/>
          <w:iCs w:val="1"/>
          <w:color w:val="auto"/>
        </w:rPr>
        <w:t>We incorporate AI into our offerings, and challenges with properly managing its use could result in competitive harm, reputational harm, or liability, and adversely affect our results of operations.</w:t>
      </w:r>
    </w:p>
    <w:p>
      <w:pPr>
        <w:spacing w:after="0" w:line="19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are increasingly building AI into many of our offerings. We expect to rely on AI technologies to help drive future growth in our business, but there can be no assurance that we will realize the desired or anticipated benefits from AI or at all. We may also fail to properly implement or market our AI offerings. As with many innovations, AI presents risks and challenges that could affect its adoption, and therefore our business. Our competitors or other third parties may incorporate AI into their products more quickly or more successfully than us, which could impair our ability to compete effectively and adversely affect our results of operations. Additionally, our offerings based on AI may expose us to additional lawsuits and regulatory investigations and subject us to legal liability as well as brand and reputational harm. For example, if the content, analyses, or recommendations that AI applications assist in producing are or are alleged to be deficient, inaccurate, or biased, our business, financial condition, and results of operations may be adversely affected. The use of AI applications has resulted in, and may in the future result in, cybersecurity incidents that implicate the personal data of end users of such applications. Any such cybersecurity incidents related to our use of AI applications could adversely affect our reputation and results of operations.</w:t>
      </w:r>
    </w:p>
    <w:p>
      <w:pPr>
        <w:spacing w:after="0" w:line="21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Social and ethical issues relating to the use of new and evolving technologies such as AI in our offerings, may result in reputational harm and liability, and may cause us to incur additional research and development costs to resolve such issues. AI presents emerging ethical issues and if we enable or offer solutions that draw controversy due to their perceived or actual</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6" w:name="page67"/>
    <w:bookmarkEnd w:id="66"/>
    <w:p>
      <w:pPr>
        <w:jc w:val="both"/>
        <w:spacing w:after="0" w:line="252" w:lineRule="auto"/>
        <w:rPr>
          <w:sz w:val="20"/>
          <w:szCs w:val="20"/>
          <w:color w:val="auto"/>
        </w:rPr>
      </w:pPr>
      <w:r>
        <w:rPr>
          <w:rFonts w:ascii="Times New Roman" w:cs="Times New Roman" w:eastAsia="Times New Roman" w:hAnsi="Times New Roman"/>
          <w:sz w:val="18"/>
          <w:szCs w:val="18"/>
          <w:color w:val="auto"/>
        </w:rPr>
        <w:t>impact on society, we may experience brand or reputational harm, competitive harm, or legal liability. Potential government regulation in the space of AI ethics may also increase the burden and cost of research and development in this area, subjecting us to brand or reputational harm, competitive harm, or legal liability. Failure to address AI ethics issues by us or others in our industry could undermine public confidence in AI and slow adoption of AI in our products and services.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i w:val="1"/>
          <w:iCs w:val="1"/>
          <w:color w:val="auto"/>
        </w:rPr>
        <w:t>The Audit Committee internal investigation has been time-consuming and expensive, has resulted in the filing of lawsuits, and may result in additional expense and/or litigation.</w:t>
      </w:r>
    </w:p>
    <w:p>
      <w:pPr>
        <w:spacing w:after="0" w:line="192" w:lineRule="exact"/>
        <w:rPr>
          <w:sz w:val="20"/>
          <w:szCs w:val="20"/>
          <w:color w:val="auto"/>
        </w:rPr>
      </w:pPr>
    </w:p>
    <w:p>
      <w:pPr>
        <w:ind w:right="120" w:firstLine="395"/>
        <w:spacing w:after="0" w:line="332" w:lineRule="auto"/>
        <w:rPr>
          <w:sz w:val="20"/>
          <w:szCs w:val="20"/>
          <w:color w:val="auto"/>
        </w:rPr>
      </w:pPr>
      <w:r>
        <w:rPr>
          <w:rFonts w:ascii="Times New Roman" w:cs="Times New Roman" w:eastAsia="Times New Roman" w:hAnsi="Times New Roman"/>
          <w:sz w:val="16"/>
          <w:szCs w:val="16"/>
          <w:color w:val="auto"/>
        </w:rPr>
        <w:t>As previously disclosed on April 1, 2024, the Audit Committee commenced an internal investigation with the assistance of outside counsel and advisors, regarding Autodesk’s free cash flow and non-GAAP operating margin practices. The results of that investigation were announced on May 31, 2024.</w:t>
      </w:r>
    </w:p>
    <w:p>
      <w:pPr>
        <w:spacing w:after="0" w:line="149" w:lineRule="exact"/>
        <w:rPr>
          <w:sz w:val="20"/>
          <w:szCs w:val="20"/>
          <w:color w:val="auto"/>
        </w:rPr>
      </w:pPr>
    </w:p>
    <w:p>
      <w:pPr>
        <w:ind w:right="200" w:firstLine="395"/>
        <w:spacing w:after="0" w:line="252" w:lineRule="auto"/>
        <w:rPr>
          <w:sz w:val="20"/>
          <w:szCs w:val="20"/>
          <w:color w:val="auto"/>
        </w:rPr>
      </w:pPr>
      <w:r>
        <w:rPr>
          <w:rFonts w:ascii="Times New Roman" w:cs="Times New Roman" w:eastAsia="Times New Roman" w:hAnsi="Times New Roman"/>
          <w:sz w:val="18"/>
          <w:szCs w:val="18"/>
          <w:color w:val="auto"/>
        </w:rPr>
        <w:t>We have incurred significant expenses, including audit, legal, consulting and other professional fees, in connection with the investigation, and we could be forced to incur additional time and expense as a result of the investigation. The incurrence of significant additional expense, or the requirement that management devote significant time that could reduce the time available to execute on our business strategies, could have an adverse effect on our business, results of operations and financial condition.</w:t>
      </w:r>
    </w:p>
    <w:p>
      <w:pPr>
        <w:spacing w:after="0" w:line="210" w:lineRule="exact"/>
        <w:rPr>
          <w:sz w:val="20"/>
          <w:szCs w:val="20"/>
          <w:color w:val="auto"/>
        </w:rPr>
      </w:pPr>
    </w:p>
    <w:p>
      <w:pPr>
        <w:ind w:right="80" w:firstLine="395"/>
        <w:spacing w:after="0" w:line="326" w:lineRule="auto"/>
        <w:rPr>
          <w:sz w:val="20"/>
          <w:szCs w:val="20"/>
          <w:color w:val="auto"/>
        </w:rPr>
      </w:pPr>
      <w:r>
        <w:rPr>
          <w:rFonts w:ascii="Times New Roman" w:cs="Times New Roman" w:eastAsia="Times New Roman" w:hAnsi="Times New Roman"/>
          <w:sz w:val="16"/>
          <w:szCs w:val="16"/>
          <w:color w:val="auto"/>
        </w:rPr>
        <w:t>Autodesk voluntarily contacted the Securities and Exchange Commission (the “SEC”) to advise it that an internal investigation was ongoing. Autodesk is cooperating with the SEC’s investigation. Furthermore, if the SEC commences legal action, we could be required to pay significant penalties and become</w:t>
      </w:r>
    </w:p>
    <w:p>
      <w:pPr>
        <w:ind w:right="60"/>
        <w:spacing w:after="0" w:line="287" w:lineRule="auto"/>
        <w:rPr>
          <w:sz w:val="20"/>
          <w:szCs w:val="20"/>
          <w:color w:val="auto"/>
        </w:rPr>
      </w:pPr>
      <w:r>
        <w:rPr>
          <w:rFonts w:ascii="Times New Roman" w:cs="Times New Roman" w:eastAsia="Times New Roman" w:hAnsi="Times New Roman"/>
          <w:sz w:val="16"/>
          <w:szCs w:val="16"/>
          <w:color w:val="auto"/>
        </w:rPr>
        <w:t>subject to injunctions, a cease and desist order and other equitable remedies. In addition, the United States Attorney’s Office for the Northern District of California contacted us regarding the Audit Committee investigation. We cannot guarantee that we will not receive inquiries from other regulatory authorities regarding the investigation, or that we will not be subject to future claims, investigations or proceedings. Any future inquiries from the SEC or other regulatory authorities, or future claims or proceedings or any related regulatory investigation will, regardless of the outcome, likely consume a significant amount of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resources and result in additional legal and accounting costs. We can provide no assurances as to the outcome of any governmental investigation.</w:t>
      </w:r>
    </w:p>
    <w:p>
      <w:pPr>
        <w:spacing w:after="0" w:line="254" w:lineRule="exact"/>
        <w:rPr>
          <w:sz w:val="20"/>
          <w:szCs w:val="20"/>
          <w:color w:val="auto"/>
        </w:rPr>
      </w:pPr>
    </w:p>
    <w:p>
      <w:pPr>
        <w:ind w:right="220" w:firstLine="395"/>
        <w:spacing w:after="0" w:line="250" w:lineRule="auto"/>
        <w:rPr>
          <w:sz w:val="20"/>
          <w:szCs w:val="20"/>
          <w:color w:val="auto"/>
        </w:rPr>
      </w:pPr>
      <w:r>
        <w:rPr>
          <w:rFonts w:ascii="Times New Roman" w:cs="Times New Roman" w:eastAsia="Times New Roman" w:hAnsi="Times New Roman"/>
          <w:sz w:val="18"/>
          <w:szCs w:val="18"/>
          <w:color w:val="auto"/>
        </w:rPr>
        <w:t>In addition, we and certain of our officers and directors have been named in purported shareholder litigation arising out of our announcement of the investigation. For additional discussion, see Part II, Item 1. Legal Proceedings and Note 17 to our Consolidated Financial Statements. The pending litigation, and any future litigation, investigation or other actions that may be filed or initiated against us or our officers or directors, may be time consuming and expensive. We cannot predict what losses we may incur in these litigation matters, and contingencies related to our obligations under the federal and state securities laws, or in other legal proceedings or governmental investigations or proceedings related to these matters.</w:t>
      </w:r>
    </w:p>
    <w:p>
      <w:pPr>
        <w:spacing w:after="0" w:line="212" w:lineRule="exact"/>
        <w:rPr>
          <w:sz w:val="20"/>
          <w:szCs w:val="20"/>
          <w:color w:val="auto"/>
        </w:rPr>
      </w:pPr>
    </w:p>
    <w:p>
      <w:pPr>
        <w:ind w:right="180" w:firstLine="395"/>
        <w:spacing w:after="0" w:line="289" w:lineRule="auto"/>
        <w:rPr>
          <w:sz w:val="20"/>
          <w:szCs w:val="20"/>
          <w:color w:val="auto"/>
        </w:rPr>
      </w:pPr>
      <w:r>
        <w:rPr>
          <w:rFonts w:ascii="Times New Roman" w:cs="Times New Roman" w:eastAsia="Times New Roman" w:hAnsi="Times New Roman"/>
          <w:sz w:val="16"/>
          <w:szCs w:val="16"/>
          <w:color w:val="auto"/>
        </w:rPr>
        <w:t>Any legal proceedings, if decided adversely to us, could result in significant monetary damages, penalties and reputational harm, and will likely involve significant defense and other costs. We have entered into indemnification agreements with each of our directors and certain of our officers, and our bylaws require us to indemnify each of our directors and officers. Further, our insurance may not cover all claims that have been or may be brought against us, and insurance coverage may not continue to be available to us at a reasonable cost. As a result, we may be exposed to substantial uninsured liabilities, including pursuant to our indemnification obligations, which could adversely affect our business, prospects, results of operations and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Our Operations</w:t>
      </w:r>
    </w:p>
    <w:p>
      <w:pPr>
        <w:spacing w:after="0" w:line="24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i w:val="1"/>
          <w:iCs w:val="1"/>
          <w:color w:val="auto"/>
        </w:rPr>
        <w:t>Security breaches or incidents may compromise the integrity of our or our customers’ systems, solutions, offerings, services, applications, data, or intellectual property, harm our reputation, damage our competitiveness, create additional liability, and adversely impact our financial results.</w:t>
      </w:r>
    </w:p>
    <w:p>
      <w:pPr>
        <w:spacing w:after="0" w:line="179" w:lineRule="exact"/>
        <w:rPr>
          <w:sz w:val="20"/>
          <w:szCs w:val="20"/>
          <w:color w:val="auto"/>
        </w:rPr>
      </w:pPr>
    </w:p>
    <w:p>
      <w:pPr>
        <w:ind w:right="20" w:firstLine="395"/>
        <w:spacing w:after="0" w:line="231" w:lineRule="auto"/>
        <w:rPr>
          <w:sz w:val="20"/>
          <w:szCs w:val="20"/>
          <w:color w:val="auto"/>
        </w:rPr>
      </w:pPr>
      <w:r>
        <w:rPr>
          <w:rFonts w:ascii="Times New Roman" w:cs="Times New Roman" w:eastAsia="Times New Roman" w:hAnsi="Times New Roman"/>
          <w:sz w:val="18"/>
          <w:szCs w:val="18"/>
          <w:color w:val="auto"/>
        </w:rPr>
        <w:t>As we digitize Autodesk and use cloud- and web-based technologies to leverage customer data to deliver the total customer experience, we are exposed to increased security risks and the potential for unauthorized access to, or improper use, disclosure, or other processing of, our and our customers’ information. Like other software offerings and systems, ours are vulnerable to security breaches and incidents, including those from acquired companies. Also, our ability to mitigate the risk of security breaches and incidents may be impacted by our limited control over our customers or third-party technology providers and vendors, or the processing of data by third-party technology providers and vendors, which may not allow us to maintain the integrity or security of such transmissions or processing. We devote significant resources in an effort to maintain the security and integrity of our systems, offerings, services, and applications (online, mobile, and desktop). Despite these efforts, we may not prevent security breaches or incidents, and we may face delays or other difficulties in identifying, responding to, or remediating security breaches or incidents.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7" w:name="page68"/>
    <w:bookmarkEnd w:id="67"/>
    <w:p>
      <w:pPr>
        <w:jc w:val="both"/>
        <w:ind w:firstLine="395"/>
        <w:spacing w:after="0" w:line="245" w:lineRule="auto"/>
        <w:rPr>
          <w:sz w:val="20"/>
          <w:szCs w:val="20"/>
          <w:color w:val="auto"/>
        </w:rPr>
      </w:pPr>
      <w:r>
        <w:rPr>
          <w:rFonts w:ascii="Times New Roman" w:cs="Times New Roman" w:eastAsia="Times New Roman" w:hAnsi="Times New Roman"/>
          <w:sz w:val="18"/>
          <w:szCs w:val="18"/>
          <w:color w:val="auto"/>
        </w:rPr>
        <w:t>Hackers regularly have targeted our systems, offerings, services, and applications, and we expect them to do so in the future. To date, such identified security events have not been material or significant to us or our customers, including to our reputation or business operations, or had a material financial impact, but there can be no assurance that future cyberattacks will not be material or significant. Security breaches or incidents could disrupt the proper functioning of our systems, solutions, offerings, applications, or services; cause errors in the output of our customers’ work; allow unauthorized access to or unauthorized use, disclosure, modification, loss, unavailability, or destruction of, sensitive data or intellectual property, including proprietary or confidential information of ours or our customers; or cause other destructive or disruptive outcomes. The risk of a security incident, particularly through cyber-attack or cyber intrusion, including by computer hackers, foreign governments, and cyber terrorists, has increased as the number, intensity, and sophistication of attempted attacks and intrusions from around the world have increased. These threats include, among others, identity theft, unauthorized access, DNS attacks, wireless network attacks, viruses and worms, malware, bugs, vulnerabilities, advanced persistent threats, application-centric attacks, peer-to-peer attacks, social engineering, phishing, credential stuffing, malicious file uploads, backdoor trojans, supply chain attacks, ransomware attacks, and distributed denial of service attacks. In addition, third parties may attempt to fraudulently induce our employees, vendors, partners, customers, or users to disclose information to gain access to our data or our customers’ or users’ data and there is the risk of employee, contractor, or vendor error or malfeasance. These existing risks are compounded given the shift in recent years to work-from-home arrangements for a large population of employees and contractors, as well as employees and contractors of our third-party technology providers and vendors, and the risks could also be elevated in connection with the ongoing war between Ukraine and Russia as we and our third-party technology providers and vendors are vulnerable to a heightened risk of cyberattacks from or affiliated with nation-state actors, including retaliatory attacks from Russian actors against U.S.-based companies. Despite our significant efforts to create security barriers to such threats, we cannot entirely mitigate these risks, and there is no guarantee that inadvertent or unauthorized use or disclosure of such information will not occur or that third parties will not gain unauthorized access to such information.</w:t>
      </w:r>
    </w:p>
    <w:p>
      <w:pPr>
        <w:spacing w:after="0" w:line="22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Many governments have enacted laws requiring companies to provide notice of security breaches or incidents involving certain types of personal data and personal information. We are also contractually required to notify certain customers of certain security breaches or incidents. Any security breach or incident suffered, or believed to have been suffered, by us or by our technology providers or vendors could result in harm to our reputation and competitive position, difficulty attracting new customers (including government customers), retaining existing customers, and securing payment from customers, our expenditure of significant capital and other resources to evaluate and alleviate the security incident and to try to prevent further or additional incidents, and regulatory inquiries, investigations, and other proceedings, private claims, demands, lawsuits, potential liability, and the potential loss of our authorization under the Federal Risk and Authorization Management Program (“FedRAMP”). We could incur significant costs and liabilities, including due to litigation, indemnity obligations, damages for contract breach, penalties for violation of applicable laws or regulations, and costs for remediation and other incentives offered to customers or other business partners in an effort to maintain business relationships after a security breach or incident, and our financial performance could be negatively impacted.</w:t>
      </w:r>
    </w:p>
    <w:p>
      <w:pPr>
        <w:spacing w:after="0" w:line="22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cannot assure you that any limitations of liability provisions in our contracts would be enforceable or adequate or would otherwise protect us from any liabilities or damages with respect to any particular claim relating to a security incident. We also cannot be sure that our existing insurance coverage will continue to be available on acceptable terms or will be available in sufficient amounts to cover one or more large claims related to a security incident,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24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i w:val="1"/>
          <w:iCs w:val="1"/>
          <w:color w:val="auto"/>
        </w:rPr>
        <w:t>Our use of third-party open source software could negatively affect our ability to sell subscriptions to access our products and subject us to possible litigation and greater security risks.</w:t>
      </w:r>
    </w:p>
    <w:p>
      <w:pPr>
        <w:spacing w:after="0" w:line="192"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We use third-party open source software. From time to time, companies that use third-party open source software have faced claims challenging the use of such open source software and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distribute or make available across a network software and services that include open source software, to make publicly available or to license all or part of such software (which in some circumstances could include valuable proprietary code, such as modifications or derivative works created, based upon, incorporating, or using the open source software)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 applicable license,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8" w:name="page69"/>
    <w:bookmarkEnd w:id="68"/>
    <w:p>
      <w:pPr>
        <w:jc w:val="both"/>
        <w:spacing w:after="0" w:line="250" w:lineRule="auto"/>
        <w:rPr>
          <w:sz w:val="20"/>
          <w:szCs w:val="20"/>
          <w:color w:val="auto"/>
        </w:rPr>
      </w:pPr>
      <w:r>
        <w:rPr>
          <w:rFonts w:ascii="Times New Roman" w:cs="Times New Roman" w:eastAsia="Times New Roman" w:hAnsi="Times New Roman"/>
          <w:sz w:val="18"/>
          <w:szCs w:val="18"/>
          <w:color w:val="auto"/>
        </w:rPr>
        <w:t>including claims of intellectual property rights infringement or for breach of contract. Furthermore, there exists today an increasing number of types of open source software licenses, almost none of which have been tested in courts of law to provide clarity on their proper legal interpretation. If we were to receive a claim of non-compliance with the terms of any of these open source licenses, we may be required to publicly release certain portions of our proprietary source code. We could also be required to expend substantial time and resources to re-engineer some or all of our software. Any of the foregoing could materially adversely affect our business, financial condition, results of operations, and prospects.</w:t>
      </w:r>
    </w:p>
    <w:p>
      <w:pPr>
        <w:spacing w:after="0" w:line="21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materially adversely affect our business, financial condition, results of operations, and prospects and could help our competitors develop products and services that are similar to or better than ours.</w:t>
      </w:r>
    </w:p>
    <w:p>
      <w:pPr>
        <w:spacing w:after="0" w:line="21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i w:val="1"/>
          <w:iCs w:val="1"/>
          <w:color w:val="auto"/>
        </w:rPr>
        <w:t>We rely on third parties to provide us with a number of operational and technical services; third-party security incidents could result in the loss of our or our customers’ data, expose us to liability, harm our reputation, damage our competitiveness, and adversely impact our financial results.</w:t>
      </w:r>
    </w:p>
    <w:p>
      <w:pPr>
        <w:spacing w:after="0" w:line="194" w:lineRule="exact"/>
        <w:rPr>
          <w:sz w:val="20"/>
          <w:szCs w:val="20"/>
          <w:color w:val="auto"/>
        </w:rPr>
      </w:pPr>
    </w:p>
    <w:p>
      <w:pPr>
        <w:ind w:firstLine="434"/>
        <w:spacing w:after="0" w:line="264" w:lineRule="auto"/>
        <w:rPr>
          <w:sz w:val="20"/>
          <w:szCs w:val="20"/>
          <w:color w:val="auto"/>
        </w:rPr>
      </w:pPr>
      <w:r>
        <w:rPr>
          <w:rFonts w:ascii="Times New Roman" w:cs="Times New Roman" w:eastAsia="Times New Roman" w:hAnsi="Times New Roman"/>
          <w:sz w:val="16"/>
          <w:szCs w:val="16"/>
          <w:color w:val="auto"/>
        </w:rPr>
        <w:t>We rely on third parties, such as Amazon Web Services, to provide us with operational and technical services. These third parties may have access to our systems, provide hosting services, or otherwise process data about us or our customers, employees, or partners. Our ability to monitor such third parties’ security measures is limited. There have been and may continue to be significant supply chain attacks, and we cannot guarantee that our or our such third parties’ systems have not been breached or otherwise compromised or that they do not contain exploitable defects, bugs, or vulnerabilities that could result in an incident, breach, or other disruption to, our or these third parties’ systems. Any security breach or incident involving such third parties could compromise the</w:t>
      </w:r>
    </w:p>
    <w:p>
      <w:pPr>
        <w:spacing w:after="0" w:line="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integrity or availability of, or result in the theft or unauthorized use, modification, or other processing of, our and our customers’ data. In addition, our operations or the operations of our customers or partners could be negatively affected in the event of a security breach or incident and could be subject to the loss or theft of confidential or proprietary information, including source code. Unauthorized access to or other processing of data and other confidential or proprietary information may be obtained through break-ins, network breaches by unauthorized parties, employee theft or misuse, or other misconduct. If any of the foregoing were to occur or to be perceived to occur, our reputation may suffer, our competitive position may be diminished, customers may buy fewer of our offerings and services, we could face lawsuits, regulatory investigation, fines, and potential liability, and our financial results could be negatively impacted.</w:t>
      </w:r>
    </w:p>
    <w:p>
      <w:pPr>
        <w:spacing w:after="0" w:line="195"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i w:val="1"/>
          <w:iCs w:val="1"/>
          <w:color w:val="auto"/>
        </w:rPr>
        <w:t>Delays in service from third-party service providers could expose us to liability, harm our reputation, damage our competitiveness, and adversely impact our financial results.</w:t>
      </w:r>
    </w:p>
    <w:p>
      <w:pPr>
        <w:spacing w:after="0" w:line="179" w:lineRule="exact"/>
        <w:rPr>
          <w:sz w:val="20"/>
          <w:szCs w:val="20"/>
          <w:color w:val="auto"/>
        </w:rPr>
      </w:pPr>
    </w:p>
    <w:p>
      <w:pPr>
        <w:ind w:right="140" w:firstLine="434"/>
        <w:spacing w:after="0" w:line="232" w:lineRule="auto"/>
        <w:rPr>
          <w:sz w:val="20"/>
          <w:szCs w:val="20"/>
          <w:color w:val="auto"/>
        </w:rPr>
      </w:pPr>
      <w:r>
        <w:rPr>
          <w:rFonts w:ascii="Times New Roman" w:cs="Times New Roman" w:eastAsia="Times New Roman" w:hAnsi="Times New Roman"/>
          <w:sz w:val="18"/>
          <w:szCs w:val="18"/>
          <w:color w:val="auto"/>
        </w:rPr>
        <w:t>From time to time, we may rely on a single or limited number of suppliers, or upon suppliers in a single country, for the provision of services and materials that we use in the operation of our business and production of our solutions. Inability of such third parties to satisfy our requirements could disrupt our operations or make it more difficult for us to implement our strategy. If any of these situations were to occur, our reputation could be harmed, we could be subject to third-party liability, including under laws relating to privacy, data protection, and information security in certain jurisdictions, and our financial results could be negatively impacted.</w:t>
      </w:r>
    </w:p>
    <w:p>
      <w:pPr>
        <w:spacing w:after="0" w:line="221" w:lineRule="exact"/>
        <w:rPr>
          <w:sz w:val="20"/>
          <w:szCs w:val="20"/>
          <w:color w:val="auto"/>
        </w:rPr>
      </w:pPr>
    </w:p>
    <w:p>
      <w:pPr>
        <w:ind w:right="20"/>
        <w:spacing w:after="0" w:line="335" w:lineRule="auto"/>
        <w:rPr>
          <w:sz w:val="20"/>
          <w:szCs w:val="20"/>
          <w:color w:val="auto"/>
        </w:rPr>
      </w:pPr>
      <w:r>
        <w:rPr>
          <w:rFonts w:ascii="Times New Roman" w:cs="Times New Roman" w:eastAsia="Times New Roman" w:hAnsi="Times New Roman"/>
          <w:sz w:val="16"/>
          <w:szCs w:val="16"/>
          <w:i w:val="1"/>
          <w:iCs w:val="1"/>
          <w:color w:val="auto"/>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spacing w:after="0" w:line="146" w:lineRule="exact"/>
        <w:rPr>
          <w:sz w:val="20"/>
          <w:szCs w:val="20"/>
          <w:color w:val="auto"/>
        </w:rPr>
      </w:pPr>
    </w:p>
    <w:p>
      <w:pPr>
        <w:ind w:right="60" w:firstLine="395"/>
        <w:spacing w:after="0" w:line="284" w:lineRule="auto"/>
        <w:rPr>
          <w:sz w:val="20"/>
          <w:szCs w:val="20"/>
          <w:color w:val="auto"/>
        </w:rPr>
      </w:pPr>
      <w:r>
        <w:rPr>
          <w:rFonts w:ascii="Times New Roman" w:cs="Times New Roman" w:eastAsia="Times New Roman" w:hAnsi="Times New Roman"/>
          <w:sz w:val="16"/>
          <w:szCs w:val="16"/>
          <w:color w:val="auto"/>
        </w:rPr>
        <w:t>We rely on our network and data center infrastructure, technology systems, and websites for our development, marketing, operational, support, sales, accounting, and financial reporting activities. We continually invest resources to update and improve these systems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 Such improvements are often complex, costly, and time consuming. In addition, such improvements can be challenging to integrate with our existing technology systems, or may uncover problems with those systems. Unsuccessful implementation of hardware or software updates and improvements could result in disruption in our business operations, loss of customers, loss of revenue, errors in our accounting and financial reporting, or damage to our reputation, all of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9" w:name="page70"/>
    <w:bookmarkEnd w:id="69"/>
    <w:p>
      <w:pPr>
        <w:jc w:val="both"/>
        <w:ind w:right="60"/>
        <w:spacing w:after="0" w:line="271" w:lineRule="auto"/>
        <w:rPr>
          <w:sz w:val="20"/>
          <w:szCs w:val="20"/>
          <w:color w:val="auto"/>
        </w:rPr>
      </w:pPr>
      <w:r>
        <w:rPr>
          <w:rFonts w:ascii="Times New Roman" w:cs="Times New Roman" w:eastAsia="Times New Roman" w:hAnsi="Times New Roman"/>
          <w:sz w:val="18"/>
          <w:szCs w:val="18"/>
          <w:i w:val="1"/>
          <w:iCs w:val="1"/>
          <w:color w:val="auto"/>
        </w:rPr>
        <w:t>Our software solutions are highly complex and may contain undetected errors, defects, or vulnerabilities, and are subject to service disruptions, degradations, outages or other performance problems, each of which could harm our business and financial performance.</w:t>
      </w:r>
    </w:p>
    <w:p>
      <w:pPr>
        <w:spacing w:after="0" w:line="192" w:lineRule="exact"/>
        <w:rPr>
          <w:sz w:val="20"/>
          <w:szCs w:val="20"/>
          <w:color w:val="auto"/>
        </w:rPr>
      </w:pPr>
    </w:p>
    <w:p>
      <w:pPr>
        <w:jc w:val="both"/>
        <w:ind w:right="40" w:firstLine="395"/>
        <w:spacing w:after="0" w:line="256" w:lineRule="auto"/>
        <w:rPr>
          <w:sz w:val="20"/>
          <w:szCs w:val="20"/>
          <w:color w:val="auto"/>
        </w:rPr>
      </w:pPr>
      <w:r>
        <w:rPr>
          <w:rFonts w:ascii="Times New Roman" w:cs="Times New Roman" w:eastAsia="Times New Roman" w:hAnsi="Times New Roman"/>
          <w:sz w:val="18"/>
          <w:szCs w:val="18"/>
          <w:color w:val="auto"/>
        </w:rPr>
        <w:t>The software solutions that we offer are complex and, despite extensive testing and quality control, may contain errors, defects, or vulnerabilities. Some errors, defects, or vulnerabilities in our software solutions may only be discovered after they have been released. In addition, we have experienced, and may in the future experience, service disruptions, degradations, outages, and other performance problems in connection with our software solutions.</w:t>
      </w:r>
    </w:p>
    <w:p>
      <w:pPr>
        <w:spacing w:after="0" w:line="206"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Any errors, defects, vulnerabilities, service disruptions, degradations, outages or other performance problems could result in the need for corrective releases to our software solutions, damage to our reputation, damage to our customers’ businesses, loss of revenue, an increase in subscription cancellations, or lack of market acceptance of our offerings, any of which would likely harm our business and financial performance.</w:t>
      </w:r>
    </w:p>
    <w:p>
      <w:pPr>
        <w:spacing w:after="0" w:line="204" w:lineRule="exact"/>
        <w:rPr>
          <w:sz w:val="20"/>
          <w:szCs w:val="20"/>
          <w:color w:val="auto"/>
        </w:rPr>
      </w:pPr>
    </w:p>
    <w:p>
      <w:pPr>
        <w:ind w:right="500"/>
        <w:spacing w:after="0" w:line="257" w:lineRule="auto"/>
        <w:rPr>
          <w:sz w:val="20"/>
          <w:szCs w:val="20"/>
          <w:color w:val="auto"/>
        </w:rPr>
      </w:pPr>
      <w:r>
        <w:rPr>
          <w:rFonts w:ascii="Times New Roman" w:cs="Times New Roman" w:eastAsia="Times New Roman" w:hAnsi="Times New Roman"/>
          <w:sz w:val="18"/>
          <w:szCs w:val="18"/>
          <w:i w:val="1"/>
          <w:iCs w:val="1"/>
          <w:color w:val="auto"/>
        </w:rPr>
        <w:t>If we do not maintain good relationships with the members of our distribution channel, or if our distribution channel suffers financial losses, becomes financially unstable or insolvent, or is not provided the right mix of incentives to sell our subscriptions, our ability to generate revenue will be adversely affected.</w:t>
      </w:r>
    </w:p>
    <w:p>
      <w:pPr>
        <w:spacing w:after="0" w:line="206" w:lineRule="exact"/>
        <w:rPr>
          <w:sz w:val="20"/>
          <w:szCs w:val="20"/>
          <w:color w:val="auto"/>
        </w:rPr>
      </w:pPr>
    </w:p>
    <w:p>
      <w:pPr>
        <w:ind w:right="40" w:firstLine="434"/>
        <w:spacing w:after="0" w:line="247" w:lineRule="auto"/>
        <w:rPr>
          <w:sz w:val="20"/>
          <w:szCs w:val="20"/>
          <w:color w:val="auto"/>
        </w:rPr>
      </w:pPr>
      <w:r>
        <w:rPr>
          <w:rFonts w:ascii="Times New Roman" w:cs="Times New Roman" w:eastAsia="Times New Roman" w:hAnsi="Times New Roman"/>
          <w:sz w:val="18"/>
          <w:szCs w:val="18"/>
          <w:color w:val="auto"/>
        </w:rPr>
        <w:t>We sell our software products both directly to end users and through a network of distributors and resellers. For the six months ended July 31, 2024 and 2023, approximately 61% and 64%, respectively, of our revenue was derived from indirect channel sales through distributors and resellers, and we expect that the majority of our revenue will continue to be derived from indirect channel sales in the near future. Our ability to effectively distribute our solutions depends in part upon the financial and business condition of our distributor and reseller network. Computer software distributors and resellers typically are not highly capitalized, and have previously experienced difficulties during times of economic contraction as well as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adjusting our incentives.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215" w:lineRule="exact"/>
        <w:rPr>
          <w:sz w:val="20"/>
          <w:szCs w:val="20"/>
          <w:color w:val="auto"/>
        </w:rPr>
      </w:pPr>
    </w:p>
    <w:p>
      <w:pPr>
        <w:ind w:firstLine="434"/>
        <w:spacing w:after="0" w:line="280" w:lineRule="auto"/>
        <w:rPr>
          <w:sz w:val="20"/>
          <w:szCs w:val="20"/>
          <w:color w:val="auto"/>
        </w:rPr>
      </w:pPr>
      <w:r>
        <w:rPr>
          <w:rFonts w:ascii="Times New Roman" w:cs="Times New Roman" w:eastAsia="Times New Roman" w:hAnsi="Times New Roman"/>
          <w:sz w:val="16"/>
          <w:szCs w:val="16"/>
          <w:color w:val="auto"/>
        </w:rPr>
        <w:t>We rely significantly upon major distributors and resellers in both the U.S. and international regions. Of our distributors, TD Synnex accounted for 37% and 40% of our total net revenue for the six months ended July 31, 2024 and 2023, respectively. During October 2022, we entered into a transition agreements with each of TD Synnex and Ingram Micro to provide transition distribution activities for a one-to-two-year period, with potential extensions. In connection with such transition agreements, we intend to increase our selling efforts with value-added resellers and agents. During the transition period, we believe the resellers and end users who currently purchase our products through TD Synnex and Ingram Micro will be able to continue to do so, and following the transition period, we believe such end users will be able to continue to purchase our products from certain value-added resellers or directly from Autodesk, in each case under substantially the same terms and without substantial disruption to our revenue. However, if during the transition period, TD Synnex or Ingram Micro were to experience a significant business disruption or if our relationship with either were to significantly deteriorate, it is possible that our ability to sell to end users would, at least temporarily, be negatively impacted. Also, if any of our assumptions about our end users, value added resellers, distributors,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agents or our direct selling capabilities proves incorrect, these changes could harm our business. This could, in turn, negatively impact our financial results.</w:t>
      </w:r>
    </w:p>
    <w:p>
      <w:pPr>
        <w:spacing w:after="0" w:line="263"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Over time, we have modified and especially during the transition process noted above,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Further, our distributors and resellers may lose confidence in our business, move to competitive products, or not have the skills or ability to support customers.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software from third parties, and a failure to properly manage our use of third-party software could result in increased costs or loss of revenue.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69" w:right="399" w:bottom="1440" w:gutter="0" w:footer="0" w:header="0"/>
        </w:sectPr>
      </w:pPr>
    </w:p>
    <w:bookmarkStart w:id="70" w:name="page71"/>
    <w:bookmarkEnd w:id="70"/>
    <w:p>
      <w:pPr>
        <w:ind w:right="80" w:firstLine="395"/>
        <w:spacing w:after="0" w:line="248" w:lineRule="auto"/>
        <w:rPr>
          <w:sz w:val="20"/>
          <w:szCs w:val="20"/>
          <w:color w:val="auto"/>
        </w:rPr>
      </w:pPr>
      <w:r>
        <w:rPr>
          <w:rFonts w:ascii="Times New Roman" w:cs="Times New Roman" w:eastAsia="Times New Roman" w:hAnsi="Times New Roman"/>
          <w:sz w:val="18"/>
          <w:szCs w:val="18"/>
          <w:color w:val="auto"/>
        </w:rPr>
        <w:t>Many of our products are designed to include software licensed from third parties. Such third-party software includes software licensed from commercial suppliers and under public open source licenses. While we have internal processes to manage our use of such third-party software, if such processes are inadequate, we may be subject to copyright infringement or other third-party claims. If we are non-compliant with a license for commercial software, we may be required to pay penalties or undergo costly audits pursuant to the license agreement. In the case of open-source software licensed under certain “copyleft” licenses, the license itself, or a court-imposed remedy for non-compliant use of the open source software, may require that proprietary portions of our own software be publicly disclosed or licensed. This could result in a loss of intellectual property rights, increased costs, re-engineering of our software, damage to our reputation, or loss of revenue.</w:t>
      </w:r>
    </w:p>
    <w:p>
      <w:pPr>
        <w:spacing w:after="0" w:line="213"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 source software can lead to greater risks than use of third-party commercial software, as open source licensors generally do not provide warranties, support, indemnities, assurances of title or controls on origin of the software, or other contractual protections regarding infringement claims or the quality of the code. Likewise, some open source projects have known security and other vulnerabilities and architectural instabilities, or are otherwise subject to security attacks due to their wide availability, and are provided on an “as-is” basis.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could be adversely affected if we are unable to attract and retain key personnel.</w:t>
      </w:r>
    </w:p>
    <w:p>
      <w:pPr>
        <w:spacing w:after="0" w:line="242"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inability to retain and attract qualified employees in the future, or delays in hiring required personnel, particularly engineering and sales personnel, could make it difficult to meet key objectives, such as timely and effective product introductions and financial goals.</w:t>
      </w:r>
    </w:p>
    <w:p>
      <w:pPr>
        <w:spacing w:after="0" w:line="21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i w:val="1"/>
          <w:iCs w:val="1"/>
          <w:color w:val="auto"/>
        </w:rPr>
        <w:t>We rely on third-party technologies and if we are unable to use or integrate these technologies, our solutions and service development may be delayed and our financial results negatively impacted.</w:t>
      </w:r>
    </w:p>
    <w:p>
      <w:pPr>
        <w:spacing w:after="0" w:line="192" w:lineRule="exact"/>
        <w:rPr>
          <w:sz w:val="20"/>
          <w:szCs w:val="20"/>
          <w:color w:val="auto"/>
        </w:rPr>
      </w:pPr>
    </w:p>
    <w:p>
      <w:pPr>
        <w:jc w:val="both"/>
        <w:ind w:right="120" w:firstLine="395"/>
        <w:spacing w:after="0" w:line="250" w:lineRule="auto"/>
        <w:rPr>
          <w:sz w:val="20"/>
          <w:szCs w:val="20"/>
          <w:color w:val="auto"/>
        </w:rPr>
      </w:pPr>
      <w:r>
        <w:rPr>
          <w:rFonts w:ascii="Times New Roman" w:cs="Times New Roman" w:eastAsia="Times New Roman" w:hAnsi="Times New Roman"/>
          <w:sz w:val="18"/>
          <w:szCs w:val="18"/>
          <w:color w:val="auto"/>
        </w:rPr>
        <w:t>We rely on certain software that we license from third parties, including software that is integrated with internally developed software and used in our offerings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delays until equivalent software can be developed, identified, licensed, and integrated, which would likely harm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Disruptions in licensing relationships and with third-party developers could adversely impact our business.</w:t>
      </w:r>
    </w:p>
    <w:p>
      <w:pPr>
        <w:spacing w:after="0" w:line="242"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 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212" w:lineRule="exact"/>
        <w:rPr>
          <w:sz w:val="20"/>
          <w:szCs w:val="20"/>
          <w:color w:val="auto"/>
        </w:rPr>
      </w:pPr>
    </w:p>
    <w:p>
      <w:pPr>
        <w:ind w:right="240" w:firstLine="395"/>
        <w:spacing w:after="0" w:line="256" w:lineRule="auto"/>
        <w:rPr>
          <w:sz w:val="20"/>
          <w:szCs w:val="20"/>
          <w:color w:val="auto"/>
        </w:rPr>
      </w:pPr>
      <w:r>
        <w:rPr>
          <w:rFonts w:ascii="Times New Roman" w:cs="Times New Roman" w:eastAsia="Times New Roman" w:hAnsi="Times New Roman"/>
          <w:sz w:val="18"/>
          <w:szCs w:val="18"/>
          <w:color w:val="auto"/>
        </w:rPr>
        <w:t>Technology created by outsourced product development, whether outsourced to third parties or developed externally and transferred to us through business or technology acquisitions, involves additional risks such as effective integration into existing products, adequate transfer of technology know-how, and ownership and protection of transferred intellectual property.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Laws and Regulations</w:t>
      </w:r>
    </w:p>
    <w:p>
      <w:pPr>
        <w:spacing w:after="0" w:line="24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i w:val="1"/>
          <w:iCs w:val="1"/>
          <w:color w:val="auto"/>
        </w:rPr>
        <w:t>Increasing regulatory focus on privacy, data protection, and information security issues and new and expanding laws may impact our business and expose us to increased liability.</w:t>
      </w:r>
    </w:p>
    <w:p>
      <w:pPr>
        <w:spacing w:after="0" w:line="179" w:lineRule="exact"/>
        <w:rPr>
          <w:sz w:val="20"/>
          <w:szCs w:val="20"/>
          <w:color w:val="auto"/>
        </w:rPr>
      </w:pPr>
    </w:p>
    <w:p>
      <w:pPr>
        <w:ind w:firstLine="395"/>
        <w:spacing w:after="0" w:line="237" w:lineRule="auto"/>
        <w:rPr>
          <w:sz w:val="20"/>
          <w:szCs w:val="20"/>
          <w:color w:val="auto"/>
        </w:rPr>
      </w:pPr>
      <w:r>
        <w:rPr>
          <w:rFonts w:ascii="Times New Roman" w:cs="Times New Roman" w:eastAsia="Times New Roman" w:hAnsi="Times New Roman"/>
          <w:sz w:val="18"/>
          <w:szCs w:val="18"/>
          <w:color w:val="auto"/>
        </w:rPr>
        <w:t>Our strategy to digitize Autodesk involves increasing our use of cloud- and web-based technologies and applications to leverage customer data to improve our offerings for the benefit of our customers. To accomplish this strategy, we must collect and otherwise process customer data, which may include personal data and personal information of users from different jurisdictions globally. We also collect and otherwise process personal data and personal information of our employees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1" w:name="page72"/>
    <w:bookmarkEnd w:id="71"/>
    <w:p>
      <w:pPr>
        <w:ind w:right="20"/>
        <w:spacing w:after="0" w:line="260" w:lineRule="auto"/>
        <w:rPr>
          <w:sz w:val="20"/>
          <w:szCs w:val="20"/>
          <w:color w:val="auto"/>
        </w:rPr>
      </w:pPr>
      <w:r>
        <w:rPr>
          <w:rFonts w:ascii="Times New Roman" w:cs="Times New Roman" w:eastAsia="Times New Roman" w:hAnsi="Times New Roman"/>
          <w:sz w:val="16"/>
          <w:szCs w:val="16"/>
          <w:color w:val="auto"/>
        </w:rPr>
        <w:t>contractors. As a result, federal, state, and global laws relating to privacy, data protection, and information security apply to Autodesk’s personal data and personal information processing activities. The scope of these laws and regulations is rapidly evolving, subject to differing interpretations, may be inconsistent among jurisdictions, or conflict with other rules and is likely to remain uncertain for the foreseeable future. We also expect that there will continue to be new laws, regulations, and industry standards concerning privacy, data protection, and information security proposed and enacted in various jurisdictions. Globally, laws such as the General Data Protection Regulation (EU) 2016/679 (“GDPR”) in the European Union (“EU”) and the Personal Information Protection Law (“PIPL”) in China have been enacted, and numerous other countries have proposed or have enacted laws concerning privacy, data protection, and information security. In addition, new and emerging state laws in the United States governing privacy, data protection, and information security, such as the California Consumer Privacy Act (“CCPA”), the California Privacy Rights Act (“CPRA”), and numerous laws in other states, many of which provide for obligations similar to the CCPA and CPRA, have been enacted. These laws and regulations, as well as industry self-regulatory codes, industry standards, and other actual and asserted obligations to which we are or may be asserted to be subject, create new compliance obligations and substantially expand the scope of potential liability and provide greater penalties for non-compliance. For example, the GDPR provides for penalties of up to €20 million or 4% of a company’s annual global revenue, whichever is greater, the PIPL provides for penalties of up to 50 million renminbi or 5% of a company's annual revenue and disgorgement of all illegal gains, whichever is greater, and the CCPA provides for penalties of up to $7,500 per violation. These laws, regulations, and codes may also impact our innovation and business drivers in developing new and emerging technologies (e.g., AI and machine learning). These requirements, among others, may impact demand for our offerings and force us to bear the burden of expanded obligations in our contracts.</w:t>
      </w:r>
    </w:p>
    <w:p>
      <w:pPr>
        <w:spacing w:after="0" w:line="200" w:lineRule="exact"/>
        <w:rPr>
          <w:sz w:val="20"/>
          <w:szCs w:val="20"/>
          <w:color w:val="auto"/>
        </w:rPr>
      </w:pP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addition, there is continued instability of international personal data transfer legal mechanisms that are complex, uncertain, and subject to active</w:t>
      </w:r>
    </w:p>
    <w:p>
      <w:pPr>
        <w:spacing w:after="0" w:line="4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litigation and enforcement actions in a number of jurisdictions around the world. For example, on June 4, 2021, the European Commission published a new set of modular standard contractual clause (“SCCs”), providing for an 18-month implementation period, which became effective on June 29, 2021, and imposes on companies obligations relating to personal data transfers, including the obligation to conduct a transfer impact assessment and, depending on a party’s role in the transfer, to implement additional security measures and to update internal privacy practices. We may, in addition to other impacts, be required to expend significant time and resources to update our contractual arrangements and to comply with new obligations, and we face exposure to regulatory actions, substantial fines and injunctions in connection with transfers of personal data from the EU.</w:t>
      </w:r>
    </w:p>
    <w:p>
      <w:pPr>
        <w:spacing w:after="0" w:line="198" w:lineRule="exact"/>
        <w:rPr>
          <w:sz w:val="20"/>
          <w:szCs w:val="20"/>
          <w:color w:val="auto"/>
        </w:rPr>
      </w:pPr>
    </w:p>
    <w:p>
      <w:pPr>
        <w:ind w:firstLine="395"/>
        <w:spacing w:after="0" w:line="230" w:lineRule="auto"/>
        <w:rPr>
          <w:sz w:val="20"/>
          <w:szCs w:val="20"/>
          <w:color w:val="auto"/>
        </w:rPr>
      </w:pPr>
      <w:r>
        <w:rPr>
          <w:rFonts w:ascii="Times New Roman" w:cs="Times New Roman" w:eastAsia="Times New Roman" w:hAnsi="Times New Roman"/>
          <w:sz w:val="18"/>
          <w:szCs w:val="18"/>
          <w:color w:val="auto"/>
        </w:rPr>
        <w:t>In addition, the United Kingdom’s (“UK”) exit from the EU, and ongoing developments in the UK, have created uncertainty with regard to data protection regulation in the UK. Data processing in the UK is now governed by the UK General Data Protection Regulation and supplemented by other domestic data protection laws, such as the UK Data Protection Act 2018, which authorizes fines of up to £17.5 million or 4% of annual global revenue, whichever is higher. We are also exposed to potentially divergent enforcement actions for certain violations. Furthermore, the new SCCs apply only to the transfer of personal data outside the EU and not the UK. Although the European Commission adopted an adequacy decision for the UK on June 28, 2021, allowing the continued flow of personal data from the EU to the UK, this decision will be regularly reviewed going forward and may be revoked if the UK diverges from its current adequate data protection laws following its exit from the EU. On February 2, 2022, the UK’s Information Commissioner’s Office issued new standard contractual clauses to support personal data transfers out of the UK (“UK SCCs”), which became effective March 21, 2022. We may, in addition to other impacts, experience additional costs associated with increased compliance burdens and be required to engage in new contract negotiations with third parties that aid in processing personal data on our behalf or localize certain personal data. On March 25, 2022, the United States and EU announced an “agreement in principle” to replace the EU-U.S. Privacy Shield transfer framework with the Trans-Atlantic Data Privacy Framework (“EU-U.S. DPF”). On July 10, 2023, the European Commission adopted an adequacy decision in relation to the EU-U.S. DPF, allowing the EU-U.S. DPF to be utilized as a means of legitimizing EU-U.S. personal data transfers for participating entities. We are evaluating whether the EU-U.S. DPF will be appropriate for us to utilize. The EU-U.S. DPF may be subject to legal challenges from privacy advocacy groups or others, and the European Commission’s adequacy decision regarding the EU-U.S. DPF provides that the EU-U.S. DPF will be subject to future reviews and may be subject to suspension, amendment, repeal, or limitations to its scope by the European Commission.</w:t>
      </w:r>
    </w:p>
    <w:p>
      <w:pPr>
        <w:spacing w:after="0" w:line="208" w:lineRule="exact"/>
        <w:rPr>
          <w:sz w:val="20"/>
          <w:szCs w:val="20"/>
          <w:color w:val="auto"/>
        </w:rPr>
      </w:pPr>
    </w:p>
    <w:p>
      <w:pPr>
        <w:ind w:right="60" w:firstLine="395"/>
        <w:spacing w:after="0" w:line="237" w:lineRule="auto"/>
        <w:rPr>
          <w:sz w:val="20"/>
          <w:szCs w:val="20"/>
          <w:color w:val="auto"/>
        </w:rPr>
      </w:pPr>
      <w:r>
        <w:rPr>
          <w:rFonts w:ascii="Times New Roman" w:cs="Times New Roman" w:eastAsia="Times New Roman" w:hAnsi="Times New Roman"/>
          <w:sz w:val="18"/>
          <w:szCs w:val="18"/>
          <w:color w:val="auto"/>
        </w:rPr>
        <w:t>Further, several European data protection authorities recently indicated that the use of Google Analytics by European website operators involves the unlawful transfer of personal data to the United States. As the enforcement landscape further develops, and depending on the impacts of these rulings and other developments with respect to cross-border data transfer, we could suffer additional costs, complaints and/or regulatory investigations or fines, have to stop using certain tools and vendors, and make other operational changes.</w:t>
      </w:r>
    </w:p>
    <w:p>
      <w:pPr>
        <w:spacing w:after="0" w:line="196" w:lineRule="exact"/>
        <w:rPr>
          <w:sz w:val="20"/>
          <w:szCs w:val="20"/>
          <w:color w:val="auto"/>
        </w:rPr>
      </w:pPr>
    </w:p>
    <w:p>
      <w:pPr>
        <w:ind w:right="60" w:firstLine="395"/>
        <w:spacing w:after="0" w:line="236" w:lineRule="auto"/>
        <w:rPr>
          <w:sz w:val="20"/>
          <w:szCs w:val="20"/>
          <w:color w:val="auto"/>
        </w:rPr>
      </w:pPr>
      <w:r>
        <w:rPr>
          <w:rFonts w:ascii="Times New Roman" w:cs="Times New Roman" w:eastAsia="Times New Roman" w:hAnsi="Times New Roman"/>
          <w:sz w:val="18"/>
          <w:szCs w:val="18"/>
          <w:color w:val="auto"/>
        </w:rPr>
        <w:t>Several other countries, including China, Australia, New Zealand, Brazil, and Japan, have also established specific legal requirements for cross-border data transfers. There is also an increasing trend towards data localization policies. For example, in 2021, China introduced localization requirements for certain data. Other countries, such as India, also are considering data localization requirements. If this trend continues, and countries implement more restrictive regulations for cross-border personal data transfers (or do not permit personal data to leave the country of origin), it could affect the manner in which we provide our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72" w:name="page73"/>
    <w:bookmarkEnd w:id="72"/>
    <w:p>
      <w:pPr>
        <w:ind w:right="360"/>
        <w:spacing w:after="0" w:line="253" w:lineRule="auto"/>
        <w:rPr>
          <w:sz w:val="20"/>
          <w:szCs w:val="20"/>
          <w:color w:val="auto"/>
        </w:rPr>
      </w:pPr>
      <w:r>
        <w:rPr>
          <w:rFonts w:ascii="Times New Roman" w:cs="Times New Roman" w:eastAsia="Times New Roman" w:hAnsi="Times New Roman"/>
          <w:sz w:val="18"/>
          <w:szCs w:val="18"/>
          <w:color w:val="auto"/>
        </w:rPr>
        <w:t>services, the geographical location or segregation of our relevant systems and operations, and our business, financial condition, and results of operations in those jurisdictions could be impacted.</w:t>
      </w:r>
    </w:p>
    <w:p>
      <w:pPr>
        <w:spacing w:after="0" w:line="195" w:lineRule="exact"/>
        <w:rPr>
          <w:sz w:val="20"/>
          <w:szCs w:val="20"/>
          <w:color w:val="auto"/>
        </w:rPr>
      </w:pPr>
    </w:p>
    <w:p>
      <w:pPr>
        <w:ind w:right="120" w:firstLine="395"/>
        <w:spacing w:after="0" w:line="283" w:lineRule="auto"/>
        <w:rPr>
          <w:sz w:val="20"/>
          <w:szCs w:val="20"/>
          <w:color w:val="auto"/>
        </w:rPr>
      </w:pPr>
      <w:r>
        <w:rPr>
          <w:rFonts w:ascii="Times New Roman" w:cs="Times New Roman" w:eastAsia="Times New Roman" w:hAnsi="Times New Roman"/>
          <w:sz w:val="16"/>
          <w:szCs w:val="16"/>
          <w:color w:val="auto"/>
        </w:rPr>
        <w:t>In addition, the CPRA and many of the other new state laws addressing privacy and information security, including those that have become or will become effective in 2024, provide for additional obligations such as data minimization and storage limitations, granting additional rights to consumers such as</w:t>
      </w:r>
    </w:p>
    <w:p>
      <w:pPr>
        <w:spacing w:after="0"/>
        <w:rPr>
          <w:sz w:val="20"/>
          <w:szCs w:val="20"/>
          <w:color w:val="auto"/>
        </w:rPr>
      </w:pPr>
      <w:r>
        <w:rPr>
          <w:rFonts w:ascii="Times New Roman" w:cs="Times New Roman" w:eastAsia="Times New Roman" w:hAnsi="Times New Roman"/>
          <w:sz w:val="16"/>
          <w:szCs w:val="16"/>
          <w:color w:val="auto"/>
        </w:rPr>
        <w:t>correction of personal information and additional opt-out rights. The CPRA also created a new agency to implement and enforce the law. These new state laws</w:t>
      </w:r>
    </w:p>
    <w:p>
      <w:pPr>
        <w:spacing w:after="0" w:line="53"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have required us to modify our data processing practices and policies and may cause us to make additional modifications, and to incur substantial costs and expenses, in our efforts to comply. Laws in all 50 states, and some of our contracts, require us to provide notice under certain circumstances to customers whose personal information has been disclosed as a result of a data breach. Also, if third parties we work with, such as suppliers, violate applicable data protection laws or regulations, such violations may also put our users’ information at risk and could materially adversely affect our business, financial condition, results of operations, and prospects. Additionally, in addition to government activity, privacy advocacy groups and technology and other industries are considering various new, additional, or different self-regulatory standards that may place, or be asserted to place, additional burdens on us. Evolving legislation and the interplay of federal and state laws may be subject to varying interpretations by courts and government agencies, creating complex compliance issues and have and may cause variation in requirements, increase restrictions and potential legal risk and impact strategies and the availability of previously useful data, potentially exposing us to additional expense, adverse publicity, and liability.</w:t>
      </w:r>
    </w:p>
    <w:p>
      <w:pPr>
        <w:spacing w:after="0" w:line="220" w:lineRule="exact"/>
        <w:rPr>
          <w:sz w:val="20"/>
          <w:szCs w:val="20"/>
          <w:color w:val="auto"/>
        </w:rPr>
      </w:pPr>
    </w:p>
    <w:p>
      <w:pPr>
        <w:ind w:right="140" w:firstLine="395"/>
        <w:spacing w:after="0" w:line="247" w:lineRule="auto"/>
        <w:rPr>
          <w:sz w:val="20"/>
          <w:szCs w:val="20"/>
          <w:color w:val="auto"/>
        </w:rPr>
      </w:pPr>
      <w:r>
        <w:rPr>
          <w:rFonts w:ascii="Times New Roman" w:cs="Times New Roman" w:eastAsia="Times New Roman" w:hAnsi="Times New Roman"/>
          <w:sz w:val="18"/>
          <w:szCs w:val="18"/>
          <w:color w:val="auto"/>
        </w:rPr>
        <w:t>In the EU and the UK, regulators are increasingly focusing on compliance with requirements in the online behavioral advertising ecosystem, and current national laws that implement the ePrivacy Directive are likely to be replaced by an EU regulation known as the ePrivacy Regulation, which is expected to significantly increase fines for non-compliance. While the text of the ePrivacy Regulation is under development, recent European case law and regulators’ recent guidance are driving increased attention to cookies and tracking technologies. This could lead to substantial costs, require significant system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our customers.</w:t>
      </w:r>
    </w:p>
    <w:p>
      <w:pPr>
        <w:spacing w:after="0" w:line="204" w:lineRule="exact"/>
        <w:rPr>
          <w:sz w:val="20"/>
          <w:szCs w:val="20"/>
          <w:color w:val="auto"/>
        </w:rPr>
      </w:pPr>
    </w:p>
    <w:p>
      <w:pPr>
        <w:ind w:right="20" w:firstLine="395"/>
        <w:spacing w:after="0" w:line="261" w:lineRule="auto"/>
        <w:rPr>
          <w:sz w:val="20"/>
          <w:szCs w:val="20"/>
          <w:color w:val="auto"/>
        </w:rPr>
      </w:pPr>
      <w:r>
        <w:rPr>
          <w:rFonts w:ascii="Times New Roman" w:cs="Times New Roman" w:eastAsia="Times New Roman" w:hAnsi="Times New Roman"/>
          <w:sz w:val="16"/>
          <w:szCs w:val="16"/>
          <w:color w:val="auto"/>
        </w:rPr>
        <w:t>Governments, regulators, plaintiffs’ attorneys, privacy advocates have increased their focus on how companies collect, process, use, store, share, and transmit personal data and personal information. Any perception of our practices, products, offerings, or services as a violation of individual privacy or data protection rights may subject us to public criticism, lawsuits, reputational harm, or investigations, claims, demands, or other proceedings by regulators, industry groups or other third parties, all of which could disrupt or adversely impact our business and expose us to increased liability. Moreover, because the interpretation and application of many laws, regulations, and other actual and asserted obligations relating to privacy, data protection, and information security are uncertain, it is possible that these laws, regulations, and obligations may be interpreted and applied in a manner that is inconsistent with our existing data management practices or the features of our products, offerings, and services. We could be required to fundamentally change our business activities and practices or modify our offerings and services, any of which could require significant additional expense and adversely affect our business, including impacting our ability to innovate, delaying our development roadmap and adversely affecting our relationships with customers and our ability to compete. If we are obligated to fundamentally change our business activities and practices or modify our products, offerings, or services, we may be unable to make such changes and modifications in a commercially reasonable manner, or at all, and our ability to develop new products, offerings, and services could be limited.</w:t>
      </w:r>
    </w:p>
    <w:p>
      <w:pPr>
        <w:spacing w:after="0" w:line="200" w:lineRule="exact"/>
        <w:rPr>
          <w:sz w:val="20"/>
          <w:szCs w:val="20"/>
          <w:color w:val="auto"/>
        </w:rPr>
      </w:pPr>
    </w:p>
    <w:p>
      <w:pPr>
        <w:spacing w:after="0" w:line="205"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i w:val="1"/>
          <w:iCs w:val="1"/>
          <w:color w:val="auto"/>
        </w:rPr>
        <w:t>We are subject to governmental export and import controls that could impair our ability to compete in international markets or subject us to liability if we violate the controls.</w:t>
      </w:r>
    </w:p>
    <w:p>
      <w:pPr>
        <w:spacing w:after="0" w:line="192" w:lineRule="exact"/>
        <w:rPr>
          <w:sz w:val="20"/>
          <w:szCs w:val="20"/>
          <w:color w:val="auto"/>
        </w:rPr>
      </w:pPr>
    </w:p>
    <w:p>
      <w:pPr>
        <w:ind w:right="160" w:firstLine="395"/>
        <w:spacing w:after="0" w:line="250" w:lineRule="auto"/>
        <w:rPr>
          <w:sz w:val="20"/>
          <w:szCs w:val="20"/>
          <w:color w:val="auto"/>
        </w:rPr>
      </w:pPr>
      <w:r>
        <w:rPr>
          <w:rFonts w:ascii="Times New Roman" w:cs="Times New Roman" w:eastAsia="Times New Roman" w:hAnsi="Times New Roman"/>
          <w:sz w:val="18"/>
          <w:szCs w:val="18"/>
          <w:color w:val="auto"/>
        </w:rPr>
        <w:t>Our offerings are subject to export controls and economic sanctions laws and regulations that prohibit the delivery of certain solutions and services without the required export authorizations or export to locations, governments, and persons targeted by applicable sanctions. While we have processes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212"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73" w:name="page74"/>
    <w:bookmarkEnd w:id="73"/>
    <w:p>
      <w:pPr>
        <w:ind w:right="140"/>
        <w:spacing w:after="0" w:line="268" w:lineRule="auto"/>
        <w:rPr>
          <w:sz w:val="20"/>
          <w:szCs w:val="20"/>
          <w:color w:val="auto"/>
        </w:rPr>
      </w:pPr>
      <w:r>
        <w:rPr>
          <w:rFonts w:ascii="Times New Roman" w:cs="Times New Roman" w:eastAsia="Times New Roman" w:hAnsi="Times New Roman"/>
          <w:sz w:val="18"/>
          <w:szCs w:val="18"/>
          <w:color w:val="auto"/>
        </w:rPr>
        <w:t>with export control and sanctions regulations for a particular sale may be time-consuming and may result in the delay or loss of sales opportunities. Violations of applicable sanctions or export control laws can result in fines or penalties.</w:t>
      </w:r>
    </w:p>
    <w:p>
      <w:pPr>
        <w:spacing w:after="0" w:line="183" w:lineRule="exact"/>
        <w:rPr>
          <w:sz w:val="20"/>
          <w:szCs w:val="20"/>
          <w:color w:val="auto"/>
        </w:rPr>
      </w:pPr>
    </w:p>
    <w:p>
      <w:pPr>
        <w:ind w:right="560" w:firstLine="395"/>
        <w:spacing w:after="0" w:line="253" w:lineRule="auto"/>
        <w:rPr>
          <w:sz w:val="20"/>
          <w:szCs w:val="20"/>
          <w:color w:val="auto"/>
        </w:rPr>
      </w:pPr>
      <w:r>
        <w:rPr>
          <w:rFonts w:ascii="Times New Roman" w:cs="Times New Roman" w:eastAsia="Times New Roman" w:hAnsi="Times New Roman"/>
          <w:sz w:val="18"/>
          <w:szCs w:val="18"/>
          <w:color w:val="auto"/>
        </w:rPr>
        <w:t>For additional risks regarding sanctions and trade protectionism, please see the risk factor entitled “We are dependent on international revenue and operations . . .” earlier in this section.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are not able to adequately protect our proprietary rights, our business could be harmed.</w:t>
      </w:r>
    </w:p>
    <w:p>
      <w:pPr>
        <w:spacing w:after="0" w:line="242"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We rely on a combination of patent, copyright, and trademark laws, trade secret protections, confidentiality procedures, and contractual provisions to protect our proprietary rights. However, the steps we take to protect our intellectual property rights may be inadequate. While we have patent applications pending in the United States and throughout the world, we may be unable to obtain patent protection for the technology covered in our patent applications. In addition, any patents issued to us in the future may not provide us with competitive advantages or may be successfully challenged by third parties. Furthermore, legal standards relating to the validity, enforceability, and scope of protection of intellectual property rights are uncertain. Despite our efforts to protect our proprietary rights, unauthorized parties from time to time have copied or reverse engineered aspects of our software or have obtained and used information that we regard as proprietary. Policing unauthorized use of our software is time-consuming and costly. We are unable to measure the extent to which unauthorized use of our software exists and we expect that unauthorized use of software will remain a persistent problem, particularly in emerging economies.</w:t>
      </w:r>
    </w:p>
    <w:p>
      <w:pPr>
        <w:spacing w:after="0" w:line="192" w:lineRule="exact"/>
        <w:rPr>
          <w:sz w:val="20"/>
          <w:szCs w:val="20"/>
          <w:color w:val="auto"/>
        </w:rPr>
      </w:pPr>
    </w:p>
    <w:p>
      <w:pPr>
        <w:ind w:right="140" w:firstLine="395"/>
        <w:spacing w:after="0" w:line="286" w:lineRule="auto"/>
        <w:rPr>
          <w:sz w:val="20"/>
          <w:szCs w:val="20"/>
          <w:color w:val="auto"/>
        </w:rPr>
      </w:pPr>
      <w:r>
        <w:rPr>
          <w:rFonts w:ascii="Times New Roman" w:cs="Times New Roman" w:eastAsia="Times New Roman" w:hAnsi="Times New Roman"/>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Unauthorized disclosure of our source code could make it easier for third parties to compete with our offerings by copying functionality, which could adversely affect our financial performance and our reputation. We also seek to protect our confidential information and trade secrets through the use of non-disclosure agreements with our employees,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face intellectual property infringement claims that could be costly to defend and result in the loss of significant rights.</w:t>
      </w:r>
    </w:p>
    <w:p>
      <w:pPr>
        <w:spacing w:after="0" w:line="242"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Our competitors, as well as a number of other entities and individuals, may own or claim to own intellectual property relating to our business. Third parties may claim that we are infringing upon or misappropriating their intellectual property rights, and we may be found to be infringing upon such rights, even if we are unaware of the intellectual property rights claimed against us. As more software patents are granted worldwide, the number of offerings and competitors in our industries grows, and the functionality of products in different industries overlaps, we expect that software developers will be increasingly subject to infringement claims. Additionally, certain patent assertion entities have become more aggressive in threatening and pursuing litigation in attempts to obtain fees for licensing the right to use patents.</w:t>
      </w:r>
    </w:p>
    <w:p>
      <w:pPr>
        <w:spacing w:after="0" w:line="212"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Any claims or threats of infringement or misappropriation, whether with or without merit, have been and could in the future be time-consuming to defend, result in costly litigation and diversion of resources, cause product delays, require us to change our products or business practices, prevent us from offering our software and services, or require us to enter into royalty or licensing agreements. In addition, such royalty or license agreements, if required, may not be available on acceptable terms, if at all, which would likely harm our business. We may also be obligated to indemnify our customers or business partners or pay substantial settlement costs, including royalty payments, in connection with any such claim or litigation and to obtain licenses, modify applications, or refund fees, which could be costly. Furthermore, from time to time we may introduce or acquire new products, including in areas where we historically have not competed, which could increase our exposure to patent and other intellectual property claims.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Contracting with government entities exposes us to additional risks inherent in the government procurement process.</w:t>
      </w:r>
    </w:p>
    <w:p>
      <w:pPr>
        <w:spacing w:after="0" w:line="242" w:lineRule="exact"/>
        <w:rPr>
          <w:sz w:val="20"/>
          <w:szCs w:val="20"/>
          <w:color w:val="auto"/>
        </w:rPr>
      </w:pPr>
    </w:p>
    <w:p>
      <w:pPr>
        <w:ind w:right="200" w:firstLine="395"/>
        <w:spacing w:after="0" w:line="250" w:lineRule="auto"/>
        <w:rPr>
          <w:sz w:val="20"/>
          <w:szCs w:val="20"/>
          <w:color w:val="auto"/>
        </w:rPr>
      </w:pPr>
      <w:r>
        <w:rPr>
          <w:rFonts w:ascii="Times New Roman" w:cs="Times New Roman" w:eastAsia="Times New Roman" w:hAnsi="Times New Roman"/>
          <w:sz w:val="18"/>
          <w:szCs w:val="18"/>
          <w:color w:val="auto"/>
        </w:rPr>
        <w:t>We provide products and services, directly and indirectly, to a variety of government entities. Risks associated with licensing and selling products and services to government entities include extended sales and collection cycles, varying governmental budgeting processes, and adherence to complex procurement regulations and other government-specific contractual requirements, which are subject to change by the government, and which may require significant upfront cost, time, and resources, with no assurance that we will secure contracts with government entities. Furthermore, government certification requirements applicable to our platform, including FedRAMP, may change and, in doing so, restrict our ability to sell into the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4" w:name="page75"/>
    <w:bookmarkEnd w:id="74"/>
    <w:p>
      <w:pPr>
        <w:ind w:right="240"/>
        <w:spacing w:after="0" w:line="268" w:lineRule="auto"/>
        <w:rPr>
          <w:sz w:val="20"/>
          <w:szCs w:val="20"/>
          <w:color w:val="auto"/>
        </w:rPr>
      </w:pPr>
      <w:r>
        <w:rPr>
          <w:rFonts w:ascii="Times New Roman" w:cs="Times New Roman" w:eastAsia="Times New Roman" w:hAnsi="Times New Roman"/>
          <w:sz w:val="18"/>
          <w:szCs w:val="18"/>
          <w:color w:val="auto"/>
        </w:rPr>
        <w:t>governmental sector until we have attained the full or revised certification. Governmental entities may also have statutory, contractual or other legal rights to terminate contracts with us or our partners for convenience or for other reasons.</w:t>
      </w:r>
    </w:p>
    <w:p>
      <w:pPr>
        <w:spacing w:after="0" w:line="196"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We have obtained authorization under FedRAMP, which facilitates our entry into the U.S. federal government market. Such certification is subject to rigorous compliance and if we lose our certification, it could inhibit or preclude our ability to contract with certain U.S. federal government customers. In addition, some customers may rely on our authorization under FedRAMP to help satisfy their own legal and regulatory compliance requirements and our failure to maintain FedRAMP authorization might result in a breach under public sector contracts obtained on the basis of such authorization. This could subject us to liability, result in reputational harm, and adversely impact our financial condition or operating results.</w:t>
      </w:r>
    </w:p>
    <w:p>
      <w:pPr>
        <w:spacing w:after="0" w:line="212"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We may be subject to audits and investigations relating to our government contracts and any violations could result in civil and criminal penalties and administrative sanctions, including termination of contracts, payment of fines, and suspension or debarment from future government business, as well as harm to our reputation and financial results.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Financial Developments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exposed to fluctuations in currency exchange rates that could negatively impact our financial results and cash flows.</w:t>
      </w:r>
    </w:p>
    <w:p>
      <w:pPr>
        <w:spacing w:after="0" w:line="242"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Because we conduct a substantial portion of our business outside the United States, we face exposure to adverse movements in foreign currency exchange rates, which could have a material adverse impact on our financial results and cash flows. These exposures may change over time as business practices evolve and economic conditions change. We use derivative instruments to manage a portion of our cash flow, revenue and expense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may have maturities that extend for one to 18 months in the future and provide us with some protection against currency exposures. However, our attempts to hedge against these risks may not be completely successful, resulting in an adverse impact on our financial results.</w:t>
      </w:r>
    </w:p>
    <w:p>
      <w:pPr>
        <w:spacing w:after="0" w:line="213" w:lineRule="exact"/>
        <w:rPr>
          <w:sz w:val="20"/>
          <w:szCs w:val="20"/>
          <w:color w:val="auto"/>
        </w:rPr>
      </w:pPr>
    </w:p>
    <w:p>
      <w:pPr>
        <w:ind w:right="200" w:firstLine="395"/>
        <w:spacing w:after="0" w:line="252" w:lineRule="auto"/>
        <w:rPr>
          <w:sz w:val="20"/>
          <w:szCs w:val="20"/>
          <w:color w:val="auto"/>
        </w:rPr>
      </w:pPr>
      <w:r>
        <w:rPr>
          <w:rFonts w:ascii="Times New Roman" w:cs="Times New Roman" w:eastAsia="Times New Roman" w:hAnsi="Times New Roman"/>
          <w:sz w:val="18"/>
          <w:szCs w:val="18"/>
          <w:color w:val="auto"/>
        </w:rPr>
        <w:t>The fluctuations of currencies in which we conduct business can both increase and decrease our overall revenue and expenses for any given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97" w:lineRule="exact"/>
        <w:rPr>
          <w:sz w:val="20"/>
          <w:szCs w:val="20"/>
          <w:color w:val="auto"/>
        </w:rPr>
      </w:pPr>
    </w:p>
    <w:p>
      <w:pPr>
        <w:ind w:right="240" w:firstLine="395"/>
        <w:spacing w:after="0" w:line="237" w:lineRule="auto"/>
        <w:rPr>
          <w:sz w:val="20"/>
          <w:szCs w:val="20"/>
          <w:color w:val="auto"/>
        </w:rPr>
      </w:pPr>
      <w:r>
        <w:rPr>
          <w:rFonts w:ascii="Times New Roman" w:cs="Times New Roman" w:eastAsia="Times New Roman" w:hAnsi="Times New Roman"/>
          <w:sz w:val="18"/>
          <w:szCs w:val="18"/>
          <w:color w:val="auto"/>
        </w:rPr>
        <w:t>In addition, global events, including geopolitical and economic developments, may contribute to volatility in foreign exchange markets, which we may not be able to effectively manage, and our financial results could be adversely impacted. Additionally, countries in which we operate may be classified as highly inflationary economies, requiring special accounting and financial reporting treatment for such operations, or such countries’ currencies may be devalued, or both, which may adversely impact our business operations and financial results.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service obligations may adversely affect our financial condition and cash flows from operations.</w:t>
      </w:r>
    </w:p>
    <w:p>
      <w:pPr>
        <w:spacing w:after="0" w:line="229" w:lineRule="exact"/>
        <w:rPr>
          <w:sz w:val="20"/>
          <w:szCs w:val="20"/>
          <w:color w:val="auto"/>
        </w:rPr>
      </w:pPr>
    </w:p>
    <w:p>
      <w:pPr>
        <w:ind w:right="200" w:firstLine="395"/>
        <w:spacing w:after="0" w:line="234" w:lineRule="auto"/>
        <w:rPr>
          <w:sz w:val="20"/>
          <w:szCs w:val="20"/>
          <w:color w:val="auto"/>
        </w:rPr>
      </w:pPr>
      <w:r>
        <w:rPr>
          <w:rFonts w:ascii="Times New Roman" w:cs="Times New Roman" w:eastAsia="Times New Roman" w:hAnsi="Times New Roman"/>
          <w:sz w:val="18"/>
          <w:szCs w:val="18"/>
          <w:color w:val="auto"/>
        </w:rPr>
        <w:t>We have $2.30 billion of principal debt, consisting of notes due at various times from June 2025 to December 2031, as of July 31, 2024, as described in Part I, Item 1. We also entered into a credit agreement that provides for an unsecured revolving loan facility in the aggregate principal amount of $1.5 billion, with an option to be increased up to $2.0 billion, as described in Part I, Item 1. Maintenance of our indebtedness, contractual restrictions, and additional issuances of indebtedness could:</w:t>
      </w:r>
    </w:p>
    <w:p>
      <w:pPr>
        <w:spacing w:after="0" w:line="219" w:lineRule="exact"/>
        <w:rPr>
          <w:sz w:val="20"/>
          <w:szCs w:val="20"/>
          <w:color w:val="auto"/>
        </w:rPr>
      </w:pPr>
    </w:p>
    <w:p>
      <w:pPr>
        <w:ind w:left="640" w:hanging="319"/>
        <w:spacing w:after="0"/>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cause us to dedicate a substantial portion of our cash flows from operations towards debt service obligations and principal repayments;</w:t>
      </w:r>
    </w:p>
    <w:p>
      <w:pPr>
        <w:spacing w:after="0" w:line="15" w:lineRule="exact"/>
        <w:rPr>
          <w:rFonts w:ascii="Arial" w:cs="Arial" w:eastAsia="Arial" w:hAnsi="Arial"/>
          <w:sz w:val="21"/>
          <w:szCs w:val="21"/>
          <w:color w:val="auto"/>
        </w:rPr>
      </w:pPr>
    </w:p>
    <w:p>
      <w:pPr>
        <w:ind w:left="640" w:hanging="319"/>
        <w:spacing w:after="0" w:line="219"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increase our vulnerability to adverse changes in general economic, industry, and competitive conditions;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limit our flexibility in planning for, or reacting to, changes in our business and our industry;</w:t>
      </w:r>
    </w:p>
    <w:p>
      <w:pPr>
        <w:spacing w:after="0" w:line="15" w:lineRule="exact"/>
        <w:rPr>
          <w:rFonts w:ascii="Arial" w:cs="Arial" w:eastAsia="Arial" w:hAnsi="Arial"/>
          <w:sz w:val="21"/>
          <w:szCs w:val="21"/>
          <w:color w:val="auto"/>
        </w:rPr>
      </w:pPr>
    </w:p>
    <w:p>
      <w:pPr>
        <w:ind w:left="640" w:hanging="319"/>
        <w:spacing w:after="0" w:line="207"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impair our ability to obtain future financing for working capital, capital expenditures, acquisitions, general corporate, or other purposes; and</w:t>
      </w:r>
    </w:p>
    <w:p>
      <w:pPr>
        <w:spacing w:after="0" w:line="16" w:lineRule="exact"/>
        <w:rPr>
          <w:rFonts w:ascii="Arial" w:cs="Arial" w:eastAsia="Arial" w:hAnsi="Arial"/>
          <w:sz w:val="21"/>
          <w:szCs w:val="21"/>
          <w:color w:val="auto"/>
        </w:rPr>
      </w:pPr>
    </w:p>
    <w:p>
      <w:pPr>
        <w:ind w:left="640" w:right="20" w:hanging="319"/>
        <w:spacing w:after="0" w:line="235" w:lineRule="auto"/>
        <w:tabs>
          <w:tab w:leader="none" w:pos="635"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5" w:name="page76"/>
    <w:bookmarkEnd w:id="75"/>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We are required to comply with the covenants set forth in our credit agreement. If we breach any of the covenants and do not obtain a waiver from the note holders or lenders, then, subject to applicable cure periods, we would not be able to incur additional indebtedness under the credit agreement described in Part I, Item 1, and any outstanding indebtedness under the credit agreement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credit agreement could increase. Downgrades in our credit ratings could also restrict our ability to obtain additional financing in the future and could affect the terms of any such financing.</w:t>
      </w:r>
    </w:p>
    <w:p>
      <w:pPr>
        <w:spacing w:after="0" w:line="210" w:lineRule="exact"/>
        <w:rPr>
          <w:sz w:val="20"/>
          <w:szCs w:val="20"/>
          <w:color w:val="auto"/>
        </w:rPr>
      </w:pPr>
    </w:p>
    <w:p>
      <w:pPr>
        <w:ind w:right="220"/>
        <w:spacing w:after="0" w:line="304" w:lineRule="auto"/>
        <w:rPr>
          <w:sz w:val="20"/>
          <w:szCs w:val="20"/>
          <w:color w:val="auto"/>
        </w:rPr>
      </w:pPr>
      <w:r>
        <w:rPr>
          <w:rFonts w:ascii="Times New Roman" w:cs="Times New Roman" w:eastAsia="Times New Roman" w:hAnsi="Times New Roman"/>
          <w:sz w:val="16"/>
          <w:szCs w:val="16"/>
          <w:i w:val="1"/>
          <w:iCs w:val="1"/>
          <w:color w:val="auto"/>
        </w:rPr>
        <w:t>Our investment portfolio consists of a variety of investment vehicles that are subject to interest rate trends, market volatility, and other economic factors. If general economic conditions decline, this could cause the credit ratings of our investments to deteriorate and illiquidity in the financial marketplace, and we may experience a decline in interest income and an inability to sell our investments, leading to impairment in the value of our investments.</w:t>
      </w:r>
    </w:p>
    <w:p>
      <w:pPr>
        <w:spacing w:after="0" w:line="171" w:lineRule="exact"/>
        <w:rPr>
          <w:sz w:val="20"/>
          <w:szCs w:val="20"/>
          <w:color w:val="auto"/>
        </w:rPr>
      </w:pPr>
    </w:p>
    <w:p>
      <w:pPr>
        <w:ind w:firstLine="395"/>
        <w:spacing w:after="0" w:line="289" w:lineRule="auto"/>
        <w:rPr>
          <w:sz w:val="20"/>
          <w:szCs w:val="20"/>
          <w:color w:val="auto"/>
        </w:rPr>
      </w:pPr>
      <w:r>
        <w:rPr>
          <w:rFonts w:ascii="Times New Roman" w:cs="Times New Roman" w:eastAsia="Times New Roman" w:hAnsi="Times New Roman"/>
          <w:sz w:val="16"/>
          <w:szCs w:val="16"/>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or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spacing w:after="0" w:line="182"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From time to time we make direct investments in privately held companies. Investments in privately held companies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 loss on any of our investments may cause us to record an other-than-temporary impairment charge. The effect of this charge could impact our overall</w:t>
      </w:r>
    </w:p>
    <w:p>
      <w:pPr>
        <w:spacing w:after="0" w:line="4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net income and earnings per share</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In any of these scenarios, our liquidity may be negatively impacted, which in turn may prohibit us from making investments in our business, taking advantage of opportunities, and potentially meeting our financial obligations as they come due.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tax rules and regulations, and uncertainties in interpretation and application, could materially affect our tax obligations and effective tax rate.</w:t>
      </w:r>
    </w:p>
    <w:p>
      <w:pPr>
        <w:spacing w:after="0" w:line="242" w:lineRule="exact"/>
        <w:rPr>
          <w:sz w:val="20"/>
          <w:szCs w:val="20"/>
          <w:color w:val="auto"/>
        </w:rPr>
      </w:pPr>
    </w:p>
    <w:p>
      <w:pPr>
        <w:ind w:right="200" w:firstLine="395"/>
        <w:spacing w:after="0" w:line="249" w:lineRule="auto"/>
        <w:rPr>
          <w:sz w:val="20"/>
          <w:szCs w:val="20"/>
          <w:color w:val="auto"/>
        </w:rPr>
      </w:pPr>
      <w:r>
        <w:rPr>
          <w:rFonts w:ascii="Times New Roman" w:cs="Times New Roman" w:eastAsia="Times New Roman" w:hAnsi="Times New Roman"/>
          <w:sz w:val="18"/>
          <w:szCs w:val="18"/>
          <w:color w:val="auto"/>
        </w:rPr>
        <w:t>We are a U.S.-based multinational company subject to tax in multiple U.S. and foreign tax jurisdictions. Our effective tax rate is primarily based on our geographic mix of earnings; statutory rates; stock-based compensation; intercompany arrangements, including the manner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challenged by tax authorities and may have a significant impact on our effective tax rate and cash taxes.</w:t>
      </w:r>
    </w:p>
    <w:p>
      <w:pPr>
        <w:spacing w:after="0" w:line="198" w:lineRule="exact"/>
        <w:rPr>
          <w:sz w:val="20"/>
          <w:szCs w:val="20"/>
          <w:color w:val="auto"/>
        </w:rPr>
      </w:pPr>
    </w:p>
    <w:p>
      <w:pPr>
        <w:ind w:right="20" w:firstLine="395"/>
        <w:spacing w:after="0" w:line="266" w:lineRule="auto"/>
        <w:rPr>
          <w:sz w:val="20"/>
          <w:szCs w:val="20"/>
          <w:color w:val="auto"/>
        </w:rPr>
      </w:pPr>
      <w:r>
        <w:rPr>
          <w:rFonts w:ascii="Times New Roman" w:cs="Times New Roman" w:eastAsia="Times New Roman" w:hAnsi="Times New Roman"/>
          <w:sz w:val="16"/>
          <w:szCs w:val="16"/>
          <w:color w:val="auto"/>
        </w:rPr>
        <w:t>Tax laws in the United States and in foreign tax jurisdictions are dynamic and subject to change as new laws are passed and new interpretations of the law are issued or applied. For example, the U.S. government enacted significant tax law changes in December 2017, the Tax Act, which impacted our tax obligations and effective tax rate beginning in our fiscal 2018 tax year, and significant tax legislation was included in the March 2020 CARES Act and subsequent Consolidated Appropriations Act in December 2020. Due to the complexity and varying interpretations of the Tax Act and the CARES Act, the U.S. Department of Treasury and other standard-setting bodies have been issuing and will continue to issue regulations and interpretative guidance that could significantly impact how we will apply the law and the ultimate effect on our results of operations from both the Tax Act and the CARES Act, including for our</w:t>
      </w:r>
    </w:p>
    <w:p>
      <w:pPr>
        <w:ind w:right="440"/>
        <w:spacing w:after="0" w:line="253" w:lineRule="auto"/>
        <w:rPr>
          <w:sz w:val="20"/>
          <w:szCs w:val="20"/>
          <w:color w:val="auto"/>
        </w:rPr>
      </w:pPr>
      <w:r>
        <w:rPr>
          <w:rFonts w:ascii="Times New Roman" w:cs="Times New Roman" w:eastAsia="Times New Roman" w:hAnsi="Times New Roman"/>
          <w:sz w:val="18"/>
          <w:szCs w:val="18"/>
          <w:color w:val="auto"/>
        </w:rPr>
        <w:t>prior tax years. In addition, increases in corporate tax rates, could increase our effective tax rate, cash taxes and have an adverse effect on our results from operations.</w:t>
      </w:r>
    </w:p>
    <w:p>
      <w:pPr>
        <w:spacing w:after="0" w:line="208"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Signed into law on August 16, 2022, the Inflation Reduction Act contains many provisions that may impact Autodesk, including the corporate alternative minimum tax and excise tax on stock buybacks. We are monitoring these impacts on our consolidated financial statements.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6" w:name="page77"/>
    <w:bookmarkEnd w:id="76"/>
    <w:p>
      <w:pPr>
        <w:ind w:right="200" w:firstLine="395"/>
        <w:spacing w:after="0" w:line="293" w:lineRule="auto"/>
        <w:rPr>
          <w:sz w:val="20"/>
          <w:szCs w:val="20"/>
          <w:color w:val="auto"/>
        </w:rPr>
      </w:pPr>
      <w:r>
        <w:rPr>
          <w:rFonts w:ascii="Times New Roman" w:cs="Times New Roman" w:eastAsia="Times New Roman" w:hAnsi="Times New Roman"/>
          <w:sz w:val="16"/>
          <w:szCs w:val="16"/>
          <w:color w:val="auto"/>
        </w:rPr>
        <w:t>For tax years beginning after December 31, 2021, the Tax Act required taxpayers to capitalize and amortize research and development costs pursuant to Internal Revenue Code Section 174. Section 174 required taxpayers to capitalize research and development costs and amortize them over 5 years for expenditures attributed to domestic research and 15 years for expenditures attributed to foreign research. Although Congress is considering legislation that would reinstate and extend Section 174 expensing for certain research and experimental expenditures, the possibility that this will happen is uncertain.</w:t>
      </w:r>
    </w:p>
    <w:p>
      <w:pPr>
        <w:spacing w:after="0" w:line="181"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Increasingly, tax authorities are reviewing existing corporate tax regulatory and legal regimes. Many countries are actively considering or implementing new taxing regimes and changes to existing tax laws. This could include U.S. and foreign tax law developments related to changes to long-standing tax principles arising from proposals made by the Organization for Economic Co-operation and Development that seek to allocate greater taxing rights to countries where customers are located and establish a global minimum tax rate of 15%. If U.S. or foreign tax authorities change applicable tax laws or successfully challenge how or where our profits are currently recognized, our overall taxes could increase, and our business, financial condition, or results of operations may be adversely impacted.</w:t>
      </w:r>
    </w:p>
    <w:p>
      <w:pPr>
        <w:spacing w:after="0" w:line="21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92" w:lineRule="exact"/>
        <w:rPr>
          <w:sz w:val="20"/>
          <w:szCs w:val="20"/>
          <w:color w:val="auto"/>
        </w:rPr>
      </w:pPr>
    </w:p>
    <w:p>
      <w:pPr>
        <w:ind w:right="20" w:firstLine="395"/>
        <w:spacing w:after="0" w:line="287" w:lineRule="auto"/>
        <w:rPr>
          <w:sz w:val="20"/>
          <w:szCs w:val="20"/>
          <w:color w:val="auto"/>
        </w:rPr>
      </w:pPr>
      <w:r>
        <w:rPr>
          <w:rFonts w:ascii="Times New Roman" w:cs="Times New Roman" w:eastAsia="Times New Roman" w:hAnsi="Times New Roman"/>
          <w:sz w:val="16"/>
          <w:szCs w:val="16"/>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adversely affecting our results of operations. Our deferred tax assets include net operating loss, amortizable tax assets, and tax credit carryforwards that can be used to offset taxable income and reduce income taxes payable in future periods. Each quarter, we assess the need for a valuation allowance,</w:t>
      </w:r>
    </w:p>
    <w:p>
      <w:pPr>
        <w:spacing w:after="0" w:line="2"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considering both positive and negative evidence to determine whether all or a portion of the deferred tax assets are more likely than not to be realized. We continue to have a valuation allowance against certain U.S. and foreign deferred tax assets. Changes in the amount of the U.S. and foreign jurisdictions valuation allowance could also result in a material non-cash expense or benefit in the period in which the valuation allowance is adjusted, and our results of operations could be materially affected. We will continue to perform these tests on our worldwide deferred tax assets, and any future adjustments to the realizability of our deferred tax assets may have a material effect on our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Risk Factors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may be significantly disrupted upon the occurrence of a catastrophic event.</w:t>
      </w:r>
    </w:p>
    <w:p>
      <w:pPr>
        <w:spacing w:after="0" w:line="229" w:lineRule="exact"/>
        <w:rPr>
          <w:sz w:val="20"/>
          <w:szCs w:val="20"/>
          <w:color w:val="auto"/>
        </w:rPr>
      </w:pPr>
    </w:p>
    <w:p>
      <w:pPr>
        <w:ind w:right="20" w:firstLine="395"/>
        <w:spacing w:after="0" w:line="230" w:lineRule="auto"/>
        <w:rPr>
          <w:sz w:val="20"/>
          <w:szCs w:val="20"/>
          <w:color w:val="auto"/>
        </w:rPr>
      </w:pPr>
      <w:r>
        <w:rPr>
          <w:rFonts w:ascii="Times New Roman" w:cs="Times New Roman" w:eastAsia="Times New Roman" w:hAnsi="Times New Roman"/>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(including the ongoing wars between Ukraine and Russia and between Israel and Hamas, and any related political or economic responses and counter-responses or otherwise by various global actors or the general effect on the global economy), or business interruption from epidemics or pandemics, or the fear of such events, could adversely impact our business, financial results, and financial condition. For example, our corporate headquarters and executive offices are located near major seismic faults in the San Francisco Bay Area and face annual periods of wildfire danger, which increase the probability of power outages and may impact employees’ abilities to commute to work or to work from home.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negatively impacting our financial results.</w:t>
      </w:r>
    </w:p>
    <w:p>
      <w:pPr>
        <w:spacing w:after="0" w:line="223"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206" w:lineRule="exact"/>
        <w:rPr>
          <w:sz w:val="20"/>
          <w:szCs w:val="20"/>
          <w:color w:val="auto"/>
        </w:rPr>
      </w:pPr>
    </w:p>
    <w:p>
      <w:pPr>
        <w:ind w:right="180" w:firstLine="395"/>
        <w:spacing w:after="0" w:line="256" w:lineRule="auto"/>
        <w:rPr>
          <w:sz w:val="20"/>
          <w:szCs w:val="20"/>
          <w:color w:val="auto"/>
        </w:rPr>
      </w:pPr>
      <w:r>
        <w:rPr>
          <w:rFonts w:ascii="Times New Roman" w:cs="Times New Roman" w:eastAsia="Times New Roman" w:hAnsi="Times New Roman"/>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technology companies, the number and frequency of inquiries from U.S. and foreign regulatory agencies we have received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77" w:name="page78"/>
    <w:bookmarkEnd w:id="77"/>
    <w:p>
      <w:pPr>
        <w:spacing w:after="0" w:line="249" w:lineRule="auto"/>
        <w:rPr>
          <w:sz w:val="20"/>
          <w:szCs w:val="20"/>
          <w:color w:val="auto"/>
        </w:rPr>
      </w:pPr>
      <w:r>
        <w:rPr>
          <w:rFonts w:ascii="Times New Roman" w:cs="Times New Roman" w:eastAsia="Times New Roman" w:hAnsi="Times New Roman"/>
          <w:sz w:val="18"/>
          <w:szCs w:val="18"/>
          <w:color w:val="auto"/>
        </w:rPr>
        <w:t>regarding our business and our business practices, as well as the business practices of others in our industry, have increased in recent years. In the event we are involved in significant disputes or are the subject of a formal action by a regulatory agency, we could be exposed to costly and time-consuming legal proceedings that could result in any number of outcomes. Any claims or regulatory actions initiated by or against us, whether successful or not, could result in high defense costs, damage awards, injunctive relief, increased costs of business, fines or orders to change certain business practices, significant dedication of management time, diversion of operational resources, or otherwise harm our business. In any such event, our financial results, results of operations, cash flows, or trading prices for our securities could be negatively impacted.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existing financial accounting standards or practices, or taxation rules or practices may adversely affect our results of operations.</w:t>
      </w:r>
    </w:p>
    <w:p>
      <w:pPr>
        <w:spacing w:after="0" w:line="242" w:lineRule="exact"/>
        <w:rPr>
          <w:sz w:val="20"/>
          <w:szCs w:val="20"/>
          <w:color w:val="auto"/>
        </w:rPr>
      </w:pPr>
    </w:p>
    <w:p>
      <w:pPr>
        <w:jc w:val="both"/>
        <w:ind w:right="380" w:firstLine="395"/>
        <w:spacing w:after="0" w:line="256" w:lineRule="auto"/>
        <w:rPr>
          <w:sz w:val="20"/>
          <w:szCs w:val="20"/>
          <w:color w:val="auto"/>
        </w:rPr>
      </w:pPr>
      <w:r>
        <w:rPr>
          <w:rFonts w:ascii="Times New Roman" w:cs="Times New Roman" w:eastAsia="Times New Roman" w:hAnsi="Times New Roman"/>
          <w:sz w:val="18"/>
          <w:szCs w:val="18"/>
          <w:color w:val="auto"/>
        </w:rPr>
        <w:t>Changes in existing accounting or taxation rules or practices, new accounting pronouncements or taxation rules, or varying interpretations of current accounting pronouncements or taxation practices could have a significant adverse effect on our results of operations or the way we conduct our business. Further, such changes could potentially affect our reporting of transactions completed before such changes are effective.</w:t>
      </w:r>
    </w:p>
    <w:p>
      <w:pPr>
        <w:spacing w:after="0" w:line="204"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92"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Pursuant to Section 404 of the Sarbanes-Oxley Act of 2002, we are required to furnish a report by our management on our internal control over financial reporting, including an assessment of the effectiveness of our internal control over financial reporting as of the end of our fiscal year. This assessment must include a statement as to whether or not our internal control over financial reporting is effective and disclosure of any material weaknesses in our internal control over financial reporting identified by management. If our management or independent registered public accounting firm identifies one or more material weaknesses in our internal control over financial reporting, we are unable to assert that our internal control over financial reporting is effective, or our independent registered public accounting firm is unable to express an opinion that our internal controls are effective, investors could lose confidence in the accuracy and completeness of our financial reports, which could have an adverse effect on our business and stock price.</w:t>
      </w:r>
    </w:p>
    <w:p>
      <w:pPr>
        <w:spacing w:after="0" w:line="211"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92" w:lineRule="exact"/>
        <w:rPr>
          <w:sz w:val="20"/>
          <w:szCs w:val="20"/>
          <w:color w:val="auto"/>
        </w:rPr>
      </w:pPr>
    </w:p>
    <w:p>
      <w:pPr>
        <w:ind w:right="160" w:firstLine="395"/>
        <w:spacing w:after="0" w:line="284" w:lineRule="auto"/>
        <w:rPr>
          <w:sz w:val="20"/>
          <w:szCs w:val="20"/>
          <w:color w:val="auto"/>
        </w:rPr>
      </w:pPr>
      <w:r>
        <w:rPr>
          <w:rFonts w:ascii="Times New Roman" w:cs="Times New Roman" w:eastAsia="Times New Roman" w:hAnsi="Times New Roman"/>
          <w:sz w:val="16"/>
          <w:szCs w:val="16"/>
          <w:color w:val="auto"/>
        </w:rPr>
        <w:t>We make assumptions, judgments, and estimates for a number of items, including revenue recognition for product subscriptions and enterprise business arrangements (“EBAs”), the determination of the fair value of acquired assets and liabilities, goodwill, financial instruments including strategic investments, long-lived assets, and intangible assets, the realizability of deferred tax assets, and the fair value of stock awards. We also make assumptions, judgments, and estimates in determining the accruals for uncertain tax positions, variable compensation, partner incentive programs, allowances for credit losses, asset retirement obligations, legal contingencies, and operating lease liabilities.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sales of unregistered securities during the three months ended July 31, 2024.</w:t>
      </w:r>
    </w:p>
    <w:p>
      <w:pPr>
        <w:spacing w:after="0" w:line="227" w:lineRule="exact"/>
        <w:rPr>
          <w:sz w:val="20"/>
          <w:szCs w:val="20"/>
          <w:color w:val="auto"/>
        </w:rPr>
      </w:pPr>
    </w:p>
    <w:p>
      <w:pPr>
        <w:jc w:val="both"/>
        <w:ind w:right="160" w:firstLine="434"/>
        <w:spacing w:after="0" w:line="248" w:lineRule="auto"/>
        <w:rPr>
          <w:sz w:val="20"/>
          <w:szCs w:val="20"/>
          <w:color w:val="auto"/>
        </w:rPr>
      </w:pPr>
      <w:r>
        <w:rPr>
          <w:rFonts w:ascii="Times New Roman" w:cs="Times New Roman" w:eastAsia="Times New Roman" w:hAnsi="Times New Roman"/>
          <w:sz w:val="18"/>
          <w:szCs w:val="18"/>
          <w:color w:val="auto"/>
        </w:rPr>
        <w:t>The information concerning issuer purchases of equity securities required by this Item is incorporated by reference herein to the section of this Report entitled "Issuer Purchases of Equity Securities" in Part I, Item 2, “Management's Discussion and Analysis of Financial Condition and Results of Operations,” above.</w:t>
      </w:r>
    </w:p>
    <w:p>
      <w:pPr>
        <w:spacing w:after="0" w:line="19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71" w:right="379" w:bottom="1440" w:gutter="0" w:footer="0" w:header="0"/>
        </w:sectPr>
      </w:pPr>
    </w:p>
    <w:bookmarkStart w:id="78" w:name="page79"/>
    <w:bookmarkEnd w:id="78"/>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ind w:right="60" w:firstLine="632"/>
        <w:spacing w:after="0" w:line="253" w:lineRule="auto"/>
        <w:rPr>
          <w:sz w:val="20"/>
          <w:szCs w:val="20"/>
          <w:color w:val="auto"/>
        </w:rPr>
      </w:pPr>
      <w:r>
        <w:rPr>
          <w:rFonts w:ascii="Times New Roman" w:cs="Times New Roman" w:eastAsia="Times New Roman" w:hAnsi="Times New Roman"/>
          <w:sz w:val="18"/>
          <w:szCs w:val="18"/>
          <w:color w:val="auto"/>
        </w:rPr>
        <w:t>During our last fiscal quarter ended July 31, 2024, the following director(s) and officer(s), as defined in Rule 16a-1(f), adopted a “Rule 10b5-1 trading arrangement” as defined in Regulation S-K Item 408, as follows:</w:t>
      </w:r>
    </w:p>
    <w:p>
      <w:pPr>
        <w:spacing w:after="0" w:line="195" w:lineRule="exact"/>
        <w:rPr>
          <w:sz w:val="20"/>
          <w:szCs w:val="20"/>
          <w:color w:val="auto"/>
        </w:rPr>
      </w:pPr>
    </w:p>
    <w:p>
      <w:pPr>
        <w:jc w:val="both"/>
        <w:ind w:firstLine="632"/>
        <w:spacing w:after="0" w:line="241" w:lineRule="auto"/>
        <w:rPr>
          <w:sz w:val="20"/>
          <w:szCs w:val="20"/>
          <w:color w:val="auto"/>
        </w:rPr>
      </w:pPr>
      <w:r>
        <w:rPr>
          <w:rFonts w:ascii="Times New Roman" w:cs="Times New Roman" w:eastAsia="Times New Roman" w:hAnsi="Times New Roman"/>
          <w:sz w:val="18"/>
          <w:szCs w:val="18"/>
          <w:color w:val="auto"/>
        </w:rPr>
        <w:t>On July 1, 2024, Stephen Hope, our SVP, Finance &amp; Chief Accounting Officer, adopted a Rule 10b5-1 trading arrangement providing for the sale from time to time of an aggregate of up to 718 shares of our common stock. The trading arrangement is intended to satisfy the affirmative defense in Rule 10b5-1(c). The duration of the trading arrangement is until January 2, 2025, or earlier if all transactions under the trading arrangement are completed.</w:t>
      </w:r>
    </w:p>
    <w:p>
      <w:pPr>
        <w:spacing w:after="0" w:line="205" w:lineRule="exact"/>
        <w:rPr>
          <w:sz w:val="20"/>
          <w:szCs w:val="20"/>
          <w:color w:val="auto"/>
        </w:rPr>
      </w:pPr>
    </w:p>
    <w:p>
      <w:pPr>
        <w:ind w:right="140" w:firstLine="632"/>
        <w:spacing w:after="0" w:line="239" w:lineRule="auto"/>
        <w:rPr>
          <w:sz w:val="20"/>
          <w:szCs w:val="20"/>
          <w:color w:val="auto"/>
        </w:rPr>
      </w:pPr>
      <w:r>
        <w:rPr>
          <w:rFonts w:ascii="Times New Roman" w:cs="Times New Roman" w:eastAsia="Times New Roman" w:hAnsi="Times New Roman"/>
          <w:sz w:val="18"/>
          <w:szCs w:val="18"/>
          <w:color w:val="auto"/>
        </w:rPr>
        <w:t>No other officers, as defined in Rule 16a-1(f), or directors adopted or terminated a “Rule 10b5-1 trading arrangement” or a “non-Rule 10b5-1 trading arrangement,” each as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9" w:name="page80"/>
    <w:bookmarkEnd w:id="79"/>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Exhibits listed below are filed or incorporated by reference as part of this Quarterly Report on Form 10-Q.</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52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60" w:type="dxa"/>
            <w:vAlign w:val="bottom"/>
            <w:gridSpan w:val="3"/>
          </w:tcPr>
          <w:p>
            <w:pPr>
              <w:jc w:val="center"/>
              <w:ind w:left="25"/>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Filing Date</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540" w:type="dxa"/>
            <w:vAlign w:val="bottom"/>
          </w:tcPr>
          <w:p>
            <w:pPr>
              <w:spacing w:after="0"/>
              <w:rPr>
                <w:sz w:val="17"/>
                <w:szCs w:val="17"/>
                <w:color w:val="auto"/>
              </w:rPr>
            </w:pPr>
          </w:p>
        </w:tc>
        <w:tc>
          <w:tcPr>
            <w:tcW w:w="5040" w:type="dxa"/>
            <w:vAlign w:val="bottom"/>
            <w:gridSpan w:val="10"/>
          </w:tcPr>
          <w:p>
            <w:pPr>
              <w:spacing w:after="0"/>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Amended and Restated Certificate of Incorporation</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0-14338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3.1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7/18/2024</w:t>
            </w:r>
          </w:p>
        </w:tc>
        <w:tc>
          <w:tcPr>
            <w:tcW w:w="0" w:type="dxa"/>
            <w:vAlign w:val="bottom"/>
          </w:tcPr>
          <w:p>
            <w:pPr>
              <w:spacing w:after="0"/>
              <w:rPr>
                <w:sz w:val="1"/>
                <w:szCs w:val="1"/>
                <w:color w:val="auto"/>
              </w:rPr>
            </w:pPr>
          </w:p>
        </w:tc>
      </w:tr>
      <w:tr>
        <w:trPr>
          <w:trHeight w:val="296"/>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540" w:type="dxa"/>
            <w:vAlign w:val="bottom"/>
          </w:tcPr>
          <w:p>
            <w:pPr>
              <w:spacing w:after="0"/>
              <w:rPr>
                <w:sz w:val="24"/>
                <w:szCs w:val="24"/>
                <w:color w:val="auto"/>
              </w:rPr>
            </w:pPr>
          </w:p>
        </w:tc>
        <w:tc>
          <w:tcPr>
            <w:tcW w:w="3240" w:type="dxa"/>
            <w:vAlign w:val="bottom"/>
            <w:tcBorders>
              <w:top w:val="single" w:sz="8" w:color="0000FF"/>
            </w:tcBorders>
            <w:gridSpan w:val="5"/>
          </w:tcPr>
          <w:p>
            <w:pPr>
              <w:spacing w:after="0"/>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Amended and Restated Bylaws</w:t>
              </w:r>
            </w:hyperlink>
          </w:p>
        </w:tc>
        <w:tc>
          <w:tcPr>
            <w:tcW w:w="180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0-14338</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3.2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7/18/2024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540" w:type="dxa"/>
            <w:vAlign w:val="bottom"/>
          </w:tcPr>
          <w:p>
            <w:pPr>
              <w:spacing w:after="0"/>
              <w:rPr>
                <w:sz w:val="24"/>
                <w:szCs w:val="24"/>
                <w:color w:val="auto"/>
              </w:rPr>
            </w:pPr>
          </w:p>
        </w:tc>
        <w:tc>
          <w:tcPr>
            <w:tcW w:w="504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of the</w:t>
            </w: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86"/>
              </w:rPr>
              <w:t>X</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60" w:type="dxa"/>
            <w:vAlign w:val="bottom"/>
            <w:tcBorders>
              <w:top w:val="single" w:sz="8" w:color="0000FF"/>
            </w:tcBorders>
            <w:gridSpan w:val="8"/>
          </w:tcPr>
          <w:p>
            <w:pPr>
              <w:spacing w:after="0" w:line="138" w:lineRule="exact"/>
              <w:rPr>
                <w:sz w:val="20"/>
                <w:szCs w:val="20"/>
                <w:color w:val="auto"/>
              </w:rPr>
            </w:pPr>
            <w:r>
              <w:rPr>
                <w:rFonts w:ascii="Times New Roman" w:cs="Times New Roman" w:eastAsia="Times New Roman" w:hAnsi="Times New Roman"/>
                <w:sz w:val="15"/>
                <w:szCs w:val="15"/>
                <w:color w:val="0000FF"/>
              </w:rPr>
              <w:t>Securities Exchange Act of 1934</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540" w:type="dxa"/>
            <w:vAlign w:val="bottom"/>
          </w:tcPr>
          <w:p>
            <w:pPr>
              <w:spacing w:after="0"/>
              <w:rPr>
                <w:sz w:val="24"/>
                <w:szCs w:val="24"/>
                <w:color w:val="auto"/>
              </w:rPr>
            </w:pPr>
          </w:p>
        </w:tc>
        <w:tc>
          <w:tcPr>
            <w:tcW w:w="504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of the</w:t>
            </w: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86"/>
              </w:rPr>
              <w:t>X</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20" w:type="dxa"/>
            <w:vAlign w:val="bottom"/>
            <w:tcBorders>
              <w:top w:val="single" w:sz="8" w:color="0000FF"/>
            </w:tcBorders>
            <w:gridSpan w:val="7"/>
          </w:tcPr>
          <w:p>
            <w:pPr>
              <w:spacing w:after="0" w:line="138" w:lineRule="exact"/>
              <w:rPr>
                <w:sz w:val="20"/>
                <w:szCs w:val="20"/>
                <w:color w:val="auto"/>
              </w:rPr>
            </w:pPr>
            <w:r>
              <w:rPr>
                <w:rFonts w:ascii="Times New Roman" w:cs="Times New Roman" w:eastAsia="Times New Roman" w:hAnsi="Times New Roman"/>
                <w:sz w:val="15"/>
                <w:szCs w:val="15"/>
                <w:color w:val="0000FF"/>
              </w:rPr>
              <w:t>Securities Exchange Act of 1934</w:t>
            </w:r>
          </w:p>
        </w:tc>
        <w:tc>
          <w:tcPr>
            <w:tcW w:w="8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32.1 †</w:t>
            </w:r>
          </w:p>
        </w:tc>
        <w:tc>
          <w:tcPr>
            <w:tcW w:w="504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and Chief Financial Officer</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300" w:type="dxa"/>
            <w:vAlign w:val="bottom"/>
            <w:tcBorders>
              <w:top w:val="single" w:sz="8" w:color="0000FF"/>
            </w:tcBorders>
            <w:gridSpan w:val="6"/>
          </w:tcPr>
          <w:p>
            <w:pPr>
              <w:spacing w:after="0" w:line="138" w:lineRule="exact"/>
              <w:rPr>
                <w:sz w:val="20"/>
                <w:szCs w:val="20"/>
                <w:color w:val="auto"/>
              </w:rPr>
            </w:pPr>
            <w:r>
              <w:rPr>
                <w:rFonts w:ascii="Times New Roman" w:cs="Times New Roman" w:eastAsia="Times New Roman" w:hAnsi="Times New Roman"/>
                <w:sz w:val="15"/>
                <w:szCs w:val="15"/>
                <w:color w:val="0000FF"/>
              </w:rPr>
              <w:t>pursuant to 18 U.S.C. Section 1350, as adopted pursuant to Section</w:t>
            </w:r>
          </w:p>
        </w:tc>
        <w:tc>
          <w:tcPr>
            <w:tcW w:w="740" w:type="dxa"/>
            <w:vAlign w:val="bottom"/>
            <w:gridSpan w:val="4"/>
          </w:tcPr>
          <w:p>
            <w:pPr>
              <w:spacing w:after="0" w:line="138" w:lineRule="exact"/>
              <w:rPr>
                <w:sz w:val="20"/>
                <w:szCs w:val="20"/>
                <w:color w:val="auto"/>
              </w:rPr>
            </w:pPr>
            <w:r>
              <w:rPr>
                <w:rFonts w:ascii="Times New Roman" w:cs="Times New Roman" w:eastAsia="Times New Roman" w:hAnsi="Times New Roman"/>
                <w:sz w:val="15"/>
                <w:szCs w:val="15"/>
                <w:color w:val="0000FF"/>
              </w:rPr>
              <w:t>906 of</w:t>
            </w: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86"/>
              </w:rPr>
              <w:t>X</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700" w:type="dxa"/>
            <w:vAlign w:val="bottom"/>
            <w:tcBorders>
              <w:top w:val="single" w:sz="8" w:color="0000FF"/>
            </w:tcBorders>
            <w:gridSpan w:val="9"/>
          </w:tcPr>
          <w:p>
            <w:pPr>
              <w:spacing w:after="0" w:line="138" w:lineRule="exact"/>
              <w:rPr>
                <w:sz w:val="20"/>
                <w:szCs w:val="20"/>
                <w:color w:val="auto"/>
              </w:rPr>
            </w:pPr>
            <w:r>
              <w:rPr>
                <w:rFonts w:ascii="Times New Roman" w:cs="Times New Roman" w:eastAsia="Times New Roman" w:hAnsi="Times New Roman"/>
                <w:sz w:val="15"/>
                <w:szCs w:val="15"/>
                <w:color w:val="0000FF"/>
              </w:rPr>
              <w:t>the Sarbanes-Oxley Act of 2002</w:t>
            </w:r>
          </w:p>
        </w:tc>
        <w:tc>
          <w:tcPr>
            <w:tcW w:w="3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101.INS ††</w:t>
            </w:r>
          </w:p>
        </w:tc>
        <w:tc>
          <w:tcPr>
            <w:tcW w:w="50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40" w:type="dxa"/>
            <w:vAlign w:val="bottom"/>
            <w:gridSpan w:val="10"/>
          </w:tcPr>
          <w:p>
            <w:pPr>
              <w:spacing w:after="0" w:line="158" w:lineRule="exact"/>
              <w:rPr>
                <w:sz w:val="20"/>
                <w:szCs w:val="20"/>
                <w:color w:val="auto"/>
              </w:rPr>
            </w:pPr>
            <w:r>
              <w:rPr>
                <w:rFonts w:ascii="Times New Roman" w:cs="Times New Roman" w:eastAsia="Times New Roman" w:hAnsi="Times New Roman"/>
                <w:sz w:val="16"/>
                <w:szCs w:val="16"/>
                <w:color w:val="auto"/>
              </w:rPr>
              <w:t>in the Interactive Data File because its XBRL tags are embedded within the</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 ††</w:t>
            </w:r>
          </w:p>
        </w:tc>
        <w:tc>
          <w:tcPr>
            <w:tcW w:w="50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101.CAL ††</w:t>
            </w:r>
          </w:p>
        </w:tc>
        <w:tc>
          <w:tcPr>
            <w:tcW w:w="50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 ††</w:t>
            </w:r>
          </w:p>
        </w:tc>
        <w:tc>
          <w:tcPr>
            <w:tcW w:w="50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Definition Linkbase</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 ††</w:t>
            </w:r>
          </w:p>
        </w:tc>
        <w:tc>
          <w:tcPr>
            <w:tcW w:w="50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101.PRE ††</w:t>
            </w:r>
          </w:p>
        </w:tc>
        <w:tc>
          <w:tcPr>
            <w:tcW w:w="50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 ††</w:t>
            </w:r>
          </w:p>
        </w:tc>
        <w:tc>
          <w:tcPr>
            <w:tcW w:w="50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Cover Page Interactive Data File - the cover page interactive date is</w:t>
            </w: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embedded within the Inline XBRL document or included within the Exhibit</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520" w:hanging="274"/>
        <w:spacing w:after="0"/>
        <w:tabs>
          <w:tab w:leader="none" w:pos="152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attachments</w:t>
      </w:r>
    </w:p>
    <w:p>
      <w:pPr>
        <w:spacing w:after="0" w:line="245" w:lineRule="exact"/>
        <w:rPr>
          <w:rFonts w:ascii="Times New Roman" w:cs="Times New Roman" w:eastAsia="Times New Roman" w:hAnsi="Times New Roman"/>
          <w:sz w:val="16"/>
          <w:szCs w:val="16"/>
          <w:color w:val="auto"/>
        </w:rPr>
      </w:pPr>
    </w:p>
    <w:p>
      <w:pPr>
        <w:ind w:left="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Denotes a management contract or compensatory plan or arrangement.</w:t>
      </w:r>
    </w:p>
    <w:p>
      <w:pPr>
        <w:spacing w:after="0" w:line="27" w:lineRule="exact"/>
        <w:rPr>
          <w:sz w:val="20"/>
          <w:szCs w:val="20"/>
          <w:color w:val="auto"/>
        </w:rPr>
      </w:pPr>
    </w:p>
    <w:p>
      <w:pPr>
        <w:ind w:left="680" w:right="40" w:hanging="657"/>
        <w:spacing w:after="0" w:line="227" w:lineRule="auto"/>
        <w:tabs>
          <w:tab w:leader="none" w:pos="6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57" w:lineRule="exact"/>
        <w:rPr>
          <w:sz w:val="20"/>
          <w:szCs w:val="20"/>
          <w:color w:val="auto"/>
        </w:rPr>
      </w:pPr>
    </w:p>
    <w:p>
      <w:pPr>
        <w:ind w:left="680" w:hanging="657"/>
        <w:spacing w:after="0"/>
        <w:tabs>
          <w:tab w:leader="none" w:pos="6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information contained in these XBRL documents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80" w:name="page81"/>
    <w:bookmarkEnd w:id="80"/>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2"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3, 2024</w:t>
      </w:r>
    </w:p>
    <w:p>
      <w:pPr>
        <w:spacing w:after="0" w:line="200" w:lineRule="exact"/>
        <w:rPr>
          <w:sz w:val="20"/>
          <w:szCs w:val="20"/>
          <w:color w:val="auto"/>
        </w:rPr>
      </w:pPr>
    </w:p>
    <w:p>
      <w:pPr>
        <w:spacing w:after="0" w:line="38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AUTODESK, INC.</w:t>
      </w:r>
    </w:p>
    <w:p>
      <w:pPr>
        <w:spacing w:after="0" w:line="2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(Registrant)</w:t>
      </w:r>
    </w:p>
    <w:p>
      <w:pPr>
        <w:spacing w:after="0" w:line="275"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color w:val="auto"/>
        </w:rPr>
        <w:t>/s/ STEPHEN W. HOPE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13970</wp:posOffset>
            </wp:positionV>
            <wp:extent cx="36182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3618230" cy="8255"/>
                    </a:xfrm>
                    <a:prstGeom prst="rect">
                      <a:avLst/>
                    </a:prstGeom>
                    <a:noFill/>
                  </pic:spPr>
                </pic:pic>
              </a:graphicData>
            </a:graphic>
          </wp:anchor>
        </w:drawing>
      </w:r>
    </w:p>
    <w:p>
      <w:pPr>
        <w:spacing w:after="0" w:line="4"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Stephen W. Hope</w:t>
      </w:r>
    </w:p>
    <w:p>
      <w:pPr>
        <w:spacing w:after="0" w:line="36"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Senior Vice President and Chief Accounting Officer</w:t>
      </w:r>
    </w:p>
    <w:p>
      <w:pPr>
        <w:spacing w:after="0" w:line="36"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460"/>
          </w:cols>
          <w:pgMar w:left="320" w:top="869" w:right="111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Anagnost, certify that:</w:t>
      </w:r>
    </w:p>
    <w:p>
      <w:pPr>
        <w:spacing w:after="0" w:line="96" w:lineRule="exact"/>
        <w:rPr>
          <w:sz w:val="20"/>
          <w:szCs w:val="20"/>
          <w:color w:val="auto"/>
        </w:rPr>
      </w:pPr>
    </w:p>
    <w:p>
      <w:pPr>
        <w:ind w:left="320" w:hanging="315"/>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Autodesk, Inc.;</w:t>
      </w:r>
    </w:p>
    <w:p>
      <w:pPr>
        <w:spacing w:after="0" w:line="82" w:lineRule="exact"/>
        <w:rPr>
          <w:rFonts w:ascii="Times New Roman" w:cs="Times New Roman" w:eastAsia="Times New Roman" w:hAnsi="Times New Roman"/>
          <w:sz w:val="18"/>
          <w:szCs w:val="18"/>
          <w:color w:val="auto"/>
        </w:rPr>
      </w:pPr>
    </w:p>
    <w:p>
      <w:pPr>
        <w:ind w:left="320" w:right="220" w:hanging="315"/>
        <w:spacing w:after="0" w:line="332" w:lineRule="auto"/>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Times New Roman" w:cs="Times New Roman" w:eastAsia="Times New Roman" w:hAnsi="Times New Roman"/>
          <w:sz w:val="16"/>
          <w:szCs w:val="16"/>
          <w:color w:val="auto"/>
        </w:rPr>
      </w:pPr>
    </w:p>
    <w:p>
      <w:pPr>
        <w:ind w:left="320" w:right="20" w:hanging="315"/>
        <w:spacing w:after="0" w:line="268" w:lineRule="auto"/>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ind w:left="320" w:right="160" w:hanging="315"/>
        <w:spacing w:after="0" w:line="256" w:lineRule="auto"/>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3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2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640" w:right="20" w:hanging="319"/>
        <w:spacing w:after="0" w:line="268" w:lineRule="auto"/>
        <w:tabs>
          <w:tab w:leader="none" w:pos="63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Times New Roman" w:cs="Times New Roman" w:eastAsia="Times New Roman" w:hAnsi="Times New Roman"/>
          <w:sz w:val="18"/>
          <w:szCs w:val="18"/>
          <w:color w:val="auto"/>
        </w:rPr>
      </w:pPr>
    </w:p>
    <w:p>
      <w:pPr>
        <w:ind w:left="640" w:right="60" w:hanging="319"/>
        <w:spacing w:after="0" w:line="256" w:lineRule="auto"/>
        <w:tabs>
          <w:tab w:leader="none" w:pos="62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320" w:right="600" w:hanging="315"/>
        <w:spacing w:after="0" w:line="268" w:lineRule="auto"/>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3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640" w:right="180" w:hanging="319"/>
        <w:spacing w:after="0" w:line="268" w:lineRule="auto"/>
        <w:tabs>
          <w:tab w:leader="none" w:pos="62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 2024</w:t>
      </w:r>
    </w:p>
    <w:p>
      <w:pPr>
        <w:spacing w:after="0" w:line="135" w:lineRule="exact"/>
        <w:rPr>
          <w:sz w:val="20"/>
          <w:szCs w:val="20"/>
          <w:color w:val="auto"/>
        </w:rPr>
      </w:pPr>
    </w:p>
    <w:p>
      <w:pPr>
        <w:ind w:left="7540"/>
        <w:spacing w:after="0"/>
        <w:tabs>
          <w:tab w:leader="none" w:pos="78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13970</wp:posOffset>
            </wp:positionV>
            <wp:extent cx="31584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3158490" cy="8255"/>
                    </a:xfrm>
                    <a:prstGeom prst="rect">
                      <a:avLst/>
                    </a:prstGeom>
                    <a:noFill/>
                  </pic:spPr>
                </pic:pic>
              </a:graphicData>
            </a:graphic>
          </wp:anchor>
        </w:drawing>
      </w:r>
    </w:p>
    <w:p>
      <w:pPr>
        <w:spacing w:after="0" w:line="12"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6"/>
          <w:szCs w:val="16"/>
          <w:b w:val="1"/>
          <w:bCs w:val="1"/>
          <w:color w:val="auto"/>
        </w:rPr>
        <w:t>Andrew Anagnost</w:t>
      </w:r>
    </w:p>
    <w:p>
      <w:pPr>
        <w:spacing w:after="0" w:line="2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ind w:left="778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ectPr>
          <w:pgSz w:w="11900" w:h="16838" w:orient="portrait"/>
          <w:cols w:equalWidth="0" w:num="1">
            <w:col w:w="11240"/>
          </w:cols>
          <w:pgMar w:left="320" w:top="961"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Elizabeth Rafael, certify that:</w:t>
      </w:r>
    </w:p>
    <w:p>
      <w:pPr>
        <w:spacing w:after="0" w:line="96" w:lineRule="exact"/>
        <w:rPr>
          <w:sz w:val="20"/>
          <w:szCs w:val="20"/>
          <w:color w:val="auto"/>
        </w:rPr>
      </w:pPr>
    </w:p>
    <w:p>
      <w:pPr>
        <w:ind w:left="320" w:hanging="315"/>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Autodesk, Inc.;</w:t>
      </w:r>
    </w:p>
    <w:p>
      <w:pPr>
        <w:spacing w:after="0" w:line="82" w:lineRule="exact"/>
        <w:rPr>
          <w:rFonts w:ascii="Times New Roman" w:cs="Times New Roman" w:eastAsia="Times New Roman" w:hAnsi="Times New Roman"/>
          <w:sz w:val="18"/>
          <w:szCs w:val="18"/>
          <w:color w:val="auto"/>
        </w:rPr>
      </w:pPr>
    </w:p>
    <w:p>
      <w:pPr>
        <w:ind w:left="320" w:right="220" w:hanging="315"/>
        <w:spacing w:after="0" w:line="332" w:lineRule="auto"/>
        <w:tabs>
          <w:tab w:leader="none" w:pos="3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Times New Roman" w:cs="Times New Roman" w:eastAsia="Times New Roman" w:hAnsi="Times New Roman"/>
          <w:sz w:val="16"/>
          <w:szCs w:val="16"/>
          <w:color w:val="auto"/>
        </w:rPr>
      </w:pPr>
    </w:p>
    <w:p>
      <w:pPr>
        <w:ind w:left="320" w:right="20" w:hanging="315"/>
        <w:spacing w:after="0" w:line="268" w:lineRule="auto"/>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ind w:left="320" w:right="160" w:hanging="315"/>
        <w:spacing w:after="0" w:line="256" w:lineRule="auto"/>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3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2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640" w:right="20" w:hanging="319"/>
        <w:spacing w:after="0" w:line="268" w:lineRule="auto"/>
        <w:tabs>
          <w:tab w:leader="none" w:pos="63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Times New Roman" w:cs="Times New Roman" w:eastAsia="Times New Roman" w:hAnsi="Times New Roman"/>
          <w:sz w:val="18"/>
          <w:szCs w:val="18"/>
          <w:color w:val="auto"/>
        </w:rPr>
      </w:pPr>
    </w:p>
    <w:p>
      <w:pPr>
        <w:ind w:left="640" w:right="60" w:hanging="319"/>
        <w:spacing w:after="0" w:line="256" w:lineRule="auto"/>
        <w:tabs>
          <w:tab w:leader="none" w:pos="62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320" w:right="600" w:hanging="315"/>
        <w:spacing w:after="0" w:line="268" w:lineRule="auto"/>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3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640" w:right="180" w:hanging="319"/>
        <w:spacing w:after="0" w:line="268" w:lineRule="auto"/>
        <w:tabs>
          <w:tab w:leader="none" w:pos="62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 2024</w:t>
      </w:r>
    </w:p>
    <w:p>
      <w:pPr>
        <w:spacing w:after="0" w:line="135"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8"/>
          <w:szCs w:val="18"/>
          <w:color w:val="auto"/>
        </w:rPr>
        <w:t>/s/ ELIZABETH RAFAEL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13970</wp:posOffset>
            </wp:positionV>
            <wp:extent cx="36429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70"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b w:val="1"/>
          <w:bCs w:val="1"/>
          <w:color w:val="auto"/>
        </w:rPr>
        <w:t>Elizabeth Rafael</w:t>
      </w:r>
    </w:p>
    <w:p>
      <w:pPr>
        <w:spacing w:after="0" w:line="2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6"/>
          <w:szCs w:val="16"/>
          <w:b w:val="1"/>
          <w:bCs w:val="1"/>
          <w:color w:val="auto"/>
        </w:rPr>
        <w:t>Interim Chief Financial Officer</w:t>
      </w:r>
    </w:p>
    <w:p>
      <w:pPr>
        <w:ind w:left="742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p>
      <w:pPr>
        <w:sectPr>
          <w:pgSz w:w="11900" w:h="16838" w:orient="portrait"/>
          <w:cols w:equalWidth="0" w:num="1">
            <w:col w:w="11240"/>
          </w:cols>
          <w:pgMar w:left="320" w:top="96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7" w:lineRule="exact"/>
        <w:rPr>
          <w:sz w:val="20"/>
          <w:szCs w:val="20"/>
          <w:color w:val="auto"/>
        </w:rPr>
      </w:pPr>
    </w:p>
    <w:p>
      <w:pPr>
        <w:ind w:right="120" w:firstLine="316"/>
        <w:spacing w:after="0" w:line="252" w:lineRule="auto"/>
        <w:rPr>
          <w:sz w:val="20"/>
          <w:szCs w:val="20"/>
          <w:color w:val="auto"/>
        </w:rPr>
      </w:pPr>
      <w:r>
        <w:rPr>
          <w:rFonts w:ascii="Times New Roman" w:cs="Times New Roman" w:eastAsia="Times New Roman" w:hAnsi="Times New Roman"/>
          <w:sz w:val="18"/>
          <w:szCs w:val="18"/>
          <w:color w:val="auto"/>
        </w:rPr>
        <w:t>Based on my knowledge, I, Andrew Anagnost, certify, pursuant to 18 U.S.C. Section 1350, as adopted pursuant to Section 906 of the Sarbanes-Oxley Act of 2002, that the Quarterly Report of Autodesk, Inc. on Form 10-Q for the quarterly period ended July 31, 2024,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3, 2024</w:t>
      </w:r>
    </w:p>
    <w:p>
      <w:pPr>
        <w:spacing w:after="0" w:line="135" w:lineRule="exact"/>
        <w:rPr>
          <w:sz w:val="20"/>
          <w:szCs w:val="20"/>
          <w:color w:val="auto"/>
        </w:rPr>
      </w:pPr>
    </w:p>
    <w:p>
      <w:pPr>
        <w:ind w:left="7320"/>
        <w:spacing w:after="0"/>
        <w:tabs>
          <w:tab w:leader="none" w:pos="76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13970</wp:posOffset>
            </wp:positionV>
            <wp:extent cx="34512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3451225" cy="8255"/>
                    </a:xfrm>
                    <a:prstGeom prst="rect">
                      <a:avLst/>
                    </a:prstGeom>
                    <a:noFill/>
                  </pic:spPr>
                </pic:pic>
              </a:graphicData>
            </a:graphic>
          </wp:anchor>
        </w:drawing>
      </w:r>
    </w:p>
    <w:p>
      <w:pPr>
        <w:spacing w:after="0" w:line="1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Andrew Anagnost</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pacing w:after="0" w:line="200" w:lineRule="exact"/>
        <w:rPr>
          <w:sz w:val="20"/>
          <w:szCs w:val="20"/>
          <w:color w:val="auto"/>
        </w:rPr>
      </w:pPr>
    </w:p>
    <w:p>
      <w:pPr>
        <w:spacing w:after="0" w:line="219" w:lineRule="exact"/>
        <w:rPr>
          <w:sz w:val="20"/>
          <w:szCs w:val="20"/>
          <w:color w:val="auto"/>
        </w:rPr>
      </w:pPr>
    </w:p>
    <w:p>
      <w:pPr>
        <w:ind w:right="40" w:firstLine="316"/>
        <w:spacing w:after="0" w:line="252" w:lineRule="auto"/>
        <w:rPr>
          <w:sz w:val="20"/>
          <w:szCs w:val="20"/>
          <w:color w:val="auto"/>
        </w:rPr>
      </w:pPr>
      <w:r>
        <w:rPr>
          <w:rFonts w:ascii="Times New Roman" w:cs="Times New Roman" w:eastAsia="Times New Roman" w:hAnsi="Times New Roman"/>
          <w:sz w:val="18"/>
          <w:szCs w:val="18"/>
          <w:color w:val="auto"/>
        </w:rPr>
        <w:t>Based on my knowledge, I, Elizabeth Rafael, certify, pursuant to 18 U.S.C. Section 1350, as adopted pursuant to Section 906 of the Sarbanes-Oxley Act of 2002, that the Quarterly Report of Autodesk, Inc. on Form 10-Q for the quarterly period ended July 31, 2024,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3, 2024</w:t>
      </w:r>
    </w:p>
    <w:p>
      <w:pPr>
        <w:spacing w:after="0" w:line="135"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/s/ ELIZABETH RAFAEL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13970</wp:posOffset>
            </wp:positionV>
            <wp:extent cx="34512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3451225" cy="8255"/>
                    </a:xfrm>
                    <a:prstGeom prst="rect">
                      <a:avLst/>
                    </a:prstGeom>
                    <a:noFill/>
                  </pic:spPr>
                </pic:pic>
              </a:graphicData>
            </a:graphic>
          </wp:anchor>
        </w:drawing>
      </w:r>
    </w:p>
    <w:p>
      <w:pPr>
        <w:spacing w:after="0" w:line="1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Elizabeth Rafael</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Interim Chief Financial Officer</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sectPr>
      <w:pgSz w:w="11900" w:h="16838" w:orient="portrait"/>
      <w:cols w:equalWidth="0" w:num="1">
        <w:col w:w="11240"/>
      </w:cols>
      <w:pgMar w:left="320" w:top="9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6"/>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lowerRoman"/>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lvl w:ilvl="1">
      <w:lvlJc w:val="left"/>
      <w:lvlText w:val="%2"/>
      <w:numFmt w:val="decimal"/>
      <w:start w:val="10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24" Type="http://schemas.openxmlformats.org/officeDocument/2006/relationships/hyperlink" Target="https://www.sec.gov/Archives/edgar/data/769397/000121390024062270/ea020958401ex3-1_autodesk.htm" TargetMode="External"/><Relationship Id="rId125" Type="http://schemas.openxmlformats.org/officeDocument/2006/relationships/hyperlink" Target="https://www.sec.gov/Archives/edgar/data/769397/000121390024062270/ea020958401ex3-2_autodes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2024-09-03T15:34:01Z</dcterms:created>
  <dcterms:modified xsi:type="dcterms:W3CDTF">2024-09-03T15:34:01Z</dcterms:modified>
</cp:coreProperties>
</file>