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20" w:type="dxa"/>
            <w:vAlign w:val="bottom"/>
            <w:gridSpan w:val="6"/>
          </w:tcPr>
          <w:p>
            <w:pPr>
              <w:jc w:val="center"/>
              <w:ind w:right="30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520" w:type="dxa"/>
            <w:vAlign w:val="bottom"/>
            <w:gridSpan w:val="6"/>
          </w:tcPr>
          <w:p>
            <w:pPr>
              <w:jc w:val="center"/>
              <w:ind w:right="30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1540" w:type="dxa"/>
            <w:vAlign w:val="bottom"/>
          </w:tcPr>
          <w:p>
            <w:pPr>
              <w:spacing w:after="0"/>
              <w:rPr>
                <w:sz w:val="17"/>
                <w:szCs w:val="17"/>
                <w:color w:val="auto"/>
              </w:rPr>
            </w:pPr>
          </w:p>
        </w:tc>
      </w:tr>
      <w:tr>
        <w:trPr>
          <w:trHeight w:val="20"/>
        </w:trPr>
        <w:tc>
          <w:tcPr>
            <w:tcW w:w="68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38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8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49"/>
        </w:trPr>
        <w:tc>
          <w:tcPr>
            <w:tcW w:w="6820" w:type="dxa"/>
            <w:vAlign w:val="bottom"/>
            <w:gridSpan w:val="4"/>
          </w:tcPr>
          <w:p>
            <w:pPr>
              <w:spacing w:after="0" w:line="149" w:lineRule="exact"/>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84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r>
        <w:trPr>
          <w:trHeight w:val="196"/>
        </w:trPr>
        <w:tc>
          <w:tcPr>
            <w:tcW w:w="10660" w:type="dxa"/>
            <w:vAlign w:val="bottom"/>
            <w:gridSpan w:val="9"/>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 x</w:t>
            </w:r>
          </w:p>
        </w:tc>
      </w:tr>
    </w:tbl>
    <w:p>
      <w:pPr>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2"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20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1" w:lineRule="exact"/>
        <w:rPr>
          <w:sz w:val="24"/>
          <w:szCs w:val="24"/>
          <w:color w:val="auto"/>
        </w:rPr>
      </w:pPr>
    </w:p>
    <w:p>
      <w:pPr>
        <w:ind w:left="1400"/>
        <w:spacing w:after="0"/>
        <w:tabs>
          <w:tab w:leader="none" w:pos="3020" w:val="left"/>
          <w:tab w:leader="none" w:pos="5860" w:val="left"/>
          <w:tab w:leader="none" w:pos="870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21" w:lineRule="exact"/>
        <w:rPr>
          <w:sz w:val="24"/>
          <w:szCs w:val="24"/>
          <w:color w:val="auto"/>
        </w:rPr>
      </w:pPr>
    </w:p>
    <w:p>
      <w:pPr>
        <w:ind w:left="340"/>
        <w:spacing w:after="0" w:line="161" w:lineRule="exact"/>
        <w:tabs>
          <w:tab w:leader="none" w:pos="702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by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6" w:lineRule="exact"/>
        <w:rPr>
          <w:sz w:val="24"/>
          <w:szCs w:val="24"/>
          <w:color w:val="auto"/>
        </w:rPr>
      </w:pPr>
    </w:p>
    <w:p>
      <w:pPr>
        <w:ind w:right="140" w:firstLine="324"/>
        <w:spacing w:after="0" w:line="260" w:lineRule="auto"/>
        <w:rPr>
          <w:sz w:val="20"/>
          <w:szCs w:val="20"/>
          <w:color w:val="auto"/>
        </w:rPr>
      </w:pPr>
      <w:r>
        <w:rPr>
          <w:rFonts w:ascii="Arial" w:cs="Arial" w:eastAsia="Arial" w:hAnsi="Arial"/>
          <w:sz w:val="13"/>
          <w:szCs w:val="13"/>
          <w:color w:val="auto"/>
        </w:rPr>
        <w:t>As of July 31, 2011, the last business day of the registrant’s most recently completed second fiscal quarter, there were approximately 227.9 million shares of the registrant’s common stock outstanding that were held by non-affiliates, and the aggregate market value of such shares held by non-affiliates of the registrant (based on the closing sale price of such shares on the NASDAQ Global Select Market on July 29, 2011, the last trading day of our second fiscal quarter) was approximately $7.8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ind w:left="340"/>
        <w:spacing w:after="0"/>
        <w:rPr>
          <w:sz w:val="20"/>
          <w:szCs w:val="20"/>
          <w:color w:val="auto"/>
        </w:rPr>
      </w:pPr>
      <w:r>
        <w:rPr>
          <w:rFonts w:ascii="Arial" w:cs="Arial" w:eastAsia="Arial" w:hAnsi="Arial"/>
          <w:sz w:val="14"/>
          <w:szCs w:val="14"/>
          <w:color w:val="auto"/>
        </w:rPr>
        <w:t>As of February 29, 2012, registrant had outstanding approximately 227.3 million shares of common stock.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134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6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rPr>
              <w:t>AUTODESK, INC. FORM 10-K</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Page</w:t>
            </w:r>
          </w:p>
        </w:tc>
      </w:tr>
      <w:tr>
        <w:trPr>
          <w:trHeight w:val="189"/>
        </w:trPr>
        <w:tc>
          <w:tcPr>
            <w:tcW w:w="580" w:type="dxa"/>
            <w:vAlign w:val="bottom"/>
            <w:tcBorders>
              <w:bottom w:val="single" w:sz="8" w:color="0000FF"/>
            </w:tcBorders>
          </w:tcPr>
          <w:p>
            <w:pPr>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w:t>
              </w:r>
            </w:hyperlink>
          </w:p>
        </w:tc>
        <w:tc>
          <w:tcPr>
            <w:tcW w:w="90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Risk Factors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42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Unresolved Staff Comments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21">
              <w:r>
                <w:rPr>
                  <w:rFonts w:ascii="Arial" w:cs="Arial" w:eastAsia="Arial" w:hAnsi="Arial"/>
                  <w:sz w:val="18"/>
                  <w:szCs w:val="18"/>
                  <w:color w:val="0000FF"/>
                  <w:w w:val="85"/>
                </w:rPr>
                <w:t>Properties</w:t>
              </w:r>
            </w:hyperlink>
          </w:p>
        </w:tc>
        <w:tc>
          <w:tcPr>
            <w:tcW w:w="1300" w:type="dxa"/>
            <w:vAlign w:val="bottom"/>
            <w:gridSpan w:val="6"/>
          </w:tcPr>
          <w:p>
            <w:pPr>
              <w:spacing w:after="0"/>
              <w:rPr>
                <w:sz w:val="24"/>
                <w:szCs w:val="24"/>
                <w:color w:val="auto"/>
              </w:rPr>
            </w:pPr>
          </w:p>
        </w:tc>
        <w:tc>
          <w:tcPr>
            <w:tcW w:w="638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23</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Legal Proceedings</w:t>
              </w:r>
            </w:hyperlink>
          </w:p>
        </w:tc>
        <w:tc>
          <w:tcPr>
            <w:tcW w:w="708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420" w:type="dxa"/>
            <w:vAlign w:val="bottom"/>
            <w:gridSpan w:val="1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Mine Safety Disclosures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372"/>
        </w:trPr>
        <w:tc>
          <w:tcPr>
            <w:tcW w:w="1480" w:type="dxa"/>
            <w:vAlign w:val="bottom"/>
            <w:gridSpan w:val="5"/>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840" w:type="dxa"/>
            <w:vAlign w:val="bottom"/>
            <w:gridSpan w:val="3"/>
          </w:tcPr>
          <w:p>
            <w:pPr>
              <w:spacing w:after="0"/>
              <w:rPr>
                <w:sz w:val="24"/>
                <w:szCs w:val="24"/>
                <w:color w:val="auto"/>
              </w:rPr>
            </w:pPr>
          </w:p>
        </w:tc>
        <w:tc>
          <w:tcPr>
            <w:tcW w:w="8080" w:type="dxa"/>
            <w:vAlign w:val="bottom"/>
            <w:gridSpan w:val="18"/>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Market for Registrant’s Common Equity, Related Stockholder Matters and Issuer Purchases of Equity Securities</w:t>
              </w:r>
            </w:hyperlink>
          </w:p>
        </w:tc>
        <w:tc>
          <w:tcPr>
            <w:tcW w:w="34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Selected Financial Data</w:t>
              </w:r>
            </w:hyperlink>
          </w:p>
        </w:tc>
        <w:tc>
          <w:tcPr>
            <w:tcW w:w="6360" w:type="dxa"/>
            <w:vAlign w:val="bottom"/>
            <w:gridSpan w:val="13"/>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19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4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6"/>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Changes in and Disagreements With Accountants on Accounting and Financial Disclosure</w:t>
              </w:r>
            </w:hyperlink>
          </w:p>
        </w:tc>
        <w:tc>
          <w:tcPr>
            <w:tcW w:w="190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82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8"/>
              </w:rPr>
            </w:pPr>
            <w:hyperlink w:anchor="page81">
              <w:r>
                <w:rPr>
                  <w:rFonts w:ascii="Arial" w:cs="Arial" w:eastAsia="Arial" w:hAnsi="Arial"/>
                  <w:sz w:val="18"/>
                  <w:szCs w:val="18"/>
                  <w:color w:val="0000FF"/>
                  <w:w w:val="88"/>
                </w:rPr>
                <w:t>Controls and Procedures</w:t>
              </w:r>
            </w:hyperlink>
          </w:p>
        </w:tc>
        <w:tc>
          <w:tcPr>
            <w:tcW w:w="4740" w:type="dxa"/>
            <w:vAlign w:val="bottom"/>
            <w:gridSpan w:val="10"/>
          </w:tcPr>
          <w:p>
            <w:pPr>
              <w:spacing w:after="0"/>
              <w:rPr>
                <w:sz w:val="24"/>
                <w:szCs w:val="24"/>
                <w:color w:val="auto"/>
              </w:rPr>
            </w:pPr>
          </w:p>
        </w:tc>
        <w:tc>
          <w:tcPr>
            <w:tcW w:w="190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66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r>
      <w:tr>
        <w:trPr>
          <w:trHeight w:val="372"/>
        </w:trPr>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81">
              <w:r>
                <w:rPr>
                  <w:rFonts w:ascii="Arial" w:cs="Arial" w:eastAsia="Arial" w:hAnsi="Arial"/>
                  <w:sz w:val="18"/>
                  <w:szCs w:val="18"/>
                  <w:b w:val="1"/>
                  <w:bCs w:val="1"/>
                  <w:color w:val="0000FF"/>
                </w:rPr>
                <w:t>PART III</w:t>
              </w:r>
            </w:hyperlink>
          </w:p>
        </w:tc>
        <w:tc>
          <w:tcPr>
            <w:tcW w:w="7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Directors, Executive Officers and Corporate Governance</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83</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Executive Compensation</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84</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Security Ownership of Certain Beneficial Owners and Management and Related Stockholder Matters</w:t>
              </w:r>
            </w:hyperlink>
          </w:p>
        </w:tc>
        <w:tc>
          <w:tcPr>
            <w:tcW w:w="112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12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Principal Accounting Fees and Services</w:t>
              </w:r>
            </w:hyperlink>
          </w:p>
        </w:tc>
        <w:tc>
          <w:tcPr>
            <w:tcW w:w="296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r>
      <w:tr>
        <w:trPr>
          <w:trHeight w:val="372"/>
        </w:trPr>
        <w:tc>
          <w:tcPr>
            <w:tcW w:w="720" w:type="dxa"/>
            <w:vAlign w:val="bottom"/>
            <w:tcBorders>
              <w:bottom w:val="single" w:sz="8" w:color="0000FF"/>
            </w:tcBorders>
            <w:gridSpan w:val="3"/>
          </w:tcPr>
          <w:p>
            <w:pPr>
              <w:spacing w:after="0"/>
              <w:rPr>
                <w:rFonts w:ascii="Arial" w:cs="Arial" w:eastAsia="Arial" w:hAnsi="Arial"/>
                <w:sz w:val="18"/>
                <w:szCs w:val="18"/>
                <w:b w:val="1"/>
                <w:bCs w:val="1"/>
                <w:color w:val="0000FF"/>
                <w:w w:val="98"/>
              </w:rPr>
            </w:pPr>
            <w:hyperlink w:anchor="page83">
              <w:r>
                <w:rPr>
                  <w:rFonts w:ascii="Arial" w:cs="Arial" w:eastAsia="Arial" w:hAnsi="Arial"/>
                  <w:sz w:val="18"/>
                  <w:szCs w:val="18"/>
                  <w:b w:val="1"/>
                  <w:bCs w:val="1"/>
                  <w:color w:val="0000FF"/>
                  <w:w w:val="98"/>
                </w:rPr>
                <w:t>PART IV</w:t>
              </w:r>
            </w:hyperlink>
          </w:p>
        </w:tc>
        <w:tc>
          <w:tcPr>
            <w:tcW w:w="76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Exhibits and Financial Statement Schedules</w:t>
              </w:r>
            </w:hyperlink>
          </w:p>
        </w:tc>
        <w:tc>
          <w:tcPr>
            <w:tcW w:w="526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20" w:type="dxa"/>
            <w:vAlign w:val="bottom"/>
            <w:tcBorders>
              <w:left w:val="single" w:sz="8" w:color="0000FF"/>
            </w:tcBorders>
            <w:gridSpan w:val="8"/>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1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526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b w:val="1"/>
                <w:bCs w:val="1"/>
                <w:color w:val="auto"/>
              </w:rPr>
              <w:t>3</w:t>
            </w: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INFORMATION</w:t>
      </w:r>
    </w:p>
    <w:p>
      <w:pPr>
        <w:spacing w:after="0" w:line="17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financial results; our belief that the strength of our channel network, technological leadership, brand recognition, breadth of product line and large installed base are benefitting us as global economies recover; expected trends in certain financial metrics; expected market trends, including the growth of cloud, mobile and social computing; our ability to successfully expand adoption of our products, our ability to gain market acceptance of new businesses and sales initiatives, and our ability to successfully increase sales of product suites as part of our overall sales strategy; our belief that emerging economies continue to present long-term growth opportunities for us; the impact of our restructuring activities; the sufficiency of our cash to meet our working capital and operating resource expenditure requirements over the next 12 months and our ability to generate sufficient future taxable income in appropriate tax jurisdictions to realize our net deferred tax assets.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Exchange Commission. We assume no obligation to update forward-looking statements to reflect events that occur or circumstances that exist after the date on which they were made.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are a world leading design software and services company, offering customers productive business solutions through powerful technology products and services. We serve customers in the architecture, engineering and construction; manufacturing; and digital media and entertainment industries. Our sophisticated software products enable our customers to experience their ideas before they are real by allowing them to imagine, design and create their ideas and to visualize, simulate and analyze real-world performance early in the design process by creating digital prototypes. These capabilities allow our customers to optimize and improve their designs, help save time and money, improve quality and foster innovation. Our software products are sold globally, both directly to customers and through a network of resellers and distributors.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organized into four reportable operating segments:</w:t>
      </w:r>
    </w:p>
    <w:p>
      <w:pPr>
        <w:spacing w:after="0" w:line="117"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38% of our net revenue in fiscal 2012,</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28% of our net revenue in fiscal 2012,</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24% of our net revenue in fiscal 2012;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10% of our net revenue in fiscal 2012.</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PSEB, AEC and MFG segments derive revenue from the sale of licenses for software products and services to customers who design, build, manage or own building, manufacturing and infrastructure projects. In addition to software products, the PSEB, AEC and MFG segments offer a range of services including consulting, support and training, largely dedicated to enhancing our ability to sell licenses to our software products. Our M&amp;E segment derives revenue from the sale of licenses of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products and services of these segments include the following:</w:t>
      </w:r>
    </w:p>
    <w:p>
      <w:pPr>
        <w:spacing w:after="0" w:line="252"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Flagship products, which accounted for approximately 58% of our net revenue in fiscal 2012, are our core standalone horizontal, vertical and model-based design products including AutoCAD, AutoCAD LT, AutoCAD Civil 3D, AutoCAD Mechanical, AutoCAD Architecture, Autodesk 3ds Max and Autodesk Maya.</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Suites, which accounted for approximately 27% of our net revenue in fiscal 2012, are a combination of products that target a specific user objective (product design, building design, etc.) and support a set of workflows for that objective, including Autodesk Product Design Suites, Autodesk Building Design Suites, Autodesk Educational Suites and Autodesk Entertainment Creation Suites.</w:t>
      </w:r>
    </w:p>
    <w:p>
      <w:pPr>
        <w:spacing w:after="0" w:line="4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and Adjacent products, which accounted for approximately 16% of our net revenue in fiscal 2012, are new product offerings as well as products that are not considered flagship or suites including Autodesk Creative Finishing products, Autodesk Moldflow products, Autodesk Navisworks products and Autodesk Robot Structural Analysis.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PSEB</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PSEB segment includes our design product, AutoCAD. Our AutoCAD product is a platform product that underpins our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design products, AutoCAD and AutoCAD LT, as well as the Autodesk Design Suite and many other design and consumer products. The segment’s principal product offerings included the following during fiscal 2012:</w:t>
      </w:r>
    </w:p>
    <w:p>
      <w:pPr>
        <w:spacing w:after="0" w:line="227" w:lineRule="exact"/>
        <w:rPr>
          <w:sz w:val="20"/>
          <w:szCs w:val="20"/>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AutoCAD</w:t>
      </w:r>
    </w:p>
    <w:p>
      <w:pPr>
        <w:spacing w:after="0" w:line="104"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193"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AutoCAD LT</w:t>
      </w:r>
    </w:p>
    <w:p>
      <w:pPr>
        <w:spacing w:after="0" w:line="9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AutoCAD LT software is purpose built for professional drafting and detailing. AutoCAD LT includes document sharing 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AEC</w:t>
      </w:r>
    </w:p>
    <w:p>
      <w:pPr>
        <w:spacing w:after="0" w:line="9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AEC software products help to improve the way building, civil infrastructure, process plant and construction projects are designed, built and managed. A broad portfolio of solutions enables greater efficiency, accuracy and sustainability across the entire project lifecycle. Our AEC solutions include advanced technology for building information modeling (“BIM”), AutoCAD-based design and documentation productivity software, sustainable design analysis applications, collaboration and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 during fiscal 2012:</w:t>
      </w:r>
    </w:p>
    <w:p>
      <w:pPr>
        <w:spacing w:after="0" w:line="197" w:lineRule="exact"/>
        <w:rPr>
          <w:sz w:val="20"/>
          <w:szCs w:val="20"/>
          <w:color w:val="auto"/>
        </w:rPr>
      </w:pPr>
    </w:p>
    <w:p>
      <w:pPr>
        <w:ind w:left="11340"/>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Autodesk Revit</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85" w:lineRule="exact"/>
        <w:rPr>
          <w:sz w:val="20"/>
          <w:szCs w:val="20"/>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AutoCAD Civil 3D</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215" w:lineRule="exact"/>
        <w:rPr>
          <w:sz w:val="20"/>
          <w:szCs w:val="20"/>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AutoCAD Architecture</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Designed for architects and built on the AutoCAD platform, AutoCAD Architecture software includes powerful Architecture industry-specific tools to gain efficiency and improve coordination.</w:t>
      </w:r>
    </w:p>
    <w:p>
      <w:pPr>
        <w:spacing w:after="0" w:line="197"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AutoCAD Map 3D</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(“GIS”) and asset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MFG</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MFG segment provides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Our solutions for digital prototyping are scalable, attainable, cost-effective and allow for real-world simulation, enabling a broad group of manufacturers to realize benefits with minimal disruption to existing workflows. MFG’s principal product offerings included the following during fiscal 2012:</w:t>
      </w:r>
    </w:p>
    <w:p>
      <w:pPr>
        <w:spacing w:after="0" w:line="215"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Autodesk Inventor</w:t>
      </w:r>
    </w:p>
    <w:p>
      <w:pPr>
        <w:spacing w:after="0" w:line="9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Autodesk Inventor allows manufacturers to go beyond 3D design to digital prototyping by giving engineers a comprehensive and flexible set of tools for 3D mechanical design, simulation, analysis, tooling, visualization and documentation. With Autodesk Inventor, engineers can integrate AutoCAD drawings and model-based design data into a single digital model, creating a virtual representation of a final product that enables them to validate the form, fit, and function of the product before it is ever built. Digital prototyping with Autodesk Inventor enables manufacturers to design, visualize, and simulate products digitally, helping them to build better products, reduce development costs, and get to market faster.</w:t>
      </w:r>
    </w:p>
    <w:p>
      <w:pPr>
        <w:spacing w:after="0" w:line="200"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AutoCAD Mechanical</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plus comprehensive libraries of standards-based parts and tools for automating common design tasks.</w:t>
      </w:r>
    </w:p>
    <w:p>
      <w:pPr>
        <w:spacing w:after="0" w:line="208" w:lineRule="exact"/>
        <w:rPr>
          <w:sz w:val="20"/>
          <w:szCs w:val="20"/>
          <w:color w:val="auto"/>
        </w:rPr>
      </w:pPr>
    </w:p>
    <w:p>
      <w:pPr>
        <w:ind w:left="340" w:hanging="170"/>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Autodesk Moldflow</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M&amp;E</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M&amp;E segment is comprised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primarily sold as turnkey solutions for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editing, finishing and visual effects design, and color grading. Principal product offerings in our M&amp;E segment’s Animation and Creative Finishing product groups included the following during fiscal 2012:</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Animation</w:t>
      </w:r>
    </w:p>
    <w:p>
      <w:pPr>
        <w:spacing w:after="0" w:line="90" w:lineRule="exact"/>
        <w:rPr>
          <w:sz w:val="20"/>
          <w:szCs w:val="20"/>
          <w:color w:val="auto"/>
        </w:rPr>
      </w:pPr>
    </w:p>
    <w:p>
      <w:pPr>
        <w:ind w:left="340" w:hanging="170"/>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Autodesk 3ds Max</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208" w:lineRule="exact"/>
        <w:rPr>
          <w:sz w:val="20"/>
          <w:szCs w:val="20"/>
          <w:color w:val="auto"/>
        </w:rPr>
      </w:pPr>
    </w:p>
    <w:p>
      <w:pPr>
        <w:ind w:left="340" w:hanging="170"/>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Autodesk Maya</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and extraordinary visual effects.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Creative Finishing</w:t>
      </w:r>
    </w:p>
    <w:p>
      <w:pPr>
        <w:spacing w:after="0" w:line="90" w:lineRule="exact"/>
        <w:rPr>
          <w:sz w:val="20"/>
          <w:szCs w:val="20"/>
          <w:color w:val="auto"/>
        </w:rPr>
      </w:pPr>
    </w:p>
    <w:p>
      <w:pPr>
        <w:ind w:left="340" w:hanging="170"/>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Autodesk Flame, Autodesk Smoke, Autodesk Lustre and Autodesk Flare</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Smoke software is a non-linear and non-compressed online editing, effects and finishing software application and is used in commercials, music videos, corporate video, film as well as broadcast design projects. Autodesk Lustre software is a high-performance color grading solution used by artists for creative look development and final color and lighting effects for both film and television. Autodesk Flare software is a software solution that offers the compositing capabilities of Flame contributing to faster project completion.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Design and Creation Suites</w:t>
      </w:r>
    </w:p>
    <w:p>
      <w:pPr>
        <w:spacing w:after="0" w:line="17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In addition to the principal product segment offerings above, we also offer design and creation suites that combine multiple products across segments. Our new design and creation suites were introduced during the second quarter of fiscal 2012 and provide comprehensive workflows for specific needs in building design, product design, entertainment creation and more. These compatible sets of tools offer interoperability and capabilities that leverage the familiarity of our leading design and visualization solutions, in a single economical and convenient package. Our new design and creation suites include the following product classes: Autodesk Design Suites, Building Design Suites, Entertainment Creation Suites, Factory Design Suites, Infrastructure Design Suites, Plant Design Suites and Product Design Suites.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 We dedicate considerable technical and financial resources to research and development to further enhance our existing products and to create new products and technologies. Research and development expenditures were $566.5 million or 26% of fiscal 2012 net revenue, $496.2 million or 25% of fiscal 2011 net revenue and $457.5 million or 27% of fiscal 2010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2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33"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our business and our customers benefit from our relationships with a network of over 3,600 third-party developers who develop and sell their own products that further enhance the range of integrated solutions available to our customers.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2,000 resellers and distributors worldwide. For fiscal 2012, approximately 84%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strategies. Sales through our largest distributor, Tech Data Corporation and its affiliates, accounted for 17%, 16% and 14% of our net revenue for fiscal years 2012, 2011 and 2010, respectively. On October 27, 2011, Tech Data purchased certain assets of Mensch and Maschine Software (“MuM”), which has been a distributor of our products in Europe. The acquisition concentrates additional sales through Tech Data, which on a consolidated basis would have accounted for 21%, 22% and 21% of our net revenue for fiscal years 2012, 2011 and 2010, if the acquisition had taken place at the beginning of fiscal 2010. We believe our business is not substantially dependent on Tech Data, including following the acquisition of certain assets of MuM.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or reseller accounted for 10% or more of our revenue.</w:t>
      </w:r>
    </w:p>
    <w:p>
      <w:pPr>
        <w:spacing w:after="0" w:line="11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2012 net revenue in the Americas, EMEA and APAC was $798.5 million, $862.2 million and $554.9 million, respectively. We intend to continue to make our products available in foreign languages. We believe that international sales will continue to comprise the majority of our total net revenue. Adverse economic conditions in the countries that contribute a significant portion of our net revenue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advertising in business and trade journals and social media. We have a worldwide user group organization and we have created online user communities dedicated to the exchange of information related to the use of our products.</w:t>
      </w:r>
    </w:p>
    <w:p>
      <w:pPr>
        <w:spacing w:after="0" w:line="133"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In addition to sales of new software licenses, we generate revenue through our maintenance program and upgrade pricing options. These choices are available for a majority of our products and offer our customers two alternative means of migrating to the most recent version of our products.</w:t>
      </w:r>
    </w:p>
    <w:p>
      <w:pPr>
        <w:spacing w:after="0" w:line="7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Under the maintenance program, known by our user community as the Autodesk Subscription Program,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Revenue from our maintenance program is reported separately on our Consolidated Statements of Operations and is referred to throughout this document as maintenance revenue.</w:t>
      </w:r>
    </w:p>
    <w:p>
      <w:pPr>
        <w:spacing w:after="0" w:line="10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Upgrade pricing offers customers who are not on our maintenance program an opportunity to purchase upgrades to the most current version of the same product for an incremental fee at current available prices, but only to the extent that they are still on an Autodesk-supported version of our product. An upgrade also includes a crossgrade where a customer pays an incremental fee at currently available prices toward the purchase of a different product, which generally has a higher price. The cost of an upgrade is less than the cost of purchasing a new license. During fiscal 2012, customers could upgrade from software that is three versions prior to the latest version available or newer at a percentage of a full license; the license of the previous version of the product is terminated. Revenue from upgrades are reported on our Consolidated Statements of Operations in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“License and other.”</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9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94"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We offer education programs and specially priced software licensing options tailored for educational institutions, students, and faculty to train the next generation of users. We also offer classroom support, including standardized curricula developed by educators, instructor development, and a rich assortment of online learning resources. Users are trained on our products at educational institutions, reducing the cost of training for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94"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3,600 developers in the Autodesk Developer Network create interoperable products that further enhance the range of integrated solutions available to our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3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Our competitors range from large, global, publicly traded companies to small, geographically focused firms to solutions produced in-house by their users. Our primary global competitors in these segments include Adobe Systems Incorporated, ANSYS, Inc., Bentley Systems, Incorporated, Dassault Systèmes S.A. and its subsidiary Dassault Systèmes SolidWorks Corp., Environmental Systems Research Institute, Inc. (ESRI), Google Inc., Intergraph Corporation, a wholly owned subsidiary of Hexagon AB, Nemetschek AG, Parametric Technology Corporation, Siemens Product Lifecycle Software, Inc., and Trimble Navigation Limited.</w:t>
      </w:r>
    </w:p>
    <w:p>
      <w:pPr>
        <w:spacing w:after="0" w:line="134"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Thomson, among others.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0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software industry has limited barriers to entry, and the availability of computing power with continually expanding performance at progressively lower prices contributes to the ease of market entry. The design software market is characterized by vigorous competition in each of the vertical markets in which we compete, both from existing competitors and by entry of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profit margins and loss of market share, any of which could harm our business. See Item 1A, “Risk Factors,” for further discussion of risks regarding competition.</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believe that our future results depend largely upon our abilities to better serve customers by offering new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3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3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2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retain ownership of software we develop. All software is licensed to users and primarily provided in object code pursuant to either shrink-wrap, embedded or on-line licenses, or signed license agreements. These agreements contain restrictions on duplication, disclosure and transfer.</w:t>
      </w:r>
    </w:p>
    <w:p>
      <w:pPr>
        <w:spacing w:after="0" w:line="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94"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Production of our PSEB, AEC, MFG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such as DVDs and USB flash drives are available from multiple sources. We offer our maintenance customers an electronic software download option for selected product updates. Customers who choose electronic fulfillment receive the latest version of the software from our vendor’s secure servers. For certain products, user manuals are made available by request only as we work toward reducing our cost of shipping and production as well as the use of natural resources. User manuals and packaging materials are produced to our specifications by outside sources. Production is either performed in leased facilities operated by us or by independent third-party contractors. To date, we have not experienced any material difficulties or delays in the production of our software and documentation.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As of January 31, 2012, we employed approximately 7,500 people. None of our employees in the United States are represented by a labor union; however,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could negatively impact our business in the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ACQUISTIONS</w:t>
      </w:r>
    </w:p>
    <w:p>
      <w:pPr>
        <w:spacing w:after="0" w:line="9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or certain technology related assets focused in specific markets or industries. For the three years ended January 31, 2012, 2011 and 2010, we acquired a number of companies and certain technology related assets, some of which were accounted for as business combinations. The following acquisitions have had a significant impact on our business: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gridSpan w:val="3"/>
          </w:tcPr>
          <w:p>
            <w:pPr>
              <w:ind w:left="440"/>
              <w:spacing w:after="0"/>
              <w:rPr>
                <w:sz w:val="20"/>
                <w:szCs w:val="20"/>
                <w:color w:val="auto"/>
              </w:rPr>
            </w:pPr>
            <w:r>
              <w:rPr>
                <w:rFonts w:ascii="Arial" w:cs="Arial" w:eastAsia="Arial" w:hAnsi="Arial"/>
                <w:sz w:val="14"/>
                <w:szCs w:val="14"/>
                <w:b w:val="1"/>
                <w:bCs w:val="1"/>
                <w:color w:val="auto"/>
              </w:rPr>
              <w:t>Date of closing</w:t>
            </w:r>
          </w:p>
        </w:tc>
        <w:tc>
          <w:tcPr>
            <w:tcW w:w="8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6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Details</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9"/>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2011</w:t>
            </w: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T-Splines, Inc. ("T-</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The T-Splines acquisition strengthens our Digital Prototyping portfolio with more flexible free-form</w:t>
            </w:r>
          </w:p>
        </w:tc>
      </w:tr>
      <w:tr>
        <w:trPr>
          <w:trHeight w:val="216"/>
        </w:trPr>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Splines")</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modeling and will help achieve closer integration between industrial design and engineering</w:t>
            </w:r>
          </w:p>
        </w:tc>
      </w:tr>
      <w:tr>
        <w:trPr>
          <w:trHeight w:val="216"/>
        </w:trPr>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workflows. T-Splines has been integrated into, and the related goodwill was assigned to the MFG</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segment.</w:t>
            </w:r>
          </w:p>
        </w:tc>
      </w:tr>
      <w:tr>
        <w:trPr>
          <w:trHeight w:val="229"/>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October 2011</w:t>
            </w: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Micro Application</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3"/>
              </w:rPr>
              <w:t>The MAP acquisition expands our portfolio for MEP contractors and fabricators by providing tools for</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Packages Limited</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1"/>
              </w:rPr>
              <w:t>the manufacturing, fabrication and installation of MEP systems. MAP has been integrated into, and the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("MAP")</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related goodwill was assigned to the AEC segment.</w:t>
            </w:r>
          </w:p>
        </w:tc>
      </w:tr>
      <w:tr>
        <w:trPr>
          <w:trHeight w:val="27"/>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9"/>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August 2011</w:t>
            </w: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Turbo Squid, Inc.</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The acquisition of certain technology assets from Turbo Squid strengthens our online marketplace</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(“Turbo Squid”)</w:t>
            </w: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platform for our design application users.</w:t>
            </w:r>
          </w:p>
        </w:tc>
      </w:tr>
      <w:tr>
        <w:trPr>
          <w:trHeight w:val="229"/>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August 2011</w:t>
            </w: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Instructables, Inc.</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The Instructables acquisition assists makers of all types by linking Instructables' vibrant online</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("Instructables")</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3"/>
              </w:rPr>
              <w:t>community to our software tools and services, such as SketchBook, 123D and Homestyler that allow</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2"/>
              </w:rPr>
              <w:t>anyone to explore design ideas and bring them to life. Instructables has been integrated into, and the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related goodwill was assigned to the PSEB segment.</w:t>
            </w:r>
          </w:p>
        </w:tc>
      </w:tr>
      <w:tr>
        <w:trPr>
          <w:trHeight w:val="27"/>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9"/>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Blue Ridge Numerics,</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The Blue Ridge acquisition broadens our solution for Digital Prototyping to provide customers with a</w:t>
            </w:r>
          </w:p>
        </w:tc>
      </w:tr>
      <w:tr>
        <w:trPr>
          <w:trHeight w:val="216"/>
        </w:trPr>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Inc.</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spectrum of computational fluid dynamics (CFD) capabilities that help automate fluid flow and</w:t>
            </w:r>
          </w:p>
        </w:tc>
      </w:tr>
      <w:tr>
        <w:trPr>
          <w:trHeight w:val="216"/>
        </w:trPr>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("Blue Ridge")</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thermal simulation decision-making for designs, while eliminating costly physical prototyping cycles.</w:t>
            </w:r>
          </w:p>
        </w:tc>
      </w:tr>
      <w:tr>
        <w:trPr>
          <w:trHeight w:val="237"/>
        </w:trPr>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6"/>
              </w:rPr>
              <w:t>Blue Ridge has been integrated into, and the related goodwill was assigned to the MFG segment.</w:t>
            </w:r>
          </w:p>
        </w:tc>
      </w:tr>
      <w:tr>
        <w:trPr>
          <w:trHeight w:val="229"/>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March 2011</w:t>
            </w: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w w:val="98"/>
              </w:rPr>
              <w:t>Scaleform Corporation</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9"/>
              </w:rPr>
              <w:t>The Scaleform acquisition furthers Autodesk's ability to provide customers with more complete</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("Scaleform")</w:t>
            </w: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w w:val="93"/>
              </w:rPr>
              <w:t>workflows to more rapidly develop immersive 3D and casual game experiences. Scaleform has been</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integrated into, and the related goodwill was assigned to the M&amp;E segment.</w:t>
            </w:r>
          </w:p>
        </w:tc>
      </w:tr>
      <w:tr>
        <w:trPr>
          <w:trHeight w:val="27"/>
        </w:trPr>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9"/>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November 2009</w:t>
            </w: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PlanPlatform Ltd.</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The PlanPlatform acquisition accelerates our software as a service technology platform and provided a</w:t>
            </w:r>
          </w:p>
        </w:tc>
      </w:tr>
      <w:tr>
        <w:trPr>
          <w:trHeight w:val="216"/>
        </w:trPr>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(“PlanPlatform”)</w:t>
            </w: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design team with knowledge of web-based design applications. PlanPlatform has been integrated into,</w:t>
            </w:r>
          </w:p>
        </w:tc>
      </w:tr>
      <w:tr>
        <w:trPr>
          <w:trHeight w:val="230"/>
        </w:trPr>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and the related goodwill was assigned to the PSEB segment.</w:t>
            </w:r>
          </w:p>
        </w:tc>
      </w:tr>
      <w:tr>
        <w:trPr>
          <w:trHeight w:val="27"/>
        </w:trPr>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We have historically reported backlog as consisting of software license product orders that have not yet shipped, and deferred revenue consisting primarily of deferred maintenance revenue from our maintenance program. We no longer consider deferred revenue as part of backlog. For further discussion of deferred revenue, see the </w:t>
      </w:r>
      <w:r>
        <w:rPr>
          <w:rFonts w:ascii="Arial" w:cs="Arial" w:eastAsia="Arial" w:hAnsi="Arial"/>
          <w:sz w:val="18"/>
          <w:szCs w:val="18"/>
          <w:i w:val="1"/>
          <w:iCs w:val="1"/>
          <w:color w:val="auto"/>
        </w:rPr>
        <w:t>Maintenance Revenue</w:t>
      </w:r>
      <w:r>
        <w:rPr>
          <w:rFonts w:ascii="Arial" w:cs="Arial" w:eastAsia="Arial" w:hAnsi="Arial"/>
          <w:sz w:val="18"/>
          <w:szCs w:val="18"/>
          <w:color w:val="auto"/>
        </w:rPr>
        <w:t xml:space="preserve"> section of Part II, Item 7, “Management's Discussion and Analysis of Financial Condition and Results of Operations.”</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typically ship products shortly after receipt of an order, which is common in the software industry. Our backlog is primarily comprised of current software license product orders which have not yet shipped. The category of current software license product orders which we have not yet shipped consists of orders from customers with approved credit status for currently available software products and may include both orders with current ship dates and orders with ship dates beyond the current fiscal period.</w:t>
      </w:r>
    </w:p>
    <w:p>
      <w:pPr>
        <w:spacing w:after="0" w:line="13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Backlog was $27.1 million at January 31, 2012 compared to $27.5 million at January 31, 2011. The actual amount of backlog at any particular time may not be a meaningful indicator of future business prospects as this amount is impacted by a number of factors not related to future trends or events such as the order fulfillment process, the method of software delivery or the linearity of our business within the fiscal period.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b w:val="1"/>
          <w:b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22" w:lineRule="exact"/>
        <w:rPr>
          <w:sz w:val="20"/>
          <w:szCs w:val="20"/>
          <w:color w:val="auto"/>
        </w:rPr>
      </w:pPr>
    </w:p>
    <w:p>
      <w:pPr>
        <w:jc w:val="both"/>
        <w:ind w:right="280" w:firstLine="432"/>
        <w:spacing w:after="0" w:line="266" w:lineRule="auto"/>
        <w:rPr>
          <w:sz w:val="20"/>
          <w:szCs w:val="20"/>
          <w:color w:val="auto"/>
        </w:rPr>
      </w:pPr>
      <w:r>
        <w:rPr>
          <w:rFonts w:ascii="Arial" w:cs="Arial" w:eastAsia="Arial" w:hAnsi="Arial"/>
          <w:sz w:val="18"/>
          <w:szCs w:val="18"/>
          <w:b w:val="1"/>
          <w:bCs w:val="1"/>
          <w:color w:val="auto"/>
        </w:rPr>
        <w:t>Constant currency growth rates—</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22"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model rather than a physical model.</w:t>
      </w:r>
    </w:p>
    <w:p>
      <w:pPr>
        <w:spacing w:after="0" w:line="108" w:lineRule="exact"/>
        <w:rPr>
          <w:sz w:val="20"/>
          <w:szCs w:val="20"/>
          <w:color w:val="auto"/>
        </w:rPr>
      </w:pPr>
    </w:p>
    <w:p>
      <w:pPr>
        <w:ind w:right="380" w:firstLine="432"/>
        <w:spacing w:after="0" w:line="347" w:lineRule="auto"/>
        <w:rPr>
          <w:sz w:val="20"/>
          <w:szCs w:val="20"/>
          <w:color w:val="auto"/>
        </w:rPr>
      </w:pPr>
      <w:r>
        <w:rPr>
          <w:rFonts w:ascii="Arial" w:cs="Arial" w:eastAsia="Arial" w:hAnsi="Arial"/>
          <w:sz w:val="16"/>
          <w:szCs w:val="16"/>
          <w:b w:val="1"/>
          <w:bCs w:val="1"/>
          <w:color w:val="auto"/>
        </w:rPr>
        <w:t>Flagship—</w:t>
      </w:r>
      <w:r>
        <w:rPr>
          <w:rFonts w:ascii="Arial" w:cs="Arial" w:eastAsia="Arial" w:hAnsi="Arial"/>
          <w:sz w:val="16"/>
          <w:szCs w:val="16"/>
          <w:color w:val="auto"/>
        </w:rPr>
        <w:t>Autodesk flagship products are our core design products. Flagship includes the following products: 3ds Max, AutoCAD, AutoCAD LT,</w:t>
      </w:r>
      <w:r>
        <w:rPr>
          <w:rFonts w:ascii="Arial" w:cs="Arial" w:eastAsia="Arial" w:hAnsi="Arial"/>
          <w:sz w:val="16"/>
          <w:szCs w:val="16"/>
          <w:b w:val="1"/>
          <w:bCs w:val="1"/>
          <w:color w:val="auto"/>
        </w:rPr>
        <w:t xml:space="preserve"> </w:t>
      </w:r>
      <w:r>
        <w:rPr>
          <w:rFonts w:ascii="Arial" w:cs="Arial" w:eastAsia="Arial" w:hAnsi="Arial"/>
          <w:sz w:val="16"/>
          <w:szCs w:val="16"/>
          <w:color w:val="auto"/>
        </w:rPr>
        <w:t>AutoCAD vertical products (such as AutoCAD Architecture and AutoCAD Mechanical), Civil 3D, Maya, Plant 3D, and Revit products (standalone).</w:t>
      </w:r>
    </w:p>
    <w:p>
      <w:pPr>
        <w:spacing w:after="0" w:line="62"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b w:val="1"/>
          <w:bCs w:val="1"/>
          <w:color w:val="auto"/>
        </w:rPr>
        <w:t>New and Adjacent—</w:t>
      </w:r>
      <w:r>
        <w:rPr>
          <w:rFonts w:ascii="Arial" w:cs="Arial" w:eastAsia="Arial" w:hAnsi="Arial"/>
          <w:sz w:val="18"/>
          <w:szCs w:val="18"/>
          <w:color w:val="auto"/>
        </w:rPr>
        <w:t>Autodesk new and adjacent products include Autodesk's new product offerings as well as products that are not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flagship 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26" w:lineRule="exact"/>
        <w:rPr>
          <w:sz w:val="20"/>
          <w:szCs w:val="20"/>
          <w:color w:val="auto"/>
        </w:rPr>
      </w:pPr>
    </w:p>
    <w:p>
      <w:pPr>
        <w:ind w:right="140" w:firstLine="432"/>
        <w:spacing w:after="0" w:line="303" w:lineRule="auto"/>
        <w:rPr>
          <w:sz w:val="20"/>
          <w:szCs w:val="20"/>
          <w:color w:val="auto"/>
        </w:rPr>
      </w:pPr>
      <w:r>
        <w:rPr>
          <w:rFonts w:ascii="Arial" w:cs="Arial" w:eastAsia="Arial" w:hAnsi="Arial"/>
          <w:sz w:val="16"/>
          <w:szCs w:val="16"/>
          <w:b w:val="1"/>
          <w:bCs w:val="1"/>
          <w:color w:val="auto"/>
        </w:rPr>
        <w:t>Suites—</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b w:val="1"/>
          <w:bCs w:val="1"/>
          <w:color w:val="auto"/>
        </w:rPr>
        <w:t xml:space="preserve"> </w:t>
      </w:r>
      <w:r>
        <w:rPr>
          <w:rFonts w:ascii="Arial" w:cs="Arial" w:eastAsia="Arial" w:hAnsi="Arial"/>
          <w:sz w:val="16"/>
          <w:szCs w:val="16"/>
          <w:color w:val="auto"/>
        </w:rPr>
        <w:t>set of 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9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7"/>
          <w:szCs w:val="17"/>
          <w:b w:val="1"/>
          <w:bCs w:val="1"/>
          <w:color w:val="auto"/>
        </w:rPr>
        <w:t>Upgrade—</w:t>
      </w:r>
      <w:r>
        <w:rPr>
          <w:rFonts w:ascii="Arial" w:cs="Arial" w:eastAsia="Arial" w:hAnsi="Arial"/>
          <w:sz w:val="17"/>
          <w:szCs w:val="17"/>
          <w:color w:val="auto"/>
        </w:rPr>
        <w:t>Upgrades allow customers to pay an incremental fee at currently available prices toward the purchase of the latest version of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Upgrades are available only for licenses of software that are up to three versions prior to the latest version available; an upgrade terminates the license to the previous version of the product. A similar exchange and termination of a previous version of a product that is four versions prior to the latest version available, is recorded as commercial new revenue. Upgrades also includes crossgrades where a customer pays an incremental fee at currently available prices toward the purchase of a different product; the license to the previous product is terminated.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global economic uncertainty may impact our business, financial results and financial condition.</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uncertainty about certain governments' abilities to repay such debt and extreme volatility in many financial instrument markets. Although some of these conditions appear to be abating there are a number of mixed indicators and it is not yet clear whether a sustainable recovery is occurring or a renewed slow-down is taking place.</w:t>
      </w:r>
    </w:p>
    <w:p>
      <w:pPr>
        <w:spacing w:after="0" w:line="1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5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90" w:lineRule="exact"/>
        <w:rPr>
          <w:rFonts w:ascii="Arial" w:cs="Arial" w:eastAsia="Arial" w:hAnsi="Arial"/>
          <w:sz w:val="18"/>
          <w:szCs w:val="18"/>
          <w:color w:val="auto"/>
        </w:rPr>
      </w:pPr>
    </w:p>
    <w:p>
      <w:pPr>
        <w:ind w:left="500" w:right="24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3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500" w:right="6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35"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4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governments around the world to meet their financial and debt obligations, and finance infrastructure projects,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maintain our revenue growth and profitability,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35"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3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3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460" w:hanging="452"/>
        <w:spacing w:after="0" w:line="334"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3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affected by a slower summer period, and our Asia Pacific operations typically experience seasonal slowing in our third and fourth quarters.</w:t>
      </w:r>
    </w:p>
    <w:p>
      <w:pPr>
        <w:spacing w:after="0" w:line="266"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and consulting services, which historically have had lower margins, grow at a faster rate than sales of our higher-margin products and services.</w:t>
      </w: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recent consolidation between two important distributors, or is not provided the right mix of incentives to sell our products, our ability to generate revenue will be adversely affected.</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fiscal year ended January 31, 2012, approximately 84%,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17%, 16% and 14% of our total net revenue for the fiscal years ended January 31, 2012, 2011 and 2010, respectively.</w:t>
      </w:r>
    </w:p>
    <w:p>
      <w:pPr>
        <w:spacing w:after="0" w:line="12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October 27, 2011, Tech Data purchased certain assets of Mensch und Maschine Software (“MuM”) in Europe. MuM has been a European distributor of our products in that region. The acquisition concentrates additional sales through Tech Data and on a consolidated basis would have accounted for 21% of our revenue for the fiscal year ended January 31, 2012, respectively if the acquisition had occurred on February 1, 2011.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2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11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w:t>
      </w:r>
    </w:p>
    <w:p>
      <w:pPr>
        <w:spacing w:after="0" w:line="24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15</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1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3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1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17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potential impact on relationships with existing customers, vendors, distributors as business partners as a result of acquiring another business;</w:t>
      </w:r>
    </w:p>
    <w:p>
      <w:pPr>
        <w:spacing w:after="0" w:line="101" w:lineRule="exact"/>
        <w:rPr>
          <w:rFonts w:ascii="Arial" w:cs="Arial" w:eastAsia="Arial" w:hAnsi="Arial"/>
          <w:sz w:val="17"/>
          <w:szCs w:val="17"/>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current global economic uncertainty may impact our business forcing us to take actions that could be costly and may not be as effective as we anticipate, and may force us to take additional actions to reduce our expenses and stimulate demand for our products.</w:t>
      </w:r>
    </w:p>
    <w:p>
      <w:pPr>
        <w:spacing w:after="0" w:line="11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current global economic uncertainty may lead to a reduction of our revenue levels and force us to take actions to 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3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such global economic uncertainty and resulting impact on our business may cause us to take, and over the past several years we have taken, actions to stimulate demand for our products through a number of programs. Although we attempt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11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3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16" w:lineRule="exact"/>
        <w:rPr>
          <w:sz w:val="20"/>
          <w:szCs w:val="20"/>
          <w:color w:val="auto"/>
        </w:rPr>
      </w:pPr>
    </w:p>
    <w:p>
      <w:pPr>
        <w:ind w:right="220" w:firstLine="432"/>
        <w:spacing w:after="0" w:line="272"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 our internal resources in an effort to improve efficiency.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fiscal year ended January 31, 2012, combined revenue from our AutoCAD and AutoCAD LT products, not including Suites having AutoCAD or AutoCAD LT as a component, represented 33% of our total net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3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17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3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8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17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13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7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33" w:lineRule="exact"/>
        <w:rPr>
          <w:sz w:val="20"/>
          <w:szCs w:val="20"/>
          <w:color w:val="auto"/>
        </w:rPr>
      </w:pPr>
    </w:p>
    <w:p>
      <w:pPr>
        <w:ind w:right="40" w:firstLine="432"/>
        <w:spacing w:after="0" w:line="218" w:lineRule="exact"/>
        <w:rPr>
          <w:sz w:val="20"/>
          <w:szCs w:val="20"/>
          <w:color w:val="auto"/>
        </w:rPr>
      </w:pPr>
      <w:r>
        <w:rPr>
          <w:rFonts w:ascii="Arial" w:cs="Arial" w:eastAsia="Arial" w:hAnsi="Arial"/>
          <w:sz w:val="16"/>
          <w:szCs w:val="16"/>
          <w:color w:val="auto"/>
        </w:rPr>
        <w:t>While we have determined that our internal control over financial reporting was effective as of January 31, 2012, as indicated in our Management Report on Internal Control over Financial Reporting,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171"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1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FASB and IASB may result in different accounting principles under GAAP that may result in materially different financial results for us in areas including, but not limited to principles for recognizing revenue and lease accounting.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16"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3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partner with certain independent firms and contractors to perform some of our product development activities. We</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17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1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2012 fiscal year that remain unresolved.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31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lease 1,935,000 square feet of office space in 109 locations in the United States and internationally through our foreign subsidiaries. In addition, we own 25,000 square feet of office space in two locations internationally through our foreign subsidiaries. Our executive offices and corporate headquarters are located in leased office space in San Rafael, California. Our San Rafael facilities consist of 284,000 square feet under leases that have expiration dates ranging from February 2012 to December 2019. We and our foreign subsidiaries lease additional space in various locations throughout the world for local sales, product development and technical support personnel.</w:t>
      </w:r>
    </w:p>
    <w:p>
      <w:pPr>
        <w:spacing w:after="0" w:line="134"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82% occupancy worldwide as of January 31, 2012.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2012</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45.55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38.47</w:t>
            </w:r>
          </w:p>
        </w:tc>
      </w:tr>
      <w:tr>
        <w:trPr>
          <w:trHeight w:val="27"/>
        </w:trPr>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34.34</w:t>
            </w: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23.41</w:t>
            </w:r>
          </w:p>
        </w:tc>
      </w:tr>
      <w:tr>
        <w:trPr>
          <w:trHeight w:val="27"/>
        </w:trPr>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Fiscal 2011</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w:t>
            </w: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24.05</w:t>
            </w:r>
          </w:p>
        </w:tc>
      </w:tr>
      <w:tr>
        <w:trPr>
          <w:trHeight w:val="27"/>
        </w:trPr>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27.36</w:t>
            </w: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33.77</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2012 or fiscal 2011. We anticipate that, for the foreseeable future, we will not pay any cash or stock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75"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As of January 31, 2012, the number of common stockholders of record was 579. Because many of our shares of common stock are held by brokers or other institutions on behalf of stockholders, we are unable to estimate the total number of stockholders represented by the record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purpose of 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issuances, the trading price of our common stock, cash on hand and available in the U.S., and company defined trading windows. In December 2007, the Board of Directors approved a plan which authorized the repurchase of 20.0 million shares; during fiscal 2012 all shares have been repurchased under this plan. In December 2010, the Board of Directors approved an additional plan which authorized the repurchase of 20.0 million shares. These plans do not have a fixed expiration date. During the three and twelve months ended January 31, 2012, we repurchased 2.0 million and 9.7 million shares of our common stock, respectively. At January 31, 2012, 14.7 million shares remained available for repurchase under the existing repurchase authorizations. See Note 9, “Stockholders' Equity,” in the Notes to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our common stock under the stock repurchase programs in open-market transactions during the quarter ended January 31,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 that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 Plans or</w:t>
            </w:r>
          </w:p>
        </w:tc>
        <w:tc>
          <w:tcPr>
            <w:tcW w:w="12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 the</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Programs(1)</w:t>
            </w:r>
          </w:p>
        </w:tc>
        <w:tc>
          <w:tcPr>
            <w:tcW w:w="12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Programs(2)</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 November 30</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503.3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503.3</w:t>
            </w:r>
          </w:p>
        </w:tc>
        <w:tc>
          <w:tcPr>
            <w:tcW w:w="2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16,236.7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December 1 - December 31</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1"/>
                <w:szCs w:val="21"/>
                <w:color w:val="auto"/>
              </w:rPr>
            </w:pPr>
          </w:p>
        </w:tc>
        <w:tc>
          <w:tcPr>
            <w:tcW w:w="2680" w:type="dxa"/>
            <w:vAlign w:val="bottom"/>
          </w:tcPr>
          <w:p>
            <w:pPr>
              <w:jc w:val="right"/>
              <w:ind w:right="18"/>
              <w:spacing w:after="0"/>
              <w:rPr>
                <w:sz w:val="20"/>
                <w:szCs w:val="20"/>
                <w:color w:val="auto"/>
              </w:rPr>
            </w:pPr>
            <w:r>
              <w:rPr>
                <w:rFonts w:ascii="Arial" w:cs="Arial" w:eastAsia="Arial" w:hAnsi="Arial"/>
                <w:sz w:val="18"/>
                <w:szCs w:val="18"/>
                <w:color w:val="auto"/>
              </w:rPr>
              <w:t>1,496.7</w:t>
            </w:r>
          </w:p>
        </w:tc>
        <w:tc>
          <w:tcPr>
            <w:tcW w:w="2460" w:type="dxa"/>
            <w:vAlign w:val="bottom"/>
            <w:gridSpan w:val="2"/>
          </w:tcPr>
          <w:p>
            <w:pPr>
              <w:jc w:val="right"/>
              <w:ind w:right="28"/>
              <w:spacing w:after="0"/>
              <w:rPr>
                <w:sz w:val="20"/>
                <w:szCs w:val="20"/>
                <w:color w:val="auto"/>
              </w:rPr>
            </w:pPr>
            <w:r>
              <w:rPr>
                <w:rFonts w:ascii="Arial" w:cs="Arial" w:eastAsia="Arial" w:hAnsi="Arial"/>
                <w:sz w:val="18"/>
                <w:szCs w:val="18"/>
                <w:color w:val="auto"/>
              </w:rPr>
              <w:t>14,740.0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January 31</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14,740.0</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2"/>
                <w:szCs w:val="22"/>
                <w:color w:val="auto"/>
              </w:rPr>
            </w:pPr>
          </w:p>
        </w:tc>
        <w:tc>
          <w:tcPr>
            <w:tcW w:w="2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jc w:val="right"/>
              <w:ind w:right="694"/>
              <w:spacing w:after="0"/>
              <w:rPr>
                <w:sz w:val="20"/>
                <w:szCs w:val="20"/>
                <w:color w:val="auto"/>
              </w:rPr>
            </w:pPr>
            <w:r>
              <w:rPr>
                <w:rFonts w:ascii="Arial" w:cs="Arial" w:eastAsia="Arial" w:hAnsi="Arial"/>
                <w:sz w:val="18"/>
                <w:szCs w:val="18"/>
                <w:color w:val="auto"/>
                <w:w w:val="88"/>
              </w:rPr>
              <w:t>____________________</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purchased in open-market transactions under the stock repurchase programs approved by the Board of Directors.</w:t>
      </w:r>
    </w:p>
    <w:p>
      <w:pPr>
        <w:spacing w:after="0" w:line="9" w:lineRule="exact"/>
        <w:rPr>
          <w:rFonts w:ascii="Arial" w:cs="Arial" w:eastAsia="Arial" w:hAnsi="Arial"/>
          <w:sz w:val="18"/>
          <w:szCs w:val="18"/>
          <w:color w:val="auto"/>
        </w:rPr>
      </w:pPr>
    </w:p>
    <w:p>
      <w:pPr>
        <w:ind w:left="420" w:right="80" w:hanging="412"/>
        <w:spacing w:after="0" w:line="261"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amounts correspond to the plan approved by the Board of Directors in December 2010 that authorizes the repurchase of 20.0 million shares. This plan does not have a fixed expiration date.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graph shows a five-year comparison of cumulative total return (equal to dividends plus stock appreciation) for our Common Stock, the Standard &amp; Poor’s 500 Stock Index and the Dow Jones U.S. Software Index.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154940</wp:posOffset>
            </wp:positionV>
            <wp:extent cx="4802505" cy="373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0250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360" w:hanging="412"/>
        <w:spacing w:after="0" w:line="290"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$100 invested on January 31, 2007, in Autodesk’s stock, the Standard &amp; Poor’s 500 Stock Index, and the Dow Jones U.S. Software Index, with reinvestment of all dividends. Total stockholder returns for prior periods are not an indication of future investment returns.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2012, 2011 and 2010 are derived from, and are qualified by reference to, the audited consolidated financial statements that are included in this Form 10-K. The financial data for the years ended January 31, 2009 and 2008 are derived from audited, consolidated financial statements which are not included in this Form 10-K.</w:t>
      </w:r>
    </w:p>
    <w:p>
      <w:pPr>
        <w:sectPr>
          <w:pgSz w:w="11900" w:h="16838" w:orient="portrait"/>
          <w:cols w:equalWidth="0" w:num="1">
            <w:col w:w="11160"/>
          </w:cols>
          <w:pgMar w:left="24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the Fiscal Year:</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4200" w:type="dxa"/>
            <w:vAlign w:val="bottom"/>
          </w:tcPr>
          <w:p>
            <w:pPr>
              <w:ind w:left="900"/>
              <w:spacing w:after="0"/>
              <w:rPr>
                <w:sz w:val="20"/>
                <w:szCs w:val="20"/>
                <w:color w:val="auto"/>
              </w:rPr>
            </w:pPr>
            <w:r>
              <w:rPr>
                <w:rFonts w:ascii="Arial" w:cs="Arial" w:eastAsia="Arial" w:hAnsi="Arial"/>
                <w:sz w:val="16"/>
                <w:szCs w:val="16"/>
                <w:color w:val="auto"/>
              </w:rPr>
              <w:t>Net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ind w:left="90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22"/>
                <w:szCs w:val="22"/>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23"/>
                <w:szCs w:val="23"/>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Net income(1)</w:t>
            </w:r>
          </w:p>
        </w:tc>
        <w:tc>
          <w:tcPr>
            <w:tcW w:w="120" w:type="dxa"/>
            <w:vAlign w:val="bottom"/>
          </w:tcPr>
          <w:p>
            <w:pPr>
              <w:spacing w:after="0"/>
              <w:rPr>
                <w:sz w:val="23"/>
                <w:szCs w:val="23"/>
                <w:color w:val="auto"/>
              </w:rPr>
            </w:pPr>
          </w:p>
        </w:tc>
      </w:tr>
      <w:tr>
        <w:trPr>
          <w:trHeight w:val="270"/>
        </w:trPr>
        <w:tc>
          <w:tcPr>
            <w:tcW w:w="4200" w:type="dxa"/>
            <w:vAlign w:val="bottom"/>
          </w:tcPr>
          <w:p>
            <w:pPr>
              <w:ind w:left="880"/>
              <w:spacing w:after="0"/>
              <w:rPr>
                <w:sz w:val="20"/>
                <w:szCs w:val="20"/>
                <w:color w:val="auto"/>
              </w:rPr>
            </w:pPr>
            <w:r>
              <w:rPr>
                <w:rFonts w:ascii="Arial" w:cs="Arial" w:eastAsia="Arial" w:hAnsi="Arial"/>
                <w:sz w:val="16"/>
                <w:szCs w:val="16"/>
                <w:color w:val="auto"/>
              </w:rPr>
              <w:t>Cash flow from operations</w:t>
            </w:r>
          </w:p>
        </w:tc>
        <w:tc>
          <w:tcPr>
            <w:tcW w:w="120" w:type="dxa"/>
            <w:vAlign w:val="bottom"/>
          </w:tcPr>
          <w:p>
            <w:pPr>
              <w:spacing w:after="0"/>
              <w:rPr>
                <w:sz w:val="23"/>
                <w:szCs w:val="23"/>
                <w:color w:val="auto"/>
              </w:rPr>
            </w:pPr>
          </w:p>
        </w:tc>
      </w:tr>
      <w:tr>
        <w:trPr>
          <w:trHeight w:val="270"/>
        </w:trPr>
        <w:tc>
          <w:tcPr>
            <w:tcW w:w="4200" w:type="dxa"/>
            <w:vAlign w:val="bottom"/>
          </w:tcPr>
          <w:p>
            <w:pPr>
              <w:ind w:left="540"/>
              <w:spacing w:after="0"/>
              <w:rPr>
                <w:sz w:val="20"/>
                <w:szCs w:val="20"/>
                <w:color w:val="auto"/>
              </w:rPr>
            </w:pPr>
            <w:r>
              <w:rPr>
                <w:rFonts w:ascii="Arial" w:cs="Arial" w:eastAsia="Arial" w:hAnsi="Arial"/>
                <w:sz w:val="16"/>
                <w:szCs w:val="16"/>
                <w:color w:val="auto"/>
              </w:rPr>
              <w:t>Common Stock Data:</w:t>
            </w:r>
          </w:p>
        </w:tc>
        <w:tc>
          <w:tcPr>
            <w:tcW w:w="120" w:type="dxa"/>
            <w:vAlign w:val="bottom"/>
          </w:tcPr>
          <w:p>
            <w:pPr>
              <w:spacing w:after="0"/>
              <w:rPr>
                <w:sz w:val="23"/>
                <w:szCs w:val="23"/>
                <w:color w:val="auto"/>
              </w:rPr>
            </w:pPr>
          </w:p>
        </w:tc>
      </w:tr>
      <w:tr>
        <w:trPr>
          <w:trHeight w:val="284"/>
        </w:trPr>
        <w:tc>
          <w:tcPr>
            <w:tcW w:w="4200" w:type="dxa"/>
            <w:vAlign w:val="bottom"/>
          </w:tcPr>
          <w:p>
            <w:pPr>
              <w:ind w:left="900"/>
              <w:spacing w:after="0"/>
              <w:rPr>
                <w:sz w:val="20"/>
                <w:szCs w:val="20"/>
                <w:color w:val="auto"/>
              </w:rPr>
            </w:pPr>
            <w:r>
              <w:rPr>
                <w:rFonts w:ascii="Arial" w:cs="Arial" w:eastAsia="Arial" w:hAnsi="Arial"/>
                <w:sz w:val="16"/>
                <w:szCs w:val="16"/>
                <w:color w:val="auto"/>
              </w:rPr>
              <w:t>Basic net income per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ind w:left="900"/>
              <w:spacing w:after="0"/>
              <w:rPr>
                <w:sz w:val="20"/>
                <w:szCs w:val="20"/>
                <w:color w:val="auto"/>
              </w:rPr>
            </w:pPr>
            <w:r>
              <w:rPr>
                <w:rFonts w:ascii="Arial" w:cs="Arial" w:eastAsia="Arial" w:hAnsi="Arial"/>
                <w:sz w:val="16"/>
                <w:szCs w:val="16"/>
                <w:color w:val="auto"/>
              </w:rPr>
              <w:t>Diluted net income per share</w:t>
            </w:r>
          </w:p>
        </w:tc>
        <w:tc>
          <w:tcPr>
            <w:tcW w:w="120" w:type="dxa"/>
            <w:vAlign w:val="bottom"/>
          </w:tcPr>
          <w:p>
            <w:pPr>
              <w:spacing w:after="0"/>
              <w:rPr>
                <w:sz w:val="22"/>
                <w:szCs w:val="22"/>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Dividends paid per share</w:t>
            </w:r>
          </w:p>
        </w:tc>
        <w:tc>
          <w:tcPr>
            <w:tcW w:w="120" w:type="dxa"/>
            <w:vAlign w:val="bottom"/>
          </w:tcPr>
          <w:p>
            <w:pPr>
              <w:spacing w:after="0"/>
              <w:rPr>
                <w:sz w:val="23"/>
                <w:szCs w:val="23"/>
                <w:color w:val="auto"/>
              </w:rPr>
            </w:pPr>
          </w:p>
        </w:tc>
      </w:tr>
      <w:tr>
        <w:trPr>
          <w:trHeight w:val="266"/>
        </w:trPr>
        <w:tc>
          <w:tcPr>
            <w:tcW w:w="4200" w:type="dxa"/>
            <w:vAlign w:val="bottom"/>
          </w:tcPr>
          <w:p>
            <w:pPr>
              <w:ind w:left="540"/>
              <w:spacing w:after="0"/>
              <w:rPr>
                <w:sz w:val="20"/>
                <w:szCs w:val="20"/>
                <w:color w:val="auto"/>
              </w:rPr>
            </w:pPr>
            <w:r>
              <w:rPr>
                <w:rFonts w:ascii="Arial" w:cs="Arial" w:eastAsia="Arial" w:hAnsi="Arial"/>
                <w:sz w:val="16"/>
                <w:szCs w:val="16"/>
                <w:color w:val="auto"/>
              </w:rPr>
              <w:t>Income from operations includes the following</w:t>
            </w:r>
          </w:p>
        </w:tc>
        <w:tc>
          <w:tcPr>
            <w:tcW w:w="120" w:type="dxa"/>
            <w:vAlign w:val="bottom"/>
          </w:tcPr>
          <w:p>
            <w:pPr>
              <w:spacing w:after="0"/>
              <w:rPr>
                <w:sz w:val="23"/>
                <w:szCs w:val="23"/>
                <w:color w:val="auto"/>
              </w:rPr>
            </w:pPr>
          </w:p>
        </w:tc>
      </w:tr>
      <w:tr>
        <w:trPr>
          <w:trHeight w:val="206"/>
        </w:trPr>
        <w:tc>
          <w:tcPr>
            <w:tcW w:w="4200" w:type="dxa"/>
            <w:vAlign w:val="bottom"/>
          </w:tcPr>
          <w:p>
            <w:pPr>
              <w:ind w:left="720"/>
              <w:spacing w:after="0"/>
              <w:rPr>
                <w:sz w:val="20"/>
                <w:szCs w:val="20"/>
                <w:color w:val="auto"/>
              </w:rPr>
            </w:pPr>
            <w:r>
              <w:rPr>
                <w:rFonts w:ascii="Arial" w:cs="Arial" w:eastAsia="Arial" w:hAnsi="Arial"/>
                <w:sz w:val="16"/>
                <w:szCs w:val="16"/>
                <w:color w:val="auto"/>
              </w:rPr>
              <w:t>items(2):</w:t>
            </w:r>
          </w:p>
        </w:tc>
        <w:tc>
          <w:tcPr>
            <w:tcW w:w="120" w:type="dxa"/>
            <w:vAlign w:val="bottom"/>
          </w:tcPr>
          <w:p>
            <w:pPr>
              <w:spacing w:after="0"/>
              <w:rPr>
                <w:sz w:val="17"/>
                <w:szCs w:val="17"/>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ind w:left="900"/>
              <w:spacing w:after="0"/>
              <w:rPr>
                <w:sz w:val="20"/>
                <w:szCs w:val="20"/>
                <w:color w:val="auto"/>
              </w:rPr>
            </w:pPr>
            <w:r>
              <w:rPr>
                <w:rFonts w:ascii="Arial" w:cs="Arial" w:eastAsia="Arial" w:hAnsi="Arial"/>
                <w:sz w:val="16"/>
                <w:szCs w:val="16"/>
                <w:color w:val="auto"/>
              </w:rPr>
              <w:t>Amortization of acquisition related intangibles</w:t>
            </w:r>
          </w:p>
        </w:tc>
        <w:tc>
          <w:tcPr>
            <w:tcW w:w="120" w:type="dxa"/>
            <w:vAlign w:val="bottom"/>
          </w:tcPr>
          <w:p>
            <w:pPr>
              <w:spacing w:after="0"/>
              <w:rPr>
                <w:sz w:val="22"/>
                <w:szCs w:val="22"/>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3"/>
                <w:szCs w:val="23"/>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Impairment</w:t>
            </w:r>
          </w:p>
        </w:tc>
        <w:tc>
          <w:tcPr>
            <w:tcW w:w="120" w:type="dxa"/>
            <w:vAlign w:val="bottom"/>
          </w:tcPr>
          <w:p>
            <w:pPr>
              <w:spacing w:after="0"/>
              <w:rPr>
                <w:sz w:val="23"/>
                <w:szCs w:val="23"/>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In-process research and development</w:t>
            </w:r>
          </w:p>
        </w:tc>
        <w:tc>
          <w:tcPr>
            <w:tcW w:w="120" w:type="dxa"/>
            <w:vAlign w:val="bottom"/>
          </w:tcPr>
          <w:p>
            <w:pPr>
              <w:spacing w:after="0"/>
              <w:rPr>
                <w:sz w:val="23"/>
                <w:szCs w:val="23"/>
                <w:color w:val="auto"/>
              </w:rPr>
            </w:pPr>
          </w:p>
        </w:tc>
      </w:tr>
      <w:tr>
        <w:trPr>
          <w:trHeight w:val="266"/>
        </w:trPr>
        <w:tc>
          <w:tcPr>
            <w:tcW w:w="4200" w:type="dxa"/>
            <w:vAlign w:val="bottom"/>
          </w:tcPr>
          <w:p>
            <w:pPr>
              <w:ind w:left="900"/>
              <w:spacing w:after="0"/>
              <w:rPr>
                <w:sz w:val="20"/>
                <w:szCs w:val="20"/>
                <w:color w:val="auto"/>
              </w:rPr>
            </w:pPr>
            <w:r>
              <w:rPr>
                <w:rFonts w:ascii="Arial" w:cs="Arial" w:eastAsia="Arial" w:hAnsi="Arial"/>
                <w:sz w:val="16"/>
                <w:szCs w:val="16"/>
                <w:color w:val="auto"/>
                <w:w w:val="94"/>
              </w:rPr>
              <w:t>Employee tax reimbursement related to voluntary</w:t>
            </w:r>
          </w:p>
        </w:tc>
        <w:tc>
          <w:tcPr>
            <w:tcW w:w="120" w:type="dxa"/>
            <w:vAlign w:val="bottom"/>
          </w:tcPr>
          <w:p>
            <w:pPr>
              <w:spacing w:after="0"/>
              <w:rPr>
                <w:sz w:val="23"/>
                <w:szCs w:val="23"/>
                <w:color w:val="auto"/>
              </w:rPr>
            </w:pPr>
          </w:p>
        </w:tc>
      </w:tr>
      <w:tr>
        <w:trPr>
          <w:trHeight w:val="206"/>
        </w:trPr>
        <w:tc>
          <w:tcPr>
            <w:tcW w:w="4200" w:type="dxa"/>
            <w:vAlign w:val="bottom"/>
          </w:tcPr>
          <w:p>
            <w:pPr>
              <w:ind w:left="1060"/>
              <w:spacing w:after="0"/>
              <w:rPr>
                <w:sz w:val="20"/>
                <w:szCs w:val="20"/>
                <w:color w:val="auto"/>
              </w:rPr>
            </w:pPr>
            <w:r>
              <w:rPr>
                <w:rFonts w:ascii="Arial" w:cs="Arial" w:eastAsia="Arial" w:hAnsi="Arial"/>
                <w:sz w:val="16"/>
                <w:szCs w:val="16"/>
                <w:color w:val="auto"/>
              </w:rPr>
              <w:t>stock option review</w:t>
            </w:r>
          </w:p>
        </w:tc>
        <w:tc>
          <w:tcPr>
            <w:tcW w:w="120" w:type="dxa"/>
            <w:vAlign w:val="bottom"/>
          </w:tcPr>
          <w:p>
            <w:pPr>
              <w:spacing w:after="0"/>
              <w:rPr>
                <w:sz w:val="17"/>
                <w:szCs w:val="17"/>
                <w:color w:val="auto"/>
              </w:rPr>
            </w:pPr>
          </w:p>
        </w:tc>
      </w:tr>
      <w:tr>
        <w:trPr>
          <w:trHeight w:val="257"/>
        </w:trPr>
        <w:tc>
          <w:tcPr>
            <w:tcW w:w="4200" w:type="dxa"/>
            <w:vAlign w:val="bottom"/>
          </w:tcPr>
          <w:p>
            <w:pPr>
              <w:ind w:left="540"/>
              <w:spacing w:after="0"/>
              <w:rPr>
                <w:sz w:val="20"/>
                <w:szCs w:val="20"/>
                <w:color w:val="auto"/>
              </w:rPr>
            </w:pPr>
            <w:r>
              <w:rPr>
                <w:rFonts w:ascii="Arial" w:cs="Arial" w:eastAsia="Arial" w:hAnsi="Arial"/>
                <w:sz w:val="16"/>
                <w:szCs w:val="16"/>
                <w:color w:val="auto"/>
                <w:w w:val="94"/>
              </w:rPr>
              <w:t>Provision for income taxes includes the following item:</w:t>
            </w:r>
          </w:p>
        </w:tc>
        <w:tc>
          <w:tcPr>
            <w:tcW w:w="120" w:type="dxa"/>
            <w:vAlign w:val="bottom"/>
          </w:tcPr>
          <w:p>
            <w:pPr>
              <w:spacing w:after="0"/>
              <w:rPr>
                <w:sz w:val="22"/>
                <w:szCs w:val="22"/>
                <w:color w:val="auto"/>
              </w:rPr>
            </w:pPr>
          </w:p>
        </w:tc>
      </w:tr>
      <w:tr>
        <w:trPr>
          <w:trHeight w:val="266"/>
        </w:trPr>
        <w:tc>
          <w:tcPr>
            <w:tcW w:w="4200" w:type="dxa"/>
            <w:vAlign w:val="bottom"/>
          </w:tcPr>
          <w:p>
            <w:pPr>
              <w:ind w:left="900"/>
              <w:spacing w:after="0"/>
              <w:rPr>
                <w:sz w:val="20"/>
                <w:szCs w:val="20"/>
                <w:color w:val="auto"/>
              </w:rPr>
            </w:pPr>
            <w:r>
              <w:rPr>
                <w:rFonts w:ascii="Arial" w:cs="Arial" w:eastAsia="Arial" w:hAnsi="Arial"/>
                <w:sz w:val="16"/>
                <w:szCs w:val="16"/>
                <w:color w:val="auto"/>
                <w:w w:val="94"/>
              </w:rPr>
              <w:t>Establishment of valuation allowance on deferred</w:t>
            </w:r>
          </w:p>
        </w:tc>
        <w:tc>
          <w:tcPr>
            <w:tcW w:w="120" w:type="dxa"/>
            <w:vAlign w:val="bottom"/>
          </w:tcPr>
          <w:p>
            <w:pPr>
              <w:spacing w:after="0"/>
              <w:rPr>
                <w:sz w:val="23"/>
                <w:szCs w:val="23"/>
                <w:color w:val="auto"/>
              </w:rPr>
            </w:pPr>
          </w:p>
        </w:tc>
      </w:tr>
      <w:tr>
        <w:trPr>
          <w:trHeight w:val="206"/>
        </w:trPr>
        <w:tc>
          <w:tcPr>
            <w:tcW w:w="4200" w:type="dxa"/>
            <w:vAlign w:val="bottom"/>
          </w:tcPr>
          <w:p>
            <w:pPr>
              <w:ind w:left="1060"/>
              <w:spacing w:after="0"/>
              <w:rPr>
                <w:sz w:val="20"/>
                <w:szCs w:val="20"/>
                <w:color w:val="auto"/>
              </w:rPr>
            </w:pPr>
            <w:r>
              <w:rPr>
                <w:rFonts w:ascii="Arial" w:cs="Arial" w:eastAsia="Arial" w:hAnsi="Arial"/>
                <w:sz w:val="16"/>
                <w:szCs w:val="16"/>
                <w:color w:val="auto"/>
              </w:rPr>
              <w:t>tax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ind w:left="540"/>
              <w:spacing w:after="0"/>
              <w:rPr>
                <w:sz w:val="20"/>
                <w:szCs w:val="20"/>
                <w:color w:val="auto"/>
              </w:rPr>
            </w:pPr>
            <w:r>
              <w:rPr>
                <w:rFonts w:ascii="Arial" w:cs="Arial" w:eastAsia="Arial" w:hAnsi="Arial"/>
                <w:sz w:val="16"/>
                <w:szCs w:val="16"/>
                <w:color w:val="auto"/>
              </w:rPr>
              <w:t>At Year End</w:t>
            </w:r>
          </w:p>
        </w:tc>
        <w:tc>
          <w:tcPr>
            <w:tcW w:w="120" w:type="dxa"/>
            <w:vAlign w:val="bottom"/>
          </w:tcPr>
          <w:p>
            <w:pPr>
              <w:spacing w:after="0"/>
              <w:rPr>
                <w:sz w:val="22"/>
                <w:szCs w:val="22"/>
                <w:color w:val="auto"/>
              </w:rPr>
            </w:pPr>
          </w:p>
        </w:tc>
      </w:tr>
      <w:tr>
        <w:trPr>
          <w:trHeight w:val="284"/>
        </w:trPr>
        <w:tc>
          <w:tcPr>
            <w:tcW w:w="4200" w:type="dxa"/>
            <w:vAlign w:val="bottom"/>
          </w:tcPr>
          <w:p>
            <w:pPr>
              <w:ind w:left="90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ind w:left="900"/>
              <w:spacing w:after="0"/>
              <w:rPr>
                <w:sz w:val="20"/>
                <w:szCs w:val="20"/>
                <w:color w:val="auto"/>
              </w:rPr>
            </w:pPr>
            <w:r>
              <w:rPr>
                <w:rFonts w:ascii="Arial" w:cs="Arial" w:eastAsia="Arial" w:hAnsi="Arial"/>
                <w:sz w:val="16"/>
                <w:szCs w:val="16"/>
                <w:color w:val="auto"/>
              </w:rPr>
              <w:t>Long-term liabilities</w:t>
            </w:r>
          </w:p>
        </w:tc>
        <w:tc>
          <w:tcPr>
            <w:tcW w:w="120" w:type="dxa"/>
            <w:vAlign w:val="bottom"/>
          </w:tcPr>
          <w:p>
            <w:pPr>
              <w:spacing w:after="0"/>
              <w:rPr>
                <w:sz w:val="22"/>
                <w:szCs w:val="22"/>
                <w:color w:val="auto"/>
              </w:rPr>
            </w:pPr>
          </w:p>
        </w:tc>
      </w:tr>
      <w:tr>
        <w:trPr>
          <w:trHeight w:val="270"/>
        </w:trPr>
        <w:tc>
          <w:tcPr>
            <w:tcW w:w="4200" w:type="dxa"/>
            <w:vAlign w:val="bottom"/>
          </w:tcPr>
          <w:p>
            <w:pPr>
              <w:ind w:left="90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3"/>
                <w:szCs w:val="23"/>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23495</wp:posOffset>
            </wp:positionV>
            <wp:extent cx="4176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6"/>
                <w:szCs w:val="16"/>
                <w:color w:val="auto"/>
              </w:rPr>
            </w:pPr>
          </w:p>
        </w:tc>
        <w:tc>
          <w:tcPr>
            <w:tcW w:w="980" w:type="dxa"/>
            <w:vAlign w:val="bottom"/>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6"/>
                <w:szCs w:val="16"/>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19"/>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2,215.6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1,951.8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1,713.7</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2,315.2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2,171.9</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355.6</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271.4</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65.6</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244.5</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445.6</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(77.6)</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285.3</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212.0</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58.0</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183.6</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356.2</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573.5</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540.8</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246.8</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593.9</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708.5</w:t>
            </w:r>
          </w:p>
        </w:tc>
      </w:tr>
      <w:tr>
        <w:trPr>
          <w:trHeight w:val="54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0.93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0.80</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29"/>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108.8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80.7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89.5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70.3</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55.9</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58.4</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46.6</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48.2</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40.2</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128.9</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26.9</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9"/>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729"/>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3,227.8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2,787.6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2,447.2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2,420.7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2,212.2</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390.8</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308.5</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269.7</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309.9</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251.4</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6"/>
                <w:szCs w:val="16"/>
                <w:color w:val="auto"/>
              </w:rPr>
              <w:t>1,882.9</w:t>
            </w:r>
          </w:p>
        </w:tc>
        <w:tc>
          <w:tcPr>
            <w:tcW w:w="36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1,609.3</w:t>
            </w:r>
          </w:p>
        </w:tc>
        <w:tc>
          <w:tcPr>
            <w:tcW w:w="36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1,473.5</w:t>
            </w:r>
          </w:p>
        </w:tc>
        <w:tc>
          <w:tcPr>
            <w:tcW w:w="48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1,310.7</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-4283710</wp:posOffset>
            </wp:positionV>
            <wp:extent cx="65176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-3940175</wp:posOffset>
            </wp:positionV>
            <wp:extent cx="65176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-3597275</wp:posOffset>
            </wp:positionV>
            <wp:extent cx="65176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-3254375</wp:posOffset>
            </wp:positionV>
            <wp:extent cx="65176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-2911475</wp:posOffset>
            </wp:positionV>
            <wp:extent cx="65176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-2568575</wp:posOffset>
            </wp:positionV>
            <wp:extent cx="651764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29146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-2105025</wp:posOffset>
            </wp:positionV>
            <wp:extent cx="65176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-1762125</wp:posOffset>
            </wp:positionV>
            <wp:extent cx="65176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-1419225</wp:posOffset>
            </wp:positionV>
            <wp:extent cx="651764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29146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-956310</wp:posOffset>
            </wp:positionV>
            <wp:extent cx="651764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29146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-492760</wp:posOffset>
            </wp:positionV>
            <wp:extent cx="65176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-149860</wp:posOffset>
            </wp:positionV>
            <wp:extent cx="65176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-4420870</wp:posOffset>
            </wp:positionV>
            <wp:extent cx="4176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4380" w:space="360"/>
            <w:col w:w="6420"/>
          </w:cols>
          <w:pgMar w:left="240" w:top="125" w:right="499" w:bottom="1440" w:gutter="0" w:footer="0" w:header="0"/>
          <w:type w:val="continuous"/>
        </w:sectPr>
      </w:pPr>
    </w:p>
    <w:p>
      <w:pPr>
        <w:ind w:left="420" w:hanging="4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income includes the items identified below in “Income from operations” net of tax.</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items are recorded on a pre-tax basis.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160"/>
          </w:cols>
          <w:pgMar w:left="240" w:top="125" w:right="4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1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below in “Strategy” below, anticipated future net revenue, future operating margin and other future financial results (by product type and geography) and operating expenses, the effect of unemployment and availability of credit, the effects of the U.S. credit downgrade and weak global economic conditions, our backlog, expected trends in certain financial metrics, expected market trends, including the growth of cloud, mobile and social computing, the impact of acquisitions and investment activities, the effect of fluctuations in exchange rates and our hedging activities on our financial results, the impact of natural disaster on our operations and financial results, our abilities to successfully expand adoption of our products, our ability to gain market acceptance of new businesses and sales initiatives, and our ability to successfully increase sales of product suites as part of our overall sales strategy, our belief that the strength of our channel network, technological leadership, brand recognition, breadth of product line, and large installed base are benefiting us as global economies recover, the impact of economic volatility and geopolitical activities in certain countries, particularly emerging economy countries, and the resulting effect on our financial results, and the impact of our restructuring activities.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Autodesk’s vision is to help people imagine, design and create a better world. We do this by developing software for the world’s designers, architects, engineers, and digital artists—the people who create the world's products, buildings, infrastructure, films, and games. Autodesk serves customers in three primary markets: architecture, engineering and construction; manufacturing; and digital media and entertainment.</w:t>
      </w:r>
    </w:p>
    <w:p>
      <w:pPr>
        <w:spacing w:after="0" w:line="1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 our customers to digitally visualize, simulate, and analyze their projects, helping them to better understand the consequences of their design decisions; save time, money, and resources; and become more innovative.</w:t>
      </w:r>
    </w:p>
    <w:p>
      <w:pPr>
        <w:spacing w:after="0" w:line="12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33"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 including student versions of software, curricula, and faculty development. We have an extensive global community of students who are experienced with our software and poised to become the next generation of professional users – thus reducing the cost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training and providing fresh talent for our customers. Our global network of distributors, resellers, third party developers, customers, educational institutions and students has been developed over our twenty-nine year history. We believe it is an enduring competitive advantage that is difficult for others to replicate.</w:t>
      </w:r>
    </w:p>
    <w:p>
      <w:pPr>
        <w:spacing w:after="0" w:line="12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consumers—a whole new category of Autodesk customer.</w:t>
      </w:r>
    </w:p>
    <w:p>
      <w:pPr>
        <w:spacing w:after="0" w:line="125"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mobile and social computing. Our growth strategy is predicated upon leading the transition in the industries we serve into the cloud in three ways:</w:t>
      </w:r>
    </w:p>
    <w:p>
      <w:pPr>
        <w:spacing w:after="0" w:line="280" w:lineRule="exact"/>
        <w:rPr>
          <w:sz w:val="20"/>
          <w:szCs w:val="20"/>
          <w:color w:val="auto"/>
        </w:rPr>
      </w:pPr>
    </w:p>
    <w:p>
      <w:pPr>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 We believe sufficient opportunity remains in our PC-based software business and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emphasis on developing direct relationships with large, global customers and growing in emerging economies.</w:t>
      </w:r>
    </w:p>
    <w:p>
      <w:pPr>
        <w:spacing w:after="0" w:line="132"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Transform. At the same time we grow our desktop software business, we are migrating many of our products to the cloud. This entails development of new cloud computing infrastructure and restructuring our applications to leverage the cloud. We are also developing new capabilities that are enabled by the cloud such as collaborative PLM and on line simulation. Our goal is to lead our industry in transitioning to the cloud.</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We believe that the combination of cloud, mobile, and social computing affords us the opportunity to expand our business into new markets. Our consumer business is an example of this where we have added new customers. We intend to continue to develop businesses such as this to both add new customers and find new capabilities to incorporate in our core business.</w:t>
      </w:r>
    </w:p>
    <w:p>
      <w:pPr>
        <w:spacing w:after="0" w:line="12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fiscal 2012, revenue from Suites increased 31%, as compared to the prior fiscal year. As a percentage of revenue, suites increased to 27% in fiscal 2012 as compared to 23% in fiscal 2011.</w:t>
      </w:r>
    </w:p>
    <w:p>
      <w:pPr>
        <w:spacing w:after="0" w:line="13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Expanding our geographic coverage is another key element of our growth strategy. While emerging economies are important for all global businesses, we believe they hold special opportunity for Autodesk. Much of the growth in the world’s construction and manufacturing is happening in emerging economies. Further, emerging economies face many of the challenges that our design technology can help address, for example infrastructure build-out. We believe that emerging economies continue to present long-term growth opportunities for us and revenue from emerging countries increased 16% during fiscal 2012 as compared to fiscal 2011. Revenue from emerging countries represented 16% and 15% of fiscal 2012 and fiscal 2011 net revenue, respectively.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3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 In fiscal 2012, we increased the number, pace and dollars spent on acquisitions in comparison to fiscal 2011, but our decision to acquire businesses or technology is dependent on our business needs, the availability of suitable sellers and technology, and our own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2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11"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For multiple element arrangements, we allocate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1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38"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At January 31, 2012 we had $447.2 million of short and long-term marketable securities. Marketable securities are stated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As described in Note 2, “Financial Instruments,” in the Notes to the Consolidated Financial Statements, we estimate the fair value of our marketable securities each quarter. Fair value is defined as an exit price, representing the amount that would be received from the sale of an asset or paid to transfer a liability in the principal or most advantageous market for the asset or liability in an orderly transaction between market participants at the measurement date. When identical or similar assets are traded in active markets, the level of judgment required to estimate their fair value is relatively low.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a discounted cash flow model to estimate the fair value of our convertible debt securities because an active market does not exist for these securities which have been issued by private corporations.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purchase price of acquired companies to assets and liabilities, as well as to in-process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based upon their estimated fair values at the acquisition date. The purchase price allocation process requires us to make significant estimates and assumptions, especially at the acquisition date with respect to intangible assets and deferred revenue obligations.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 future expected cash flows from sales, maintenance agreements and acquired developed technologies; the acquired company’s trade name and customer relationships as well as assumptions about the period of time the acquired trade name and customer relationships will continue to be used in the combined company’s product portfolio; expected costs to develop the in-process research and development into commercially viable products and estimated cash flows from the projects when completed; and discount rates.</w:t>
      </w:r>
    </w:p>
    <w:p>
      <w:pPr>
        <w:spacing w:after="0" w:line="1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test goodwill for impairment annually in our fourth fiscal quarter or sooner should events or changes in circumstances indicate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 assessing goodwill for impairment,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January 31, 2012, a hypothetical 10% decrease in the fair value of our reporting units would not have an impact on the carrying value of goodwill, nor result in impairment of goodwill. For further discussion see Note 1, “Business and Summary of Significant Accounting Policies,” in the Notes to the Consolidated Financial Statements.</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Realizability of Long-Lived Assets. </w:t>
      </w:r>
      <w:r>
        <w:rPr>
          <w:rFonts w:ascii="Arial" w:cs="Arial" w:eastAsia="Arial" w:hAnsi="Arial"/>
          <w:sz w:val="18"/>
          <w:szCs w:val="18"/>
          <w:color w:val="auto"/>
        </w:rPr>
        <w:t>We assess the realizability of our long-lived assets and related intangible assets, other than goodwill,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3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2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$165.9 million of net deferred tax assets, primarily a result of tax credits, net operating losses, and timing</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2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measure stock-based compensation cost at the grant date fair value of the award, and recognize expense on a straight-line basis over the requisite service period, which is generally the vesting period. We estimate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 of stock-based payment awards (including grants of stock options and employee stock purchases related to the employee stock purchase plan) using the Black-Scholes-Merton option-pricing model. The determination of the fair value of a stock-based award on the date of grant using the Black-Scholes-Merton option-pricing model is affected by our stock price on the date of grant as well as assumptions regarding a number of complex and subjective variables. These variables include our expected stock price volatility over the expected term of the award, actual and projected employee stock option exercise behaviors, the risk-free interest rate for the expected term of the award and expected dividends. The variables used in the model are reviewed on a quarterly basis and adjusted, as needed. Share-based compensation cost for restricted stock is measured on the closing fair market value of our commons stock on the date of grant. The value of the portion of the award that is ultimately expected to vest is recognized as expense in our Consolidated Statements of Operations.</w:t>
      </w:r>
    </w:p>
    <w:p>
      <w:pPr>
        <w:spacing w:after="0" w:line="13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2012</w:t>
      </w:r>
    </w:p>
    <w:p>
      <w:pPr>
        <w:spacing w:after="0" w:line="315"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Fiscal Year Ended</w:t>
            </w:r>
          </w:p>
        </w:tc>
        <w:tc>
          <w:tcPr>
            <w:tcW w:w="16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As a % of Net</w:t>
            </w:r>
          </w:p>
        </w:tc>
        <w:tc>
          <w:tcPr>
            <w:tcW w:w="120" w:type="dxa"/>
            <w:vAlign w:val="bottom"/>
          </w:tcPr>
          <w:p>
            <w:pPr>
              <w:spacing w:after="0"/>
              <w:rPr>
                <w:sz w:val="16"/>
                <w:szCs w:val="16"/>
                <w:color w:val="auto"/>
              </w:rPr>
            </w:pPr>
          </w:p>
        </w:tc>
        <w:tc>
          <w:tcPr>
            <w:tcW w:w="128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Fiscal Year Ended</w:t>
            </w:r>
          </w:p>
        </w:tc>
        <w:tc>
          <w:tcPr>
            <w:tcW w:w="15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84"/>
        </w:trPr>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January 31, 2012</w:t>
            </w:r>
          </w:p>
        </w:tc>
        <w:tc>
          <w:tcPr>
            <w:tcW w:w="1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January 31, 2011</w:t>
            </w: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80" w:type="dxa"/>
            <w:vAlign w:val="bottom"/>
            <w:gridSpan w:val="3"/>
          </w:tcPr>
          <w:p>
            <w:pPr>
              <w:jc w:val="right"/>
              <w:ind w:right="975"/>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2,215.6</w:t>
            </w:r>
          </w:p>
        </w:tc>
        <w:tc>
          <w:tcPr>
            <w:tcW w:w="1680" w:type="dxa"/>
            <w:vAlign w:val="bottom"/>
          </w:tcPr>
          <w:p>
            <w:pPr>
              <w:jc w:val="right"/>
              <w:ind w:right="77"/>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1,951.8</w:t>
            </w: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229.1</w:t>
            </w:r>
          </w:p>
        </w:tc>
        <w:tc>
          <w:tcPr>
            <w:tcW w:w="1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1,986.5</w:t>
            </w:r>
          </w:p>
        </w:tc>
        <w:tc>
          <w:tcPr>
            <w:tcW w:w="1680" w:type="dxa"/>
            <w:vAlign w:val="bottom"/>
          </w:tcPr>
          <w:p>
            <w:pPr>
              <w:jc w:val="right"/>
              <w:ind w:right="77"/>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1,755.2</w:t>
            </w: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1,630.9</w:t>
            </w:r>
          </w:p>
        </w:tc>
        <w:tc>
          <w:tcPr>
            <w:tcW w:w="1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1,483.8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355.6</w:t>
            </w:r>
          </w:p>
        </w:tc>
        <w:tc>
          <w:tcPr>
            <w:tcW w:w="1680" w:type="dxa"/>
            <w:vAlign w:val="bottom"/>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271.4</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business grew year over year as evidenced by our increases in revenue, gross profit and income from operations. During fiscal 2012, as compared to fiscal 2011, net revenue increased 14%, gross profit increased 13% and income from operations increased 31%. Contributing to the year over year increases in revenue were increases in revenue from new seat licenses, maintenance revenue, revenue for most of our major products, all of our reportable segments, and all of our geographies during fiscal 2012 as compared to the prior fiscal year. The reasons for these increases are discussed below under the heading "Results from Operations." In addition, we continued to make progress in controlling our operating costs, which led to year over year improvements in profitability. The 31% increase in income from operations in fiscal 2012, as compared to fiscal 2011, was due to the increase in our net revenue, while controlling the growth of operating expenses.</w:t>
      </w:r>
    </w:p>
    <w:p>
      <w:pPr>
        <w:spacing w:after="0" w:line="124"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total operating margin increased as a percentage from 14% for fiscal 2011 to 16% for fiscal 2012. The increase in our operating margin was primarily due to net revenue increasing at a faster rate than the increase in our costs due to our cost containment efforts during fiscal 2012. Net revenue increased $263.8 million or 14% for fiscal 2012, as compared to fiscal 2011, while our operating expenses increased $147.1 million, or 10% for fiscal 2012. The 10% increase in operating expenses in fiscal 2012, as compared to fiscal 2011, was due to an increase in salaries and benefits related to increased headcount and the return of employee costs which were temporarily suppressed in the prior year through salary reductions, employee incentives reductions and mandatory vacation, and other costs associated with higher revenue. These increases were partially offset by the decrease in restructuring charges of $12.1 million.</w:t>
      </w:r>
    </w:p>
    <w:p>
      <w:pPr>
        <w:spacing w:after="0" w:line="13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believe net revenue for fiscal 2013 will increase by approximately 10% compared to fiscal 2012. We anticipate fiscal 2013 operating margin will increase by approximately 130 basis points compared to fiscal 2012.</w:t>
      </w:r>
    </w:p>
    <w:p>
      <w:pPr>
        <w:spacing w:after="0" w:line="11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generate a significant amount of our revenue in the U.S., Japan, Germany, the United Kingdom and France. Included in the overall increase in revenue were impacts associated with foreign currency. Our revenue benefited from foreign exchange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rate changes during fiscal 2012, as compared to fiscal 2011. Had applicable exchange rates from fiscal 2011 been in effect during fiscal 2012 and had we excluded foreign exchange hedge gains and losses from fiscal 2012, (“on a constant currency basis”), net revenue would have increased 12% compared to the prior fiscal year. During fiscal 2012, total spend, defined as cost of revenue plus operating expenses, increased 11% compared to the prior fiscal year as reported and increased 13%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1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17% and 16% of our consolidated net revenue during fiscal year 2012 and 2011, respectively. On October 27, 2011, Tech Data purchased certain assets of Mensch und Maschine Software (“MuM”), which has been a distributor of our products in Europe. The acquisition concentrates additional sales through Tech Data, which on a consolidated basis would have accounted for 21% and 22% of our net revenue for fiscal years 2012 and 2011, respectively, if the acquisition had taken place at the beginning of fiscal 2011.We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4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Our primary goals for fiscal 2013 are to grow revenue and improve our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 Additionally, we believe that unemployment rates and the availability of credit to major industries we serve are important indicators for our business; if global economic conditions deteriorate we may not achieve our financial goals.</w:t>
      </w:r>
    </w:p>
    <w:p>
      <w:pPr>
        <w:spacing w:after="0" w:line="10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Revenue from flagship products was 58% of total net revenue during fiscal 2012, respectively, and increased 8% for fiscal 2012, as compared to fiscal 2011. Revenue from suites was 27% of total net revenue for fiscal 2012, and increased 31% as compared to fiscal 2011. During fiscal 2012, we released our new design and creation suites that include English language versions of our Autodesk Design Suite, Autodesk Factory Design Suite, Autodesk Product Design Suite, Autodesk Building Design Suite, Autodesk Entertainment Creation Suite, Autodesk Infrastructure Design Suite and Autodesk Plant Design Suite, as well as a Japanese language version of our Autodesk Entertainment Creation Suite. Suites revenue and growth rates for suites consist primarily of revenue from our pre-existing suite families, such as Inventor and Revit suites. Revenue from new and adjacent products was 16% of total net revenue during the fiscal 2012, and increased 8% as compared to fiscal 2011. We anticipate, as our new and existing customers migrate from our stand-alone products, that our revenue from suites will increase as a percentage of revenue and that our revenue from our flagship and new and adjacent products will decline as a percentage of revenue.</w:t>
      </w:r>
    </w:p>
    <w:p>
      <w:pPr>
        <w:spacing w:after="0" w:line="12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At January 31, 2012, we had $1,604.1 million in cash and marketable securities. We completed fiscal 2012 with a higher deferred revenue balance and a higher accounts receivable balance as compared to fiscal 2011. Our deferred revenue balance at January 31, 2012 included $633.3 million of customer maintenance contracts, which will be recognized as revenue ratably over the life of the contracts. Our maintenance contracts are for a term of one year, but may be two or three year, or occasionally as long as five year terms. We repurchased 9.7 million shares of our common stock for $327.4 million during fiscal 2012. Comparatively, we repurchased 9.0 million shares of our common stock for $280.3 million during fiscal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380" w:right="100"/>
        <w:spacing w:after="0" w:line="381" w:lineRule="auto"/>
        <w:rPr>
          <w:sz w:val="20"/>
          <w:szCs w:val="20"/>
          <w:color w:val="auto"/>
        </w:rPr>
      </w:pPr>
      <w:r>
        <w:rPr>
          <w:rFonts w:ascii="Arial" w:cs="Arial" w:eastAsia="Arial" w:hAnsi="Arial"/>
          <w:sz w:val="16"/>
          <w:szCs w:val="16"/>
          <w:color w:val="auto"/>
        </w:rPr>
        <w:t>Europe, Middle East and Africa Asia Pacific</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Revenue by Operating Segment:</w:t>
      </w:r>
    </w:p>
    <w:p>
      <w:pPr>
        <w:spacing w:after="0" w:line="125" w:lineRule="exact"/>
        <w:rPr>
          <w:sz w:val="20"/>
          <w:szCs w:val="20"/>
          <w:color w:val="auto"/>
        </w:rPr>
      </w:pPr>
    </w:p>
    <w:p>
      <w:pPr>
        <w:ind w:left="540" w:hanging="161"/>
        <w:spacing w:after="0" w:line="293" w:lineRule="auto"/>
        <w:rPr>
          <w:sz w:val="20"/>
          <w:szCs w:val="20"/>
          <w:color w:val="auto"/>
        </w:rPr>
      </w:pPr>
      <w:r>
        <w:rPr>
          <w:rFonts w:ascii="Arial" w:cs="Arial" w:eastAsia="Arial" w:hAnsi="Arial"/>
          <w:sz w:val="16"/>
          <w:szCs w:val="16"/>
          <w:color w:val="auto"/>
        </w:rPr>
        <w:t>Platform Solutions and Emerging Business</w:t>
      </w:r>
    </w:p>
    <w:p>
      <w:pPr>
        <w:spacing w:after="0" w:line="10" w:lineRule="exact"/>
        <w:rPr>
          <w:sz w:val="20"/>
          <w:szCs w:val="20"/>
          <w:color w:val="auto"/>
        </w:rPr>
      </w:pPr>
    </w:p>
    <w:p>
      <w:pPr>
        <w:ind w:left="540" w:right="220" w:hanging="161"/>
        <w:spacing w:after="0" w:line="293" w:lineRule="auto"/>
        <w:rPr>
          <w:sz w:val="20"/>
          <w:szCs w:val="20"/>
          <w:color w:val="auto"/>
        </w:rPr>
      </w:pPr>
      <w:r>
        <w:rPr>
          <w:rFonts w:ascii="Arial" w:cs="Arial" w:eastAsia="Arial" w:hAnsi="Arial"/>
          <w:sz w:val="16"/>
          <w:szCs w:val="16"/>
          <w:color w:val="auto"/>
        </w:rPr>
        <w:t>Architecture, Engineering and Construction</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Increase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Increase (decrease)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5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Fiscal Year</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compared to</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0" w:type="dxa"/>
            <w:vAlign w:val="bottom"/>
          </w:tcPr>
          <w:p>
            <w:pPr>
              <w:spacing w:after="0"/>
              <w:rPr>
                <w:sz w:val="1"/>
                <w:szCs w:val="1"/>
                <w:color w:val="auto"/>
              </w:rPr>
            </w:pPr>
          </w:p>
        </w:tc>
      </w:tr>
      <w:tr>
        <w:trPr>
          <w:trHeight w:val="52"/>
        </w:trPr>
        <w:tc>
          <w:tcPr>
            <w:tcW w:w="1220" w:type="dxa"/>
            <w:vAlign w:val="bottom"/>
            <w:gridSpan w:val="3"/>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31, 2012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31, 2011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31, 2010</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9"/>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1,357.6</w:t>
            </w:r>
          </w:p>
        </w:tc>
        <w:tc>
          <w:tcPr>
            <w:tcW w:w="100" w:type="dxa"/>
            <w:vAlign w:val="bottom"/>
          </w:tcPr>
          <w:p>
            <w:pPr>
              <w:spacing w:after="0"/>
              <w:rPr>
                <w:sz w:val="24"/>
                <w:szCs w:val="24"/>
                <w:color w:val="auto"/>
              </w:rPr>
            </w:pPr>
          </w:p>
        </w:tc>
        <w:tc>
          <w:tcPr>
            <w:tcW w:w="5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185.5</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1,172.1</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191.4</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858.0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78.3</w:t>
            </w:r>
          </w:p>
        </w:tc>
        <w:tc>
          <w:tcPr>
            <w:tcW w:w="8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779.7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46.7</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733.0</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263.8</w:t>
            </w: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1,951.8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238.1</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1,713.7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798.5</w:t>
            </w:r>
          </w:p>
        </w:tc>
        <w:tc>
          <w:tcPr>
            <w:tcW w:w="100" w:type="dxa"/>
            <w:vAlign w:val="bottom"/>
          </w:tcPr>
          <w:p>
            <w:pPr>
              <w:spacing w:after="0"/>
              <w:rPr>
                <w:sz w:val="24"/>
                <w:szCs w:val="24"/>
                <w:color w:val="auto"/>
              </w:rPr>
            </w:pPr>
          </w:p>
        </w:tc>
        <w:tc>
          <w:tcPr>
            <w:tcW w:w="5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97.0</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701.5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47.1</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654.4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862.2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79.4</w:t>
            </w:r>
          </w:p>
        </w:tc>
        <w:tc>
          <w:tcPr>
            <w:tcW w:w="8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782.8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111.7</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671.1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87.4</w:t>
            </w:r>
          </w:p>
        </w:tc>
        <w:tc>
          <w:tcPr>
            <w:tcW w:w="8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467.5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79.3</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263.8</w:t>
            </w: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1,951.8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238.1</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1,713.7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24"/>
                <w:szCs w:val="24"/>
                <w:color w:val="auto"/>
              </w:rPr>
            </w:pPr>
          </w:p>
        </w:tc>
        <w:tc>
          <w:tcPr>
            <w:tcW w:w="5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116.9</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716.2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92.2</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624.0</w:t>
            </w: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626.4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58.4</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568.0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54.7</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70.3</w:t>
            </w:r>
          </w:p>
        </w:tc>
        <w:tc>
          <w:tcPr>
            <w:tcW w:w="8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83.1</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18.2</w:t>
            </w:r>
          </w:p>
        </w:tc>
        <w:tc>
          <w:tcPr>
            <w:tcW w:w="8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8.5</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263.8</w:t>
            </w: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1,951.8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238.1</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1,713.7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-2889250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-2546350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-2177415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-1834515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-1482725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-1002665</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-539750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-196850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180"/>
            <w:col w:w="8680"/>
          </w:cols>
          <w:pgMar w:left="240" w:top="125"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2012 Net Revenue Compared to Fiscal 2011 Net Revenue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Other revenue consists of revenue from Creative Finishing, consulting and training services and hosted technology solutions.</w:t>
      </w:r>
    </w:p>
    <w:p>
      <w:pPr>
        <w:spacing w:after="0" w:line="12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Total license and other revenue increased 16% during fiscal 2012 as compared to fiscal 2011. This increase was primarily due to the 16% increase in revenue from commercial new seat licenses during fiscal 2012 as compared to fiscal 2011. During fiscal 2012, 13 percentage points of the 16% increase was due to the increase in the number of seats sold, and 3 percentage points was due to an increase in the average net revenue per seat. Commercial new seat revenue, as a percentage of license and other revenue, was 67% for both fiscal 2012 and 2011.</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Also contributing to the increase in license and other revenue during fiscal 2012, as compared to fiscal 2011, was the 14% increase in upgrade revenue. Upgrade revenue increased during fiscal 2012 in comparison to fiscal 2011 primarily due to an ACAD LT upgrade promotion during the first quarter of fiscal 2012, an increase in large enterprise transactions, customers migrating from stand-alone products to suites and a promotion that was run related to the education solutions suites.</w:t>
      </w:r>
    </w:p>
    <w:p>
      <w:pPr>
        <w:spacing w:after="0" w:line="13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Backlog related to current software license product orders that had not shipped at the end of the quarter decreased by $0.4 million during fiscal 2012 from $27.5 million at January 31, 2011 to $27.1 million at January 31, 2012.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0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Maintenance revenue increased 10% during fiscal 2012, as compared to fiscal 2011, primarily due to a 10% increase in commercial maintenance revenue. The 10% increase in commercial maintenance revenue was due to an 8 percentage point increase in commercial enrollment during the corresponding maintenance contract term and a 2 percentage point increase in net revenue per maintenance seat. Commercial maintenance revenue represented 98% of maintenance revenue for both fiscal 2012 and 2011. Total subscription program enrollment at January 31, 2012 and 2011 consisted of about 3.2 million users and 2.9 million users, respectively.</w:t>
      </w:r>
    </w:p>
    <w:p>
      <w:pPr>
        <w:spacing w:after="0" w:line="134"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 or occasionally as long as five year, terms. Net maintenance billings increased 19% during fiscal 2012 as compared to fiscal 2011. This increase was due to an increase in maintenance renewals, new multi-year maintenance contracts, and the impact from the upgrade promotions mentioned above in "License and Other Revenue."</w:t>
      </w:r>
    </w:p>
    <w:p>
      <w:pPr>
        <w:spacing w:after="0" w:line="10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Deferred revenue for fiscal 2012 and 2011 was $719.2 million and $587.9 million, respectively. Deferred revenue consists primarily of deferred maintenance revenue. To a lesser extent, deferred revenue consists of deferred license and other revenue derived from hosted technology solutions, consulting services and deferred license sales.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171"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Net revenue in the Americas geography increased by 14% both as reported and constant currency basis, during fiscal 2012, as compared to fiscal 2011. This increase was primarily due to a 14% increase in revenue from new seats during fiscal 2012 as compared to fiscal 2011. Maintenance revenue increased 10% during fiscal 2012 as compared to fiscal 2011. This increase in our revenue in this geography was led by the U.S. and Canada.</w:t>
      </w:r>
    </w:p>
    <w:p>
      <w:pPr>
        <w:spacing w:after="0" w:line="9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Net revenue in the EMEA geography increased by 10% both as reported and constant currency basis, during fiscal 2012 as compared to fiscal 2011. The increase was primarily due to a 14% increase in new seat revenue and a 6% increase in maintenance revenue. The increase in our revenue in this geography was led by the Russian Federation, Belgium, United Kingdom and Germany.</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revenue in the APAC geography increased by 19%, or 12% on a constant currency basis, during fiscal 2012, as compared to fiscal 2011, primarily due to a 20% increase in new seat revenue and a 21% increase in maintenance revenue. Net revenue expansion in the APAC geography during fiscal 2012 occurred in virtually all countries, led by Japan and followed by Australia and South Korea.</w:t>
      </w:r>
    </w:p>
    <w:p>
      <w:pPr>
        <w:spacing w:after="0" w:line="127"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Net revenue in emerging economies increased by 16%, or 13% on a constant currency basis, during fiscal 2012 as compared to fiscal 2011, primarily due to revenue from the Russian Federation, India, Mexico, and Brazil. This growth was a significant factor in our international sales growth during fiscal 2012. Revenue from emerging economies represented 16% of net revenue for fiscal 2012 and 15% for fiscal 2011.</w:t>
      </w:r>
    </w:p>
    <w:p>
      <w:pPr>
        <w:spacing w:after="0" w:line="11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International net revenue represented 72% and 71% of our net revenue in fiscal 2012 and fiscal 2011, respectively. We believe that international revenue will continue to comprise a majority of our total net revenue. Unfavorable economic conditions in the countries that contribute a significant portion of our net revenue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the U.S. credit-rating downgrade and weak global economic conditions that have been characterized by restructuring of sovereign debt, high unemployment, and volatility in the financial markets may impact our future financial results.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17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revenue for PSEB, which includes our Autodesk Design Suite, increased 16% during fiscal 2012, as compared to fiscal 2011, primarily due to a 15% increase in revenue from our AutoCAD LT products.</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Net revenue for AEC increased 10% during fiscal 2012, as compared to fiscal 2011, primarily due to a 10% increase in revenue from our Revit family of products.</w:t>
      </w:r>
    </w:p>
    <w:p>
      <w:pPr>
        <w:spacing w:after="0" w:line="1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Net revenue for MFG increased 15% during fiscal 2012, as compared to fiscal 2011, primarily due to a 14% increase in revenue from our Autodesk Inventor family of products and a 24% increase in our AutoCAD Electrical products.</w:t>
      </w:r>
    </w:p>
    <w:p>
      <w:pPr>
        <w:spacing w:after="0" w:line="11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revenue for M&amp;E increased 9% during fiscal 2012, as compared to fiscal 2011, primarily due to a 15% increase in revenue from our Animation product group, which includes our Autodesk Entertainment Creation Suite, offset by a 3% decrease in revenue from Creative Finishing. The increase in Animation revenue was primarily due to a 13% increase in revenue from Autodesk Maya related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Net Revenue Compared to Fiscal 2010 Net Revenue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5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Total license and other revenue increased 20% during fiscal 2011 as compared to fiscal 2010. This increase was primarily due to the 31% increase in commercial new seat revenue during fiscal 2011 as compared to fiscal 2010. During fiscal 2011, 28 percentage points of the 31% increase was due to the increase in the number of seats sold, and 3 percentage points was due to higher average net revenue per seat. Commercial new seat revenue, as a percentage of license and other revenue, was 67% and 61% for fiscal 2011 and 2010, respectively.</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Also contributing to the increase in license and other revenue during fiscal 2011, as compared to fiscal 2010, was the 22% increase in upgrade revenue, which includes crossgrade revenue. Upgrade revenue was higher during fiscal 2011 primarily due to a one-time increase in upgrades in response to a promotion in advance of the March 2010 increase in upgrade pricing, an additional promotion run in the Americas geography in the fourth quarter and an increase in the number of larger revenue transactions in fiscal 2011 as compared to fiscal 2010.</w:t>
      </w:r>
    </w:p>
    <w:p>
      <w:pPr>
        <w:spacing w:after="0" w:line="13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Backlog related to current software license product orders that had not shipped at the end of the quarter increased by $1.5 million during fiscal 2011 from $26.0 million at January 31, 2010 to $27.5 million at January 31, 2011.</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Maintenance revenue increased 6% during fiscal 2011, as compared to fiscal 2010, primarily due to a 7% increase in commercial maintenance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subscription program enrollment at January 31, 2011 and 2010 consisted of about 2.9 million users and 2.2 million users, respectively.</w:t>
      </w:r>
    </w:p>
    <w:p>
      <w:pPr>
        <w:spacing w:after="0" w:line="15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7% increase in commercial maintenance revenue was due to a 5 percentage point increase in net revenue per maintenance seat and a 2 percentage point increase in commercial enrollment during the corresponding maintenance contract term. Commercial maintenance revenue represented 98% of maintenance revenue for both fiscal 2011 and 2010.</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Net maintenance billings increased 14% during fiscal 2011 as compared to fiscal 2010. This increase was due to an increase in renewals, more new seats sold and the impact from the upgrade pricing promotion mentioned above.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at January 31, 2011 and January 31, 2010, was $587.9 million and $516.5 million, respectively.</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17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Net revenue in the Americas geography increased by 7% both as reported and on a constant currency basis, during fiscal 2011, as compared to fiscal 2010. This increase was primarily due to a 33% increase in revenue from new seats during fiscal 2011 as compared to fiscal 2010. Maintenance revenue increased 3% during fiscal 2011 as compared to fiscal 2010. The Americas was affected by slower economic growth than our other geographies, which impacted growth rates for all of our products during fiscal 2011.</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revenue in the EMEA geography increased by 17%, or 13% on a constant currency basis, during fiscal 2011 as compared to fiscal 2010. The increase was primarily due to a 24% increase in new seat revenue and a 9% increase in maintenance revenue. The EMEA geography’s increase in revenue during fiscal 2011 was primarily due to economic expansion in virtually all countries in that geography. The increase in our revenue in that geography was led by Germany, France, the United Kingdom and Belgium.</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revenue in the APAC geography increased by 20%, or 16% on a constant currency basis, during fiscal 2011, as compared to fiscal 2010, primarily due to a 24% increase in new seat revenue and a 48% increase in upgrade revenue. Net revenue expansion in the APAC geography during fiscal 2011 occurred in virtually all countries, led by Japan and followed by South Korea, Australia and India.</w:t>
      </w:r>
    </w:p>
    <w:p>
      <w:pPr>
        <w:spacing w:after="0" w:line="12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Net revenue in emerging economies increased 17% during fiscal 2011 as compared to fiscal 2010, primarily due to revenue from China, the Russian Federation, India, Brazil and Poland. This growth was a significant factor in our international sales growth during fiscal 2011. Revenue from emerging economies represented 15% of net revenue for both fiscal 2011 and 2010.</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International net revenue represented 71% of our net revenue in fiscal 2011 and 69% of our net revenue in fiscal 2010.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Location Services, which we disposed of in February 2009, is not included in any of the above reportable segments and is reflected as Other.</w:t>
      </w:r>
    </w:p>
    <w:p>
      <w:pPr>
        <w:spacing w:after="0" w:line="127"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Net revenue for PSEB increased 15% during fiscal 2011, as compared to fiscal 2010, primarily due to a 20% increase in revenue from both our AutoCAD and AutoCAD LT products, offset by a net 21% decrease in revenue from all other PSEB products and services.</w:t>
      </w:r>
    </w:p>
    <w:p>
      <w:pPr>
        <w:spacing w:after="0" w:line="93"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Net revenue for AEC increased 11% during fiscal 2011, as compared to fiscal 2010, primarily due to a 24% increase in revenue from our Revit products, a 6% increase in revenue from our AutoCAD Civil 3D products, and a 27% increase in revenue from our Navisworks products.</w:t>
      </w:r>
    </w:p>
    <w:p>
      <w:pPr>
        <w:spacing w:after="0" w:line="9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Net revenue for MFG increased 22% during fiscal 2011, as compared to fiscal 2010, primarily due to a 23% increase in revenue from our Autodesk Inventor products and a 28% increase in our AutoCAD Mechanical products.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revenue for M&amp;E increased 4% during fiscal 2011, as compared to fiscal 2010, primarily due to a 5% increase in revenue from our Animation product group and a 3% increase in revenue from Creative Finishing. The increase in Animation revenue was primarily due to a 4% increase in revenue from Autodesk 3ds Max.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Increase compared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Increase (decrease)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Fiscal Year Ended</w:t>
            </w:r>
          </w:p>
        </w:tc>
        <w:tc>
          <w:tcPr>
            <w:tcW w:w="0" w:type="dxa"/>
            <w:vAlign w:val="bottom"/>
          </w:tcPr>
          <w:p>
            <w:pPr>
              <w:spacing w:after="0"/>
              <w:rPr>
                <w:sz w:val="1"/>
                <w:szCs w:val="1"/>
                <w:color w:val="auto"/>
              </w:rPr>
            </w:pPr>
          </w:p>
        </w:tc>
      </w:tr>
      <w:tr>
        <w:trPr>
          <w:trHeight w:val="58"/>
        </w:trPr>
        <w:tc>
          <w:tcPr>
            <w:tcW w:w="18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2012</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31, 2011</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January 31, 2010</w:t>
            </w: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License and other   $</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24.9</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2000" w:type="dxa"/>
            <w:vAlign w:val="bottom"/>
            <w:gridSpan w:val="2"/>
          </w:tcPr>
          <w:p>
            <w:pPr>
              <w:ind w:left="380"/>
              <w:spacing w:after="0"/>
              <w:rPr>
                <w:sz w:val="20"/>
                <w:szCs w:val="20"/>
                <w:color w:val="auto"/>
              </w:rPr>
            </w:pPr>
            <w:r>
              <w:rPr>
                <w:rFonts w:ascii="Arial" w:cs="Arial" w:eastAsia="Arial" w:hAnsi="Arial"/>
                <w:sz w:val="18"/>
                <w:szCs w:val="18"/>
                <w:color w:val="auto"/>
              </w:rPr>
              <w:t>Maintenance</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7.6</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8"/>
                <w:szCs w:val="18"/>
                <w:color w:val="auto"/>
              </w:rPr>
              <w:t>14.6</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32.5</w:t>
            </w: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Cost of license and other revenue increased 15% during fiscal 2012, as compared to fiscal 2011 primarily due to increased support costs and lower margin consulting engagements. Cost of license and other revenue decreased 6% during fiscal 2011, as compared to fiscal 2010 primarily due to savings on shipping and handling costs resulting from the switch to 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lower cost vendor as well as an increase in electronic order fulfillment.</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22% during fiscal 2012 as compared to fiscal 2011 due to an increase in maintenance support headcount and increased annual fulfillment costs related to supplying USB flash drives of our suites products. Cost of maintenance revenue increased 74% during fiscal 2011 as compared to fiscal 2010 due to an increase in maintenance support headcount. These increases were partially offset by savings on freight and materials costs as fewer maintenance customers require physical shipments than in the past due to electronic fulfillment.</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cost of revenue to increase in absolute dollars, but to remain relatively consistent as a percentage of net revenue during fiscal 2013, as compared to fiscal 2012.</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As a percentage of net revenue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prior fiscal year</w:t>
            </w:r>
          </w:p>
        </w:tc>
        <w:tc>
          <w:tcPr>
            <w:tcW w:w="420" w:type="dxa"/>
            <w:vAlign w:val="bottom"/>
            <w:tcBorders>
              <w:bottom w:val="single" w:sz="8" w:color="auto"/>
            </w:tcBorders>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prior fiscal year</w:t>
            </w:r>
          </w:p>
        </w:tc>
        <w:tc>
          <w:tcPr>
            <w:tcW w:w="44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1380" w:type="dxa"/>
            <w:vAlign w:val="bottom"/>
            <w:gridSpan w:val="2"/>
            <w:vMerge w:val="continue"/>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2012</w:t>
            </w:r>
          </w:p>
        </w:tc>
        <w:tc>
          <w:tcPr>
            <w:tcW w:w="6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2"/>
              </w:rPr>
              <w:t>January 31, 2011</w:t>
            </w:r>
          </w:p>
        </w:tc>
        <w:tc>
          <w:tcPr>
            <w:tcW w:w="6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2"/>
              </w:rPr>
              <w:t>January 31, 2010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842.6</w:t>
            </w:r>
          </w:p>
        </w:tc>
        <w:tc>
          <w:tcPr>
            <w:tcW w:w="620" w:type="dxa"/>
            <w:vAlign w:val="bottom"/>
          </w:tcPr>
          <w:p>
            <w:pPr>
              <w:jc w:val="right"/>
              <w:ind w:right="423"/>
              <w:spacing w:after="0"/>
              <w:rPr>
                <w:sz w:val="20"/>
                <w:szCs w:val="20"/>
                <w:color w:val="auto"/>
              </w:rPr>
            </w:pPr>
            <w:r>
              <w:rPr>
                <w:rFonts w:ascii="Arial" w:cs="Arial" w:eastAsia="Arial" w:hAnsi="Arial"/>
                <w:sz w:val="16"/>
                <w:szCs w:val="16"/>
                <w:color w:val="auto"/>
              </w:rPr>
              <w:t>$</w:t>
            </w:r>
          </w:p>
        </w:tc>
        <w:tc>
          <w:tcPr>
            <w:tcW w:w="1580" w:type="dxa"/>
            <w:vAlign w:val="bottom"/>
          </w:tcPr>
          <w:p>
            <w:pPr>
              <w:ind w:left="220"/>
              <w:spacing w:after="0"/>
              <w:rPr>
                <w:sz w:val="20"/>
                <w:szCs w:val="20"/>
                <w:color w:val="auto"/>
              </w:rPr>
            </w:pPr>
            <w:r>
              <w:rPr>
                <w:rFonts w:ascii="Arial" w:cs="Arial" w:eastAsia="Arial" w:hAnsi="Arial"/>
                <w:sz w:val="16"/>
                <w:szCs w:val="16"/>
                <w:color w:val="auto"/>
              </w:rPr>
              <w:t>66.6</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776.0</w:t>
            </w:r>
          </w:p>
        </w:tc>
        <w:tc>
          <w:tcPr>
            <w:tcW w:w="620" w:type="dxa"/>
            <w:vAlign w:val="bottom"/>
          </w:tcPr>
          <w:p>
            <w:pPr>
              <w:jc w:val="right"/>
              <w:ind w:right="423"/>
              <w:spacing w:after="0"/>
              <w:rPr>
                <w:sz w:val="20"/>
                <w:szCs w:val="20"/>
                <w:color w:val="auto"/>
              </w:rPr>
            </w:pPr>
            <w:r>
              <w:rPr>
                <w:rFonts w:ascii="Arial" w:cs="Arial" w:eastAsia="Arial" w:hAnsi="Arial"/>
                <w:sz w:val="16"/>
                <w:szCs w:val="16"/>
                <w:color w:val="auto"/>
              </w:rPr>
              <w:t>$</w:t>
            </w:r>
          </w:p>
        </w:tc>
        <w:tc>
          <w:tcPr>
            <w:tcW w:w="1560" w:type="dxa"/>
            <w:vAlign w:val="bottom"/>
          </w:tcPr>
          <w:p>
            <w:pPr>
              <w:ind w:left="220"/>
              <w:spacing w:after="0"/>
              <w:rPr>
                <w:sz w:val="20"/>
                <w:szCs w:val="20"/>
                <w:color w:val="auto"/>
              </w:rPr>
            </w:pPr>
            <w:r>
              <w:rPr>
                <w:rFonts w:ascii="Arial" w:cs="Arial" w:eastAsia="Arial" w:hAnsi="Arial"/>
                <w:sz w:val="16"/>
                <w:szCs w:val="16"/>
                <w:color w:val="auto"/>
              </w:rPr>
              <w:t>44.1</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40%</w:t>
            </w: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-269875</wp:posOffset>
            </wp:positionV>
            <wp:extent cx="72466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1480" w:space="420"/>
            <w:col w:w="9520"/>
          </w:cols>
          <w:pgMar w:left="240" w:top="125" w:right="239" w:bottom="1440" w:gutter="0" w:footer="0" w:header="0"/>
          <w:type w:val="continuous"/>
        </w:sectPr>
      </w:pPr>
    </w:p>
    <w:p>
      <w:pPr>
        <w:spacing w:after="0" w:line="22"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Marketing and sales expenses increased 9% during fiscal 2012, as compared to fiscal 2011, primarily due to higher employee-related costs related to salaries and fringe benefits primarily associated with increased head count and the reinstatement of merit increases in fiscal 2012. Marketing and sales expenses increased 6% during fiscal 2011, as compared to fiscal 2010, primarily due to higher employee-related costs related to variable compensation, including commissions, bonuses and related fringe benefits. Variable compensation expenses increased as a result of exceeding our fiscal 2011 target revenue growth and operating margins growth targets more than we did in fiscal 2010. Our annual incentive plans are based on forecasted revenue and operating margin, with current year targets set at the beginning of the fiscal year. These increases were partially offset by the decrease in advertising and promotion spending and stock-based compensation expense.</w:t>
      </w:r>
    </w:p>
    <w:p>
      <w:pPr>
        <w:spacing w:after="0" w:line="17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expect to balance our need to invest in the marketing and sales of our products with our desire to actively manage our sales and marketing operating expenses. As a result, we expect marketing and sales expense to increase in absolute dollars, but remain relatively consistent as a percentage of net revenue in fiscal 2013, as compared to fiscal 2012.</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Increase compared to</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Increase compared to</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w w:val="97"/>
              </w:rPr>
              <w:t>Fiscal Year Ended</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prior fiscal year</w:t>
            </w:r>
          </w:p>
        </w:tc>
        <w:tc>
          <w:tcPr>
            <w:tcW w:w="480" w:type="dxa"/>
            <w:vAlign w:val="bottom"/>
            <w:tcBorders>
              <w:bottom w:val="single" w:sz="8" w:color="auto"/>
            </w:tcBorders>
          </w:tcPr>
          <w:p>
            <w:pPr>
              <w:spacing w:after="0"/>
              <w:rPr>
                <w:sz w:val="16"/>
                <w:szCs w:val="16"/>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6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42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18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January 31, 2012</w:t>
            </w:r>
          </w:p>
        </w:tc>
        <w:tc>
          <w:tcPr>
            <w:tcW w:w="6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January 31, 2011</w:t>
            </w:r>
          </w:p>
        </w:tc>
        <w:tc>
          <w:tcPr>
            <w:tcW w:w="6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January 31, 2010</w:t>
            </w: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860" w:type="dxa"/>
            <w:vAlign w:val="bottom"/>
          </w:tcPr>
          <w:p>
            <w:pPr>
              <w:ind w:left="40"/>
              <w:spacing w:after="0"/>
              <w:rPr>
                <w:sz w:val="20"/>
                <w:szCs w:val="20"/>
                <w:color w:val="auto"/>
              </w:rPr>
            </w:pPr>
            <w:r>
              <w:rPr>
                <w:rFonts w:ascii="Arial" w:cs="Arial" w:eastAsia="Arial" w:hAnsi="Arial"/>
                <w:sz w:val="18"/>
                <w:szCs w:val="18"/>
                <w:color w:val="auto"/>
              </w:rPr>
              <w:t>Research and</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40"/>
              <w:spacing w:after="0"/>
              <w:rPr>
                <w:sz w:val="20"/>
                <w:szCs w:val="20"/>
                <w:color w:val="auto"/>
              </w:rPr>
            </w:pPr>
            <w:r>
              <w:rPr>
                <w:rFonts w:ascii="Arial" w:cs="Arial" w:eastAsia="Arial" w:hAnsi="Arial"/>
                <w:sz w:val="18"/>
                <w:szCs w:val="18"/>
                <w:color w:val="auto"/>
              </w:rPr>
              <w:t>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16"/>
              <w:spacing w:after="0"/>
              <w:rPr>
                <w:sz w:val="20"/>
                <w:szCs w:val="20"/>
                <w:color w:val="auto"/>
              </w:rPr>
            </w:pPr>
            <w:r>
              <w:rPr>
                <w:rFonts w:ascii="Arial" w:cs="Arial" w:eastAsia="Arial" w:hAnsi="Arial"/>
                <w:sz w:val="18"/>
                <w:szCs w:val="18"/>
                <w:color w:val="auto"/>
              </w:rPr>
              <w:t>566.5</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24"/>
              <w:spacing w:after="0"/>
              <w:rPr>
                <w:sz w:val="20"/>
                <w:szCs w:val="20"/>
                <w:color w:val="auto"/>
              </w:rPr>
            </w:pPr>
            <w:r>
              <w:rPr>
                <w:rFonts w:ascii="Arial" w:cs="Arial" w:eastAsia="Arial" w:hAnsi="Arial"/>
                <w:sz w:val="18"/>
                <w:szCs w:val="18"/>
                <w:color w:val="auto"/>
              </w:rPr>
              <w:t>70.3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300" w:type="dxa"/>
            <w:vAlign w:val="bottom"/>
          </w:tcPr>
          <w:p>
            <w:pPr>
              <w:jc w:val="right"/>
              <w:ind w:right="219"/>
              <w:spacing w:after="0"/>
              <w:rPr>
                <w:sz w:val="20"/>
                <w:szCs w:val="20"/>
                <w:color w:val="auto"/>
              </w:rPr>
            </w:pPr>
            <w:r>
              <w:rPr>
                <w:rFonts w:ascii="Arial" w:cs="Arial" w:eastAsia="Arial" w:hAnsi="Arial"/>
                <w:sz w:val="18"/>
                <w:szCs w:val="18"/>
                <w:color w:val="auto"/>
              </w:rPr>
              <w:t>496.2</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64"/>
              <w:spacing w:after="0"/>
              <w:rPr>
                <w:sz w:val="20"/>
                <w:szCs w:val="20"/>
                <w:color w:val="auto"/>
              </w:rPr>
            </w:pPr>
            <w:r>
              <w:rPr>
                <w:rFonts w:ascii="Arial" w:cs="Arial" w:eastAsia="Arial" w:hAnsi="Arial"/>
                <w:sz w:val="18"/>
                <w:szCs w:val="18"/>
                <w:color w:val="auto"/>
              </w:rPr>
              <w:t>38.7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As a percentage of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stock-based compensation expense for research and development employees, and the expense of travel, entertainment and training for such personnel, rent and occupancy, professional services such as fees paid to software development firms and independent contractors.</w:t>
      </w:r>
    </w:p>
    <w:p>
      <w:pPr>
        <w:spacing w:after="0" w:line="170"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Research and development expenses increased 14% during fiscal 2012, as compared to fiscal 2011, primarily due to an increase in salaries and fringe benefits primarily associated with increased headcount and the reinstatement of merit increases in fiscal 2012, and to an increase in professional service fees in fiscal 2012 as compared to fiscal 2011. Research and development expenses increased 8% during fiscal 2011, as compared to fiscal 2010, primarily due to an increase in bonuses, salaries and benefits.</w:t>
      </w:r>
    </w:p>
    <w:p>
      <w:pPr>
        <w:spacing w:after="0" w:line="18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expect research and development expense to increase in absolute dollars, but remain relatively consistent as a percentage of net revenue during fiscal 2013, as compared to fiscal 2012, as we continue to invest in product development and acquire new technology in fiscal 2013.</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Increase compared to</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Increase compared to</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w w:val="97"/>
              </w:rPr>
              <w:t>Fiscal Year Ended</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prior fiscal year</w:t>
            </w:r>
          </w:p>
        </w:tc>
        <w:tc>
          <w:tcPr>
            <w:tcW w:w="480" w:type="dxa"/>
            <w:vAlign w:val="bottom"/>
            <w:tcBorders>
              <w:bottom w:val="single" w:sz="8" w:color="auto"/>
            </w:tcBorders>
          </w:tcPr>
          <w:p>
            <w:pPr>
              <w:spacing w:after="0"/>
              <w:rPr>
                <w:sz w:val="16"/>
                <w:szCs w:val="16"/>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6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42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18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January 31, 2012</w:t>
            </w:r>
          </w:p>
        </w:tc>
        <w:tc>
          <w:tcPr>
            <w:tcW w:w="6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January 31, 2011</w:t>
            </w:r>
          </w:p>
        </w:tc>
        <w:tc>
          <w:tcPr>
            <w:tcW w:w="6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January 31, 2010</w:t>
            </w: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60" w:type="dxa"/>
            <w:vAlign w:val="bottom"/>
          </w:tcPr>
          <w:p>
            <w:pPr>
              <w:ind w:left="40"/>
              <w:spacing w:after="0"/>
              <w:rPr>
                <w:sz w:val="20"/>
                <w:szCs w:val="20"/>
                <w:color w:val="auto"/>
              </w:rPr>
            </w:pPr>
            <w:r>
              <w:rPr>
                <w:rFonts w:ascii="Arial" w:cs="Arial" w:eastAsia="Arial" w:hAnsi="Arial"/>
                <w:sz w:val="18"/>
                <w:szCs w:val="18"/>
                <w:color w:val="auto"/>
              </w:rPr>
              <w:t>General and</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16"/>
              <w:spacing w:after="0"/>
              <w:rPr>
                <w:sz w:val="20"/>
                <w:szCs w:val="20"/>
                <w:color w:val="auto"/>
              </w:rPr>
            </w:pPr>
            <w:r>
              <w:rPr>
                <w:rFonts w:ascii="Arial" w:cs="Arial" w:eastAsia="Arial" w:hAnsi="Arial"/>
                <w:sz w:val="18"/>
                <w:szCs w:val="18"/>
                <w:color w:val="auto"/>
              </w:rPr>
              <w:t>223.1</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24"/>
              <w:spacing w:after="0"/>
              <w:rPr>
                <w:sz w:val="20"/>
                <w:szCs w:val="20"/>
                <w:color w:val="auto"/>
              </w:rPr>
            </w:pPr>
            <w:r>
              <w:rPr>
                <w:rFonts w:ascii="Arial" w:cs="Arial" w:eastAsia="Arial" w:hAnsi="Arial"/>
                <w:sz w:val="18"/>
                <w:szCs w:val="18"/>
                <w:color w:val="auto"/>
              </w:rPr>
              <w:t>22.3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300" w:type="dxa"/>
            <w:vAlign w:val="bottom"/>
          </w:tcPr>
          <w:p>
            <w:pPr>
              <w:jc w:val="right"/>
              <w:ind w:right="219"/>
              <w:spacing w:after="0"/>
              <w:rPr>
                <w:sz w:val="20"/>
                <w:szCs w:val="20"/>
                <w:color w:val="auto"/>
              </w:rPr>
            </w:pPr>
            <w:r>
              <w:rPr>
                <w:rFonts w:ascii="Arial" w:cs="Arial" w:eastAsia="Arial" w:hAnsi="Arial"/>
                <w:sz w:val="18"/>
                <w:szCs w:val="18"/>
                <w:color w:val="auto"/>
              </w:rPr>
              <w:t>200.8</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64"/>
              <w:spacing w:after="0"/>
              <w:rPr>
                <w:sz w:val="20"/>
                <w:szCs w:val="20"/>
                <w:color w:val="auto"/>
              </w:rPr>
            </w:pPr>
            <w:r>
              <w:rPr>
                <w:rFonts w:ascii="Arial" w:cs="Arial" w:eastAsia="Arial" w:hAnsi="Arial"/>
                <w:sz w:val="18"/>
                <w:szCs w:val="18"/>
                <w:color w:val="auto"/>
              </w:rPr>
              <w:t>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As a percentage of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expense of travel, entertainment and training, expense of communication and the cost of supplies and equipment.</w:t>
      </w:r>
    </w:p>
    <w:p>
      <w:pPr>
        <w:spacing w:after="0" w:line="24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 and administrative expenses increased 11% from fiscal 2011 to fiscal 2012 primarily due to an increase in amortization of acquisition related customer relationships and trade names and the increase in salaries primarily associated with increased head count and the reinstatement of merit increases in fiscal 2012. General and administrative expenses increased 2% from fiscal 2010 to fiscal 2011 primarily due to an increase in bonuses and salaries partially offset by a decrease in stock based compensation expense.</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expect general and administrative expense to increase in absolute dollars, but remain consistent as a percentage of net revenue during fiscal 2013, as compared to fiscal 2012.</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compared to</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compared to</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40" w:type="dxa"/>
            <w:vAlign w:val="bottom"/>
            <w:gridSpan w:val="2"/>
            <w:vMerge w:val="restart"/>
          </w:tcPr>
          <w:p>
            <w:pPr>
              <w:jc w:val="center"/>
              <w:ind w:right="36"/>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w:t>
            </w:r>
          </w:p>
        </w:tc>
        <w:tc>
          <w:tcPr>
            <w:tcW w:w="600" w:type="dxa"/>
            <w:vAlign w:val="bottom"/>
            <w:tcBorders>
              <w:bottom w:val="single" w:sz="8" w:color="auto"/>
            </w:tcBorders>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54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January 31, 2012</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2"/>
              </w:rPr>
              <w:t>January 31, 2011</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January 31, 2010</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84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2"/>
                <w:szCs w:val="22"/>
                <w:color w:val="auto"/>
              </w:rPr>
            </w:pPr>
          </w:p>
        </w:tc>
        <w:tc>
          <w:tcPr>
            <w:tcW w:w="1440" w:type="dxa"/>
            <w:vAlign w:val="bottom"/>
          </w:tcPr>
          <w:p>
            <w:pPr>
              <w:jc w:val="right"/>
              <w:ind w:right="784"/>
              <w:spacing w:after="0"/>
              <w:rPr>
                <w:sz w:val="20"/>
                <w:szCs w:val="20"/>
                <w:color w:val="auto"/>
              </w:rPr>
            </w:pPr>
            <w:r>
              <w:rPr>
                <w:rFonts w:ascii="Arial" w:cs="Arial" w:eastAsia="Arial" w:hAnsi="Arial"/>
                <w:sz w:val="18"/>
                <w:szCs w:val="18"/>
                <w:color w:val="auto"/>
              </w:rPr>
              <w:t>(12.1)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280" w:type="dxa"/>
            <w:vAlign w:val="bottom"/>
          </w:tcPr>
          <w:p>
            <w:pPr>
              <w:jc w:val="right"/>
              <w:ind w:right="219"/>
              <w:spacing w:after="0"/>
              <w:rPr>
                <w:sz w:val="20"/>
                <w:szCs w:val="20"/>
                <w:color w:val="auto"/>
              </w:rPr>
            </w:pPr>
            <w:r>
              <w:rPr>
                <w:rFonts w:ascii="Arial" w:cs="Arial" w:eastAsia="Arial" w:hAnsi="Arial"/>
                <w:sz w:val="18"/>
                <w:szCs w:val="18"/>
                <w:color w:val="auto"/>
              </w:rPr>
              <w:t>10.8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1480" w:type="dxa"/>
            <w:vAlign w:val="bottom"/>
          </w:tcPr>
          <w:p>
            <w:pPr>
              <w:jc w:val="right"/>
              <w:ind w:right="844"/>
              <w:spacing w:after="0"/>
              <w:rPr>
                <w:sz w:val="20"/>
                <w:szCs w:val="20"/>
                <w:color w:val="auto"/>
              </w:rPr>
            </w:pPr>
            <w:r>
              <w:rPr>
                <w:rFonts w:ascii="Arial" w:cs="Arial" w:eastAsia="Arial" w:hAnsi="Arial"/>
                <w:sz w:val="18"/>
                <w:szCs w:val="18"/>
                <w:color w:val="auto"/>
              </w:rPr>
              <w:t>(37.4)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As a percentage of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During fiscal 2011, 2010 and 2009 we initiated restructuring plans in order to further reduce operating costs. These restructuring plans resulted in targeted global staff reductions of approximately 200, 430 and 700 positions for fiscal 2011, 2010 and 2009, respectively. No leased facilities were consolidated as part of the fiscal 2011 restructuring plan. The fiscal 2010 and 2009 restructuring plans resulted in the consolidation of approximately 32 and 27 leased facilities, respectively. In connection with these restructuring programs, we recorded a favorable adjustment for changes in previous estimates of $1.3 million in fiscal 2012 and we recorded restructuring related charges of $10.8 million and $48.2 million during fiscal 2011 and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2010, respectively. The one-time termination benefits for these three restructuring programs were substantially paid as of January 31, 2011. We expect to pay the facility-related liabilities through fiscal 2018. See Note 15, “Restructuring Reserves,” in Notes to Consolidated Financial Statements for further discussion.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Goodwill and Intangibles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 compared to</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 compared to</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400" w:type="dxa"/>
            <w:vAlign w:val="bottom"/>
            <w:gridSpan w:val="2"/>
            <w:vMerge w:val="restart"/>
          </w:tcPr>
          <w:p>
            <w:pPr>
              <w:jc w:val="center"/>
              <w:ind w:right="36"/>
              <w:spacing w:after="0"/>
              <w:rPr>
                <w:sz w:val="20"/>
                <w:szCs w:val="20"/>
                <w:color w:val="auto"/>
              </w:rPr>
            </w:pPr>
            <w:r>
              <w:rPr>
                <w:rFonts w:ascii="Arial" w:cs="Arial" w:eastAsia="Arial" w:hAnsi="Arial"/>
                <w:sz w:val="14"/>
                <w:szCs w:val="14"/>
                <w:b w:val="1"/>
                <w:bCs w:val="1"/>
                <w:color w:val="auto"/>
                <w:w w:val="92"/>
              </w:rPr>
              <w:t>Fiscal Year Ended</w:t>
            </w: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500" w:type="dxa"/>
            <w:vAlign w:val="bottom"/>
            <w:tcBorders>
              <w:bottom w:val="single" w:sz="8" w:color="auto"/>
            </w:tcBorders>
          </w:tcPr>
          <w:p>
            <w:pPr>
              <w:spacing w:after="0"/>
              <w:rPr>
                <w:sz w:val="16"/>
                <w:szCs w:val="16"/>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19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January 31, 2012</w:t>
            </w:r>
          </w:p>
        </w:tc>
        <w:tc>
          <w:tcPr>
            <w:tcW w:w="5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2"/>
              </w:rPr>
              <w:t>January 31, 2011</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January 31, 2010</w:t>
            </w:r>
          </w:p>
        </w:tc>
        <w:tc>
          <w:tcPr>
            <w:tcW w:w="0" w:type="dxa"/>
            <w:vAlign w:val="bottom"/>
          </w:tcPr>
          <w:p>
            <w:pPr>
              <w:spacing w:after="0"/>
              <w:rPr>
                <w:sz w:val="1"/>
                <w:szCs w:val="1"/>
                <w:color w:val="auto"/>
              </w:rPr>
            </w:pPr>
          </w:p>
        </w:tc>
      </w:tr>
      <w:tr>
        <w:trPr>
          <w:trHeight w:val="244"/>
        </w:trPr>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8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9"/>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24"/>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28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2"/>
                <w:szCs w:val="22"/>
                <w:color w:val="auto"/>
              </w:rPr>
            </w:pPr>
          </w:p>
        </w:tc>
        <w:tc>
          <w:tcPr>
            <w:tcW w:w="1380" w:type="dxa"/>
            <w:vAlign w:val="bottom"/>
          </w:tcPr>
          <w:p>
            <w:pPr>
              <w:jc w:val="right"/>
              <w:ind w:right="704"/>
              <w:spacing w:after="0"/>
              <w:rPr>
                <w:sz w:val="20"/>
                <w:szCs w:val="20"/>
                <w:color w:val="auto"/>
              </w:rPr>
            </w:pPr>
            <w:r>
              <w:rPr>
                <w:rFonts w:ascii="Arial" w:cs="Arial" w:eastAsia="Arial" w:hAnsi="Arial"/>
                <w:sz w:val="18"/>
                <w:szCs w:val="18"/>
                <w:color w:val="auto"/>
              </w:rPr>
              <w:t>(21.0)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9"/>
              </w:rPr>
              <w:t>(100)%  $</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 percentage of net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did not record an impairment charge during fiscal 2012 or 2011. During fiscal 2010, we recorded an impairment charge of $21.0 million representing the entire goodwill balance of our M&amp;E segment as of April 30, 2009. This goodwill balance related to our M&amp;E segment’s fourth quarter fiscal 2009 acquisition of substantially all of the assets of Softimage.</w:t>
      </w:r>
    </w:p>
    <w:p>
      <w:pPr>
        <w:spacing w:after="0" w:line="12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Should our revenue and cash flow projections decline significantly in the future, additional impairment charges may be recorded to goodwill. As of January 31, 2012, a hypothetical 10% decrease in the fair value of our reporting units would not have an impact on the carrying value of goodwill, nor result in impairment of goodwill. See Note 1, “Business and Summary of Significant Accounting Policies,” in Notes to Consolidated Financial Statements for further discussion.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5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196"/>
        </w:trPr>
        <w:tc>
          <w:tcPr>
            <w:tcW w:w="5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investment income, net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Gain (loss) on foreign currency</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5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r>
      <w:tr>
        <w:trPr>
          <w:trHeight w:val="27"/>
        </w:trPr>
        <w:tc>
          <w:tcPr>
            <w:tcW w:w="5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Interest and other income, net, increased $6.7 million during fiscal 2012, as compared to fiscal 2011, primarily due to improved foreign currency remeasurements. The loss on foreign currency in fiscal 2012 and 2011 is primarily due to the impact of re-measuring foreign currency transactions into the functional currency of the corresponding entity. The amount of gain (loss) on foreign currency is driven by the volume of foreign currency transactions and the foreign currency exchange rates for the period.</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decrease in Interest and investment income, net, during fiscal 2012 as compared to fiscal 2011 is primarily due to the decrease in the fair value of our trading securities that are marked to market each period.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and other income, net, decreased $18.5 million during fiscal 2011, as compared to fiscal 2010, primarily due to foreign currency losses.</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effective tax rate was 21% and 22% during fiscal 2012 and 2011, respectively. Our effective tax rate decreased one percentage point from fiscal 2011 to fiscal 2012 primarily due to an increase in tax benefits from foreign earnings taxed at different rates in fiscal 2012 compared to fiscal 2011, partially offset by tax benefits associated with closure of audits in fiscal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39</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effective tax rate was 22% and 32% during fiscal 2011 and 2010, respectively. Our effective tax rate decreased 10 percentage points from fiscal 2010 to fiscal 2011 primarily due to a change in expected future tax rates, the establishment of the California valuation allowance in fiscal 2010 and a decrease in non-deductible stock-based compensation expense, offset by a decrease in tax benefits from foreign earnings taxed at different rates in fiscal 2011 compared to fiscal 2010. During the first quarter of fiscal 2010, the State of California enacted legislation significantly altering California tax law. As a result of the newly enacted legislation, we expect that in fiscal years 2012 and beyond, income subject to tax in California will be less than under prior tax law and accordingly, deferred tax assets are less likely to be realized.</w:t>
      </w:r>
    </w:p>
    <w:p>
      <w:pPr>
        <w:spacing w:after="0" w:line="13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3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At January 31, 2012, we had net deferred tax assets of $165.9 million. We believe that we will generate sufficient future taxable income in appropriate tax jurisdictions to realize these assets.</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2012, 2011 and 2010, our gross profit, gross margin, income from operations, operating margin, net income and diluted earnings per share on a GAAP and non-GAAP basis were as follows (in millions except for gross margin, operating margin and per share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31, 2012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January 31, 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January 31, 2010</w:t>
            </w:r>
          </w:p>
        </w:tc>
      </w:tr>
      <w:tr>
        <w:trPr>
          <w:trHeight w:val="250"/>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1,521.9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1,790.0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1,557.9</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65.6</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286.8</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229.2</w:t>
            </w:r>
          </w:p>
        </w:tc>
      </w:tr>
      <w:tr>
        <w:trPr>
          <w:trHeight w:val="27"/>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Non-GAAP 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0.99</w:t>
            </w:r>
          </w:p>
        </w:tc>
      </w:tr>
    </w:tbl>
    <w:p>
      <w:pPr>
        <w:spacing w:after="0" w:line="25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limitations in using non-GAAP financial measures because non-GAAP financial measures are not prepared in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40"/>
        <w:spacing w:after="0" w:line="437"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13335</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2,028.4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1,790.0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1,557.9</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from 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Impairment of goodwill</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533.4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418.8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margin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Impairment of goodwill</w:t>
            </w:r>
          </w:p>
        </w:tc>
        <w:tc>
          <w:tcPr>
            <w:tcW w:w="34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Impairment of goodwill</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Amortization of purchased intangibles(1)</w:t>
            </w:r>
          </w:p>
        </w:tc>
        <w:tc>
          <w:tcPr>
            <w:tcW w:w="3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of goodwill</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Non-GAAP diluted net income per share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20955</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420" w:hanging="412"/>
        <w:spacing w:after="0" w:line="263"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Amortization of purchased intangibles includes amortization of purchased developed technology, customer relationships, and trade names for acquisitions subsequent to December 2005.</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320"/>
          </w:cols>
          <w:pgMar w:left="24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2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in connection with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33"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These expenses are associated with realigning our business strategies based on current economic conditions.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13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This is a non-cash charge to record a valuation allowance 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assets. As explained above, management finds it useful to exclude certain non-cash charges to assess the appropriate level of various expenses to assist in budgeting, planning and forecasting future periods.</w:t>
      </w:r>
    </w:p>
    <w:p>
      <w:pPr>
        <w:spacing w:after="0" w:line="127"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purchased intangibles and restructuring for GAAP and non-GAAP measures.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40" w:firstLine="432"/>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January 31, 2012, our principal sources of liquidity were cash, cash equivalents and marketable securities totaling $1,604.1 million and net accounts receivable of $395.1 million. In addition, we have a line of credit facility that permitted unsecured short-term borrowings of up to $400.0 million that we entered into in May 2011, which replaced our previous $250.0 million line of credit facility that would have expired in August 2012. During fiscal 2012, we had no borrowings or repayments under our current or prior line of credit facility. This credit facility is available for working capital and general corporate purposes and expires in May 2016.</w:t>
      </w:r>
    </w:p>
    <w:p>
      <w:pPr>
        <w:spacing w:after="0" w:line="13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9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increase in our cash, cash equivalents and marketable securities to $1,604.1 million at January 31, 2012 from $1,466.9 million at January 31, 2011 is principally the result of cash generated from operations and to a lesser extent, the proceeds from the issuance of common stock following stock option exercises and employee stock plan purchases. These increases to cash, cash equivalents and marketable securities were partially offset by cash used for repurchases of our common stock, acquisitions including business combinations and technology purchases, capital expenditures, and other investing</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activities. Cash generated from operations was positively impacted by higher net revenue.</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primary source for net cash provided by operating activities of $573.5 million for fiscal 2012 was net income of$285.3 million increased by the effect of non-cash expenses totaling $224.3 million associated with depreciation and amortization and stock-based compensation. In addition, net cash flow provided by changes in operating assets and liabilities was $96.7 million. The primary source of working capital was an increase in deferred revenue due to higher maintenance billings and an increase in accounts payable for fiscal 2012 compared to fiscal 2011. The primary working capital uses of cash were increases in accounts receivable due to higher billings and the reduction of accrued expenses primarily related to accrued commissions in fiscal 2012 compared to fiscal 2011. Our days sales outstanding in trade receivables was 61 at January 31, 2012 compared to 55 at January 31, 2011. The increase in days sales outstanding is due to higher billings in the last month of fiscal 2012 compared to the last month of fiscal 2011.</w:t>
      </w:r>
    </w:p>
    <w:p>
      <w:pPr>
        <w:spacing w:after="0" w:line="11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January 31, 2012, our short-term investment portfolio had an estimated fair value of $254.4 million and a cost basis of $252.6 million. The portfolio fair value consisted of $143.8 million invested in commercial paper and corporate securities, $38.2 million invested in U.S. government agency securities, $31.5 million invested in mutual funds, $5.2 million invested in certificates of deposit and time deposits with remaining maturities at the date of purchase greater than 90 days and less than one year, $30.7 million invested in U.S treasury securities, $4.7 million invested in municipal securities and $0.3 million invested in other short-term securities.</w:t>
      </w:r>
    </w:p>
    <w:p>
      <w:pPr>
        <w:spacing w:after="0" w:line="13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At January 31, 2012, $31.5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the acquisition of businesses, software products, or technologies complementary to our business; stock repurchases; and capital expenditures, including the purchase and implementation of internal-use software applications.</w:t>
      </w:r>
    </w:p>
    <w:p>
      <w:pPr>
        <w:spacing w:after="0" w:line="12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 In fiscal 2012, we increased the number, pace and dollars spent on acquisitions in comparison to fiscal 2011, but our decision to acquire businesses or technology is dependent on our business needs, the availability of suitable sellers and technology, and our own financial condition.</w:t>
      </w:r>
    </w:p>
    <w:p>
      <w:pPr>
        <w:spacing w:after="0" w:line="11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cash, cash equivalent and marketable securities balances are primarily denominated and held in U.S. dollar and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tax planning and financing strategies in an effort to ensure that our worldwide cash is available in the locations in which it is needed.</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existing cash, cash equivalents and investment balances may decline in fiscal 2013 in the event of a weakening of the global economy or changes in our planned cash outlay. 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 Our existing credit facility at March 15, 2012 is $400.0 million of which we have no amounts outstanding. This credit facility is available for working capital and general corporate purposes.</w:t>
      </w:r>
    </w:p>
    <w:p>
      <w:pPr>
        <w:spacing w:after="0" w:line="13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2012 and 2011, we had open cash flow and balance sheet hedge contracts with future settlements within one to twelve months. Contracts were primarily denominated in euros, Japanese yen, Swiss francs, British pounds,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Canadian dollars, and Australian dollars. We do not enter into any foreign exchange derivative instruments for trading or speculative purposes. The notional amount of our option and forward contracts was $494.7 million and $401.6 million at January 31,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2012 and the effect such obligations are expected to have on our liquidity and cash flows in future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Fiscal 2013</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2014-</w:t>
            </w: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 2016-</w:t>
            </w:r>
          </w:p>
        </w:tc>
        <w:tc>
          <w:tcPr>
            <w:tcW w:w="240" w:type="dxa"/>
            <w:vAlign w:val="bottom"/>
          </w:tcPr>
          <w:p>
            <w:pPr>
              <w:spacing w:after="0"/>
              <w:rPr>
                <w:sz w:val="14"/>
                <w:szCs w:val="14"/>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Pension obligations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6"/>
                <w:szCs w:val="16"/>
                <w:color w:val="auto"/>
              </w:rPr>
              <w:t>(1)</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r>
              <w:rPr>
                <w:rFonts w:ascii="Arial" w:cs="Arial" w:eastAsia="Arial" w:hAnsi="Arial"/>
                <w:sz w:val="16"/>
                <w:szCs w:val="16"/>
                <w:color w:val="auto"/>
              </w:rPr>
              <w:t>(2)</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376.7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obligations include future sabbatical obligations and asset retirement obligations.</w:t>
      </w:r>
    </w:p>
    <w:p>
      <w:pPr>
        <w:spacing w:after="0" w:line="9" w:lineRule="exact"/>
        <w:rPr>
          <w:rFonts w:ascii="Arial" w:cs="Arial" w:eastAsia="Arial" w:hAnsi="Arial"/>
          <w:sz w:val="16"/>
          <w:szCs w:val="16"/>
          <w:color w:val="auto"/>
        </w:rPr>
      </w:pPr>
    </w:p>
    <w:p>
      <w:pPr>
        <w:ind w:left="420" w:right="120" w:hanging="412"/>
        <w:spacing w:after="0" w:line="252"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18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hosting services agreements, IT infrastructure costs, and marketing costs.</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16"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1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3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93"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purpose of the stock repurchase program is largely to help offset the dilution from the issuance of stock under our employee stock plans and for such other purposes as may be in the interests of Autodesk and its stockholders, and has the effect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There were 2.0 million repurchases of our common stock during the three months ended January 31, 2012; during the fiscal year ended January 31, 2012 we repurchased 9.7 million shares of our common stock. At January 31, 2012, 14.7 million shares remained available for repurchase under the existing repurchase authorization. This program does not have a fixed expiration date. See Note 9, “Stockholders' Equity,” in the Notes to Consolidated Financial Statements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January 31, 2012 we did not have any off-balance sheet arrangements as defined in Item 303(a)(4)(ii) of SEC Regulation S-K.</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2012 and 2011,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$494.7 million and $401.6 million at January 31, 2012 and 2011, respectively.</w:t>
      </w:r>
    </w:p>
    <w:p>
      <w:pPr>
        <w:spacing w:after="0" w:line="1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January 31, 2012 indicated that a hypothetical 10% appreciation of the U.S. dollar from its value at January 31, 2012 and 2011 would increase the fair value of our foreign currency contracts by $45.3 million and $31.6 million, respectively. A hypothetical 10% depreciation of the dollar from its value at January 31, 2012 and 2011 would decrease the fair value of our foreign currency contracts by $24.3 million and $26.6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Interest rate movements affect both the interest income we earn on our short term investments and, to a lesser extent, the market value of certain longer term securities. At January 31, 2012, we had $1,300.8 million of cash equivalents and marketable securities. With an average investment balance for the quarter of approximately $1,236.5 million, if interest rates were to change by 10%, this would result in a $0.2 million change in annual interest income. Further, at January 31, 2012, we had approximately $211.5 million invested in a longer term portfolio (with remaining maturities that may be less than one year) which, with 50 and 100 basis point moves, would result in market value changes (gains or losses) of $2.0 million and $4.0 million respectively, over a twelve month period. At January 31, 2011, we had $1,149.9 million of cash equivalents and marketable securities. With an average investment balance for the quarter of approximately $810.0 million, if interest rates were to change by 10%, this would result in a $0.2 million change in annual interest income. Further, at January 31, 2011, we had approximately $285.0 million invested in a longer term portfolio (with remaining maturities that may be less than one year) which, with 50 and 100 basis point moves, would result in market value changes (gains or losses) of $0.9 million and $1.8 million respectively, over a twelve month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4"/>
                <w:szCs w:val="14"/>
                <w:b w:val="1"/>
                <w:bCs w:val="1"/>
                <w:color w:val="auto"/>
                <w:w w:val="92"/>
              </w:rPr>
              <w:t>Fiscal year ended January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6"/>
          </w:tcPr>
          <w:p>
            <w:pPr>
              <w:jc w:val="center"/>
              <w:ind w:left="652"/>
              <w:spacing w:after="0"/>
              <w:rPr>
                <w:sz w:val="20"/>
                <w:szCs w:val="20"/>
                <w:color w:val="auto"/>
              </w:rPr>
            </w:pPr>
            <w:r>
              <w:rPr>
                <w:rFonts w:ascii="Arial" w:cs="Arial" w:eastAsia="Arial" w:hAnsi="Arial"/>
                <w:sz w:val="14"/>
                <w:szCs w:val="14"/>
                <w:b w:val="1"/>
                <w:bCs w:val="1"/>
                <w:color w:val="auto"/>
                <w:w w:val="92"/>
              </w:rPr>
              <w:t>(in millions, except per share data)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License and other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net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Cost of license and other revenue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maintenance revenue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and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(benefits) charges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in computing basic net income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used in computing diluted 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47</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2,787.6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shares authorized 2.0; none issued or outstanding at January 31, 2012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stock and additional paid-in capital, $0.01 par value; shares authorized 750.0; 225.9 outstanding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January 31, 2012 and 227.0 outstanding at January 31, 2011</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691"/>
              <w:spacing w:after="0"/>
              <w:rPr>
                <w:sz w:val="20"/>
                <w:szCs w:val="20"/>
                <w:color w:val="auto"/>
              </w:rPr>
            </w:pPr>
            <w:r>
              <w:rPr>
                <w:rFonts w:ascii="Arial" w:cs="Arial" w:eastAsia="Arial" w:hAnsi="Arial"/>
                <w:sz w:val="14"/>
                <w:szCs w:val="14"/>
                <w:b w:val="1"/>
                <w:bCs w:val="1"/>
                <w:color w:val="auto"/>
                <w:w w:val="92"/>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goodwill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(benefits) charges,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of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Draws on line of credit</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line of credit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fiscal year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fiscal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paid during the year for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January 31, 2009</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under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gain on derivative instruments,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Change in net unrealized gain on marketable securities,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unfunded portion of pension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cumulative foreign currency translation gain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January 31, 2010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under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on derivative instruments,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Change in net unrealized gain on marketable securities,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unfunded portion of pension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cumulative foreign currency translation gain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January 31,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under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gain on derivative instruments,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Change in net unrealized gain on marketable securities,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unfunded portion of pension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cumulative foreign currency translation gain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January 31, 2012</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6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and 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paid-in capital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4"/>
                <w:szCs w:val="4"/>
                <w:color w:val="auto"/>
              </w:rPr>
            </w:pPr>
          </w:p>
        </w:tc>
        <w:tc>
          <w:tcPr>
            <w:tcW w:w="78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65"/>
        </w:trPr>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58"/>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226.4</w:t>
            </w:r>
          </w:p>
        </w:tc>
        <w:tc>
          <w:tcPr>
            <w:tcW w:w="140" w:type="dxa"/>
            <w:vAlign w:val="bottom"/>
          </w:tcPr>
          <w:p>
            <w:pPr>
              <w:spacing w:after="0"/>
              <w:rPr>
                <w:sz w:val="22"/>
                <w:szCs w:val="22"/>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1,080.4</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241.5</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1,310.7</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line="20" w:lineRule="exact"/>
              <w:rPr>
                <w:sz w:val="1"/>
                <w:szCs w:val="1"/>
                <w:color w:val="auto"/>
              </w:rPr>
            </w:pPr>
          </w:p>
        </w:tc>
      </w:tr>
      <w:tr>
        <w:trPr>
          <w:trHeight w:val="218"/>
        </w:trPr>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228.9</w:t>
            </w: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1,473.5</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line="20" w:lineRule="exact"/>
              <w:rPr>
                <w:sz w:val="1"/>
                <w:szCs w:val="1"/>
                <w:color w:val="auto"/>
              </w:rPr>
            </w:pPr>
          </w:p>
        </w:tc>
      </w:tr>
      <w:tr>
        <w:trPr>
          <w:trHeight w:val="218"/>
        </w:trPr>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227.0</w:t>
            </w: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1,609.3</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(211.0)</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line="20" w:lineRule="exact"/>
              <w:rPr>
                <w:sz w:val="1"/>
                <w:szCs w:val="1"/>
                <w:color w:val="auto"/>
              </w:rPr>
            </w:pPr>
          </w:p>
        </w:tc>
      </w:tr>
      <w:tr>
        <w:trPr>
          <w:trHeight w:val="245"/>
        </w:trPr>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225.9</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1,365.4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511.6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1,882.9</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-7417435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-7065645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-6722745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-6379845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-6036945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-5693410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-5350510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-5007610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-4664710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-4321810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-3978275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-3635375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-3292475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-2949575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-2606675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-2263140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-1920240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-1577340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-1234440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-891540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-548005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2012</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optimize and improve their designs, help save time and money, improve quality and foster innovation. Autodesk software products are sold globally, both directly to customers and through a network of resellers and distributors.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and majority-owned subsidiaries. All significant intercompany accounts and transactions have been eliminated.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Examples of significant estimates and assumptions made by management involve the determination of the fair value of goodwill, financial instruments, long-lived assets and other intangible assets, the realizability of deferred tax assets and the fair value of stock awards (see “Stock-Based Compensation Expense” within this Note 1 and Note 3 “Employee and Director Stock Plans,” for further discussion). The Company also make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Translation</w:t>
      </w:r>
    </w:p>
    <w:p>
      <w:pPr>
        <w:spacing w:after="0" w:line="171"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weighted average rates during the period. Foreign currency translation adjustments are recorded as other comprehensive income (loss).</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1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Marketable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19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w:t>
      </w:r>
    </w:p>
    <w:p>
      <w:pPr>
        <w:spacing w:after="0" w:line="13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2012 and fiscal 2011. For additional information, see “Concentration of Credit Risk” within this Note 1 and Note 2, “Financial Instruments.”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3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8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returns reserve</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Partner programs and other obligations</w:t>
            </w:r>
          </w:p>
        </w:tc>
        <w:tc>
          <w:tcPr>
            <w:tcW w:w="8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7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Partner program and other obligations are primarily related to partner incentives that use quarterly attainment monetary rewards to motivate distributors and resellers to achieve mutually agreed upon business goals in a specified time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financial institutions with high credit ratings and limits the amounts invested with any one institution, type of security and issuer.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8220" w:type="dxa"/>
            <w:vAlign w:val="bottom"/>
            <w:gridSpan w:val="2"/>
          </w:tcPr>
          <w:p>
            <w:pPr>
              <w:ind w:left="782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Americas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Asia Pacific (“APAC”)</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5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Citibank and its global affiliates (“Citibank”). The Company's cash and cash equivalents are held by diversified financial institutions globally. Citicorp USA, Inc., an affiliate of Citibank, is one of the lead lenders and agent in the syndicate of Autodesk's $400.0 million line of credit facility.</w:t>
      </w:r>
    </w:p>
    <w:p>
      <w:pPr>
        <w:spacing w:after="0" w:line="127" w:lineRule="exact"/>
        <w:rPr>
          <w:sz w:val="20"/>
          <w:szCs w:val="20"/>
          <w:color w:val="auto"/>
        </w:rPr>
      </w:pPr>
    </w:p>
    <w:p>
      <w:pPr>
        <w:ind w:right="240" w:firstLine="432"/>
        <w:spacing w:after="0" w:line="289"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its customers’ financial condition and limits the amount of credit extended when deemed necessary, but generally does not require collateral from such parties. Total sales to the Company's largest distributor Tech Data Corporation, and its global affiliates (“Tech Data”), accounted for 17%, 16% and 14% of our net revenue for fiscal years ended 2012, 2011 and 2010, respectively. The majority of the net revenue from sales to Tech Data relates to Autodesk's Platform Solutions and Emerging Business segment and is for sales made outside of the United States. In addition, Tech Data accounted for 21% and 16% of trade accounts receivable at January 31, 2012 and 2011, respectively. In October 2011, Tech Data purchased certain assets of Mensch and Maschine Software (“MuM”), which has been a distributor of our products in Europe. The acquisition concentrates additional sales through Tech Data, which on a consolidated basis would have accounted for 21%, 22% and 21% of our net revenue for fiscal years 2012, 2011 and 2010, if the acquisition had taken place at the beginning of fiscal 2010.</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171"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$43.7 million in fiscal 2012, $47.6 million in fiscal 2011 and $50.4 million in fiscal 2010.</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at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Computer hardware, at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123.7</w:t>
            </w:r>
          </w:p>
        </w:tc>
      </w:tr>
      <w:tr>
        <w:trPr>
          <w:trHeight w:val="27"/>
        </w:trPr>
        <w:tc>
          <w:tcPr>
            <w:tcW w:w="7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 land and buildings, at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Furniture and equipment, at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43.6</w:t>
            </w:r>
          </w:p>
        </w:tc>
      </w:tr>
      <w:tr>
        <w:trPr>
          <w:trHeight w:val="27"/>
        </w:trPr>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(333.5)</w:t>
            </w:r>
          </w:p>
        </w:tc>
      </w:tr>
      <w:tr>
        <w:trPr>
          <w:trHeight w:val="27"/>
        </w:trPr>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Development Costs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one year period, if material. Autodesk had no capitalized software development costs at January 31, 2012 and January 31, 2011.</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Intangible Assets, Net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Other intangible assets include purchased technologies, customer relationships, trade names and the related accumulated amortization. These assets are shown as “Purchased technologies, net” and as part of “Other assets” in the Consolidated Balance Sheet. The majority of Autodesk’s other intangible assets are amortized to expense over the estimated economic life of the product, which ranges from two to seven years. Amortization expense for purchased technologies, customer relationships, trade names, patents, and user lists was $71.8 million in fiscal 2012, $57.8 million in fiscal 2011 and $61.2 million in fiscal 2010.</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technologies, at cost</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Customer relationships, trade names, patents, and user lists, at cost</w:t>
            </w:r>
            <w:r>
              <w:rPr>
                <w:rFonts w:ascii="Arial" w:cs="Arial" w:eastAsia="Arial" w:hAnsi="Arial"/>
                <w:sz w:val="14"/>
                <w:szCs w:val="14"/>
                <w:color w:val="auto"/>
              </w:rPr>
              <w:t>(2)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179.1</w:t>
            </w:r>
          </w:p>
        </w:tc>
      </w:tr>
      <w:tr>
        <w:trPr>
          <w:trHeight w:val="27"/>
        </w:trPr>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492.2</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(373.4)</w:t>
            </w:r>
          </w:p>
        </w:tc>
      </w:tr>
      <w:tr>
        <w:trPr>
          <w:trHeight w:val="27"/>
        </w:trPr>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right="100" w:hanging="412"/>
        <w:spacing w:after="0" w:line="248"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Purchased technologies include $1.2 million and zero of in-process research and development technology as of January 31, 2012 and January 31, 2011, respectively. In-process research and development is an indefinite lived asset that is held and tested at least annually for impairment until such time that it becomes fully developed technology. Once development is completed, the technology is amortized to expense over an applicable useful life.</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Included as a net balance in “Other assets” in the Consolidated Balance Sheet. Customer relationships and trade names include the effects of foreign currency translation.</w:t>
      </w:r>
    </w:p>
    <w:p>
      <w:pPr>
        <w:spacing w:after="0" w:line="22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weighted average amortization period for purchased technologies, customer relationships and trade names during fiscal 2012 was 5.4 years. Expected future amortization expense for purchased technologies, customer relationships and trade names for each of the fiscal years ended thereafter is as follows: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r>
      <w:tr>
        <w:trPr>
          <w:trHeight w:val="192"/>
        </w:trPr>
        <w:tc>
          <w:tcPr>
            <w:tcW w:w="8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January 31,</w:t>
            </w: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47.1</w:t>
            </w:r>
          </w:p>
        </w:tc>
      </w:tr>
      <w:tr>
        <w:trPr>
          <w:trHeight w:val="27"/>
        </w:trPr>
        <w:tc>
          <w:tcPr>
            <w:tcW w:w="8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7.9</w:t>
            </w:r>
          </w:p>
        </w:tc>
      </w:tr>
      <w:tr>
        <w:trPr>
          <w:trHeight w:val="27"/>
        </w:trPr>
        <w:tc>
          <w:tcPr>
            <w:tcW w:w="8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8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w:t>
      </w:r>
    </w:p>
    <w:p>
      <w:pPr>
        <w:spacing w:after="0" w:line="1" w:lineRule="exact"/>
        <w:rPr>
          <w:sz w:val="20"/>
          <w:szCs w:val="20"/>
          <w:color w:val="auto"/>
        </w:rPr>
      </w:pPr>
    </w:p>
    <w:p>
      <w:pPr>
        <w:ind w:right="20" w:firstLine="8"/>
        <w:spacing w:after="0" w:line="292"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declines in Autodesk’s actual financial results, (ii) a sustained decline in Autodesk’s market capitalization, (iii) significant slowdown in the worldwide economy or the industries Autodesk serves, or (iv) changes in Autodesk’s business strategy or internal financial results forecasts. There was no impairment of goodwill during the year ended January 31, 2012. A hypothetical 10% decrease in the fair value of Autodesk’s Platform Solutions and Emerging Business; Manufacturing; Architecture, Engineering and Construction; or Media and Entertainment reporting units would not have an impact on the carrying value, nor result in an impairment, of goodwill shown on Autodesk’s balance sheet as of January 31, 2012 for the respective reporting units.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fiscal year ended 2010, Autodesk recorded an impairment charge of $21.0 million, representing the entire goodwill balance of the Media and Entertainment (“M&amp;E”) segment as of April 30, 2009. Should revenue and cash flow projections decline significantly in the future, additional impairment charges may be recorded to goodwill.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year ended January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Architecture,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2011</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Scaleform acquisition</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Blue Ridge acquisition</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Instructables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3540" w:type="dxa"/>
            <w:vAlign w:val="bottom"/>
          </w:tcPr>
          <w:p>
            <w:pPr>
              <w:ind w:left="380"/>
              <w:spacing w:after="0"/>
              <w:rPr>
                <w:sz w:val="20"/>
                <w:szCs w:val="20"/>
                <w:color w:val="auto"/>
              </w:rPr>
            </w:pPr>
            <w:r>
              <w:rPr>
                <w:rFonts w:ascii="Arial" w:cs="Arial" w:eastAsia="Arial" w:hAnsi="Arial"/>
                <w:sz w:val="16"/>
                <w:szCs w:val="16"/>
                <w:color w:val="auto"/>
              </w:rPr>
              <w:t>Micro Application Packages Limited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380"/>
              <w:spacing w:after="0"/>
              <w:rPr>
                <w:sz w:val="20"/>
                <w:szCs w:val="20"/>
                <w:color w:val="auto"/>
              </w:rPr>
            </w:pPr>
            <w:r>
              <w:rPr>
                <w:rFonts w:ascii="Arial" w:cs="Arial" w:eastAsia="Arial" w:hAnsi="Arial"/>
                <w:sz w:val="16"/>
                <w:szCs w:val="16"/>
                <w:color w:val="auto"/>
              </w:rPr>
              <w:t>acquisition</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T-Splines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 acquired from other acquisitions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accounting adjustments and other</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3540" w:type="dxa"/>
            <w:vAlign w:val="bottom"/>
          </w:tcPr>
          <w:p>
            <w:pPr>
              <w:ind w:left="40"/>
              <w:spacing w:after="0"/>
              <w:rPr>
                <w:sz w:val="20"/>
                <w:szCs w:val="20"/>
                <w:color w:val="auto"/>
              </w:rPr>
            </w:pPr>
            <w:r>
              <w:rPr>
                <w:rFonts w:ascii="Arial" w:cs="Arial" w:eastAsia="Arial" w:hAnsi="Arial"/>
                <w:sz w:val="16"/>
                <w:szCs w:val="16"/>
                <w:color w:val="auto"/>
              </w:rPr>
              <w:t>Balance as of January 31, 2012</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year ended January 31, 2011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Architecture,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2010</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692.1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542.9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acquired during the year</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20"/>
        </w:trPr>
        <w:tc>
          <w:tcPr>
            <w:tcW w:w="3540" w:type="dxa"/>
            <w:vAlign w:val="bottom"/>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540"/>
              <w:spacing w:after="0"/>
              <w:rPr>
                <w:sz w:val="20"/>
                <w:szCs w:val="20"/>
                <w:color w:val="auto"/>
              </w:rPr>
            </w:pPr>
            <w:r>
              <w:rPr>
                <w:rFonts w:ascii="Arial" w:cs="Arial" w:eastAsia="Arial" w:hAnsi="Arial"/>
                <w:sz w:val="16"/>
                <w:szCs w:val="16"/>
                <w:color w:val="auto"/>
              </w:rPr>
              <w:t>accounting adjustments and other</w:t>
            </w:r>
          </w:p>
        </w:tc>
        <w:tc>
          <w:tcPr>
            <w:tcW w:w="22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January 31, 2011</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Purchase accounting adjustments reflect revisions made to the Company’s preliminary purchase price allocation during fiscal 2012 and 2011.</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Long-Lived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least annually or more frequently as circumstances dictate, Autodesk assesses the recoverability of its long-lived</w:t>
      </w:r>
    </w:p>
    <w:p>
      <w:pPr>
        <w:spacing w:after="0" w:line="24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55</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intangible assets by comparing their carrying amounts to future undiscounted cash flows the assets are expected to generate</w:t>
      </w:r>
      <w:r>
        <w:rPr>
          <w:rFonts w:ascii="Arial" w:cs="Arial" w:eastAsia="Arial" w:hAnsi="Arial"/>
          <w:sz w:val="16"/>
          <w:szCs w:val="16"/>
          <w:color w:val="auto"/>
        </w:rPr>
        <w:t>.</w:t>
      </w:r>
      <w:r>
        <w:rPr>
          <w:rFonts w:ascii="Arial" w:cs="Arial" w:eastAsia="Arial" w:hAnsi="Arial"/>
          <w:sz w:val="18"/>
          <w:szCs w:val="18"/>
          <w:color w:val="auto"/>
        </w:rPr>
        <w:t xml:space="preserve"> If certain identifiable intangibles are considered to be impaired, the impairment to be recognized equals the amount by which the carrying value of the assets exceeds its fair value. There was no impairment of long-lived assets during the years ended January 31, 2012 and 2011.</w:t>
      </w:r>
    </w:p>
    <w:p>
      <w:pPr>
        <w:spacing w:after="0" w:line="12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Assets</w:t>
      </w:r>
    </w:p>
    <w:p>
      <w:pPr>
        <w:spacing w:after="0" w:line="17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 payments, and a valuation allowance against California and Canadian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Autodesk recognizes revenue when persuasive evidence of an arrangement exists, delivery has occurred or services have been rendered, the price is fixed or determinable, and collection is probable. For multiple element arrangements,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software license,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service period in the arrangement. Revenue recognition for significant lines of business is discussed further below.</w:t>
      </w:r>
    </w:p>
    <w:p>
      <w:pPr>
        <w:spacing w:after="0" w:line="11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All Forms of Product License Revenue</w:t>
      </w:r>
    </w:p>
    <w:p>
      <w:pPr>
        <w:spacing w:after="0" w:line="90" w:lineRule="exact"/>
        <w:rPr>
          <w:sz w:val="20"/>
          <w:szCs w:val="20"/>
          <w:color w:val="auto"/>
        </w:rPr>
      </w:pPr>
    </w:p>
    <w:p>
      <w:pPr>
        <w:ind w:left="820" w:right="100" w:firstLine="324"/>
        <w:spacing w:after="0" w:line="279" w:lineRule="auto"/>
        <w:rPr>
          <w:sz w:val="20"/>
          <w:szCs w:val="20"/>
          <w:color w:val="auto"/>
        </w:rPr>
      </w:pPr>
      <w:r>
        <w:rPr>
          <w:rFonts w:ascii="Arial" w:cs="Arial" w:eastAsia="Arial" w:hAnsi="Arial"/>
          <w:sz w:val="17"/>
          <w:szCs w:val="17"/>
          <w:color w:val="auto"/>
        </w:rPr>
        <w:t>Product license revenue includes: software license revenue from the sale of new seat licenses, upgrades, product revenue for Creative Finishing and revenue from on-demand collaboration software and services. Autodesk’s existing customers who are using a currently supported version of a product can upgrade to the latest release of the product by paying a separate fee at current available prices. An existing customer also has the option to upgrade to a different product, which generally has a higher price, for a premium fee.</w:t>
      </w:r>
    </w:p>
    <w:p>
      <w:pPr>
        <w:spacing w:after="0" w:line="36" w:lineRule="exact"/>
        <w:rPr>
          <w:sz w:val="20"/>
          <w:szCs w:val="20"/>
          <w:color w:val="auto"/>
        </w:rPr>
      </w:pPr>
    </w:p>
    <w:p>
      <w:pPr>
        <w:jc w:val="both"/>
        <w:ind w:left="820" w:right="60" w:firstLine="324"/>
        <w:spacing w:after="0" w:line="277" w:lineRule="auto"/>
        <w:rPr>
          <w:sz w:val="20"/>
          <w:szCs w:val="20"/>
          <w:color w:val="auto"/>
        </w:rPr>
      </w:pPr>
      <w:r>
        <w:rPr>
          <w:rFonts w:ascii="Arial" w:cs="Arial" w:eastAsia="Arial" w:hAnsi="Arial"/>
          <w:sz w:val="18"/>
          <w:szCs w:val="18"/>
          <w:color w:val="auto"/>
        </w:rPr>
        <w:t>Autodesk’s product license revenue from distributors and resellers is generally recognized at the time title to Autodesk’s product passes to the distributor or reseller, provided all other criteria for revenue recognition are met.</w:t>
      </w:r>
    </w:p>
    <w:p>
      <w:pPr>
        <w:spacing w:after="0" w:line="35" w:lineRule="exact"/>
        <w:rPr>
          <w:sz w:val="20"/>
          <w:szCs w:val="20"/>
          <w:color w:val="auto"/>
        </w:rPr>
      </w:pPr>
    </w:p>
    <w:p>
      <w:pPr>
        <w:jc w:val="both"/>
        <w:ind w:left="820" w:right="60" w:firstLine="324"/>
        <w:spacing w:after="0" w:line="264" w:lineRule="auto"/>
        <w:rPr>
          <w:sz w:val="20"/>
          <w:szCs w:val="20"/>
          <w:color w:val="auto"/>
        </w:rPr>
      </w:pPr>
      <w:r>
        <w:rPr>
          <w:rFonts w:ascii="Arial" w:cs="Arial" w:eastAsia="Arial" w:hAnsi="Arial"/>
          <w:sz w:val="18"/>
          <w:szCs w:val="18"/>
          <w:color w:val="auto"/>
        </w:rPr>
        <w:t>Autodesk establishes reserves for product returns based on historical experience of actual product returns, estimated channel inventory levels, the timing of new product introductions, channel sell-in for applicable markets and other factors. These reserves are recorded as a direct reduction of revenue and accounts receivable at the time the related revenue is recognized.</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Other Revenue</w:t>
      </w:r>
    </w:p>
    <w:p>
      <w:pPr>
        <w:spacing w:after="0" w:line="90" w:lineRule="exact"/>
        <w:rPr>
          <w:sz w:val="20"/>
          <w:szCs w:val="20"/>
          <w:color w:val="auto"/>
        </w:rPr>
      </w:pPr>
    </w:p>
    <w:p>
      <w:pPr>
        <w:ind w:left="820" w:right="320" w:firstLine="324"/>
        <w:spacing w:after="0" w:line="277" w:lineRule="auto"/>
        <w:rPr>
          <w:sz w:val="20"/>
          <w:szCs w:val="20"/>
          <w:color w:val="auto"/>
        </w:rPr>
      </w:pPr>
      <w:r>
        <w:rPr>
          <w:rFonts w:ascii="Arial" w:cs="Arial" w:eastAsia="Arial" w:hAnsi="Arial"/>
          <w:sz w:val="18"/>
          <w:szCs w:val="18"/>
          <w:color w:val="auto"/>
        </w:rPr>
        <w:t>Other revenue includes revenue from consulting, training, Autodesk Developers Network and Creative Finishing customer support, and is recognized over time, as the services are performed.</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Maintenance revenue consists of revenue from the Company’s maintenance program. Under this program, customers are eligible to receive unspecified upgrades when-and-if-available, downloadable training courses and on-line support. Autodesk recognizes maintenance revenue from its maintenance program ratably over the maintenance service contract periods.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Taxes Collected from Customers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the date of grant, Autodesk measures the fair value of all stock-based payments (including grants of stock options, employee stock purchases related to the employee stock purchase plan (“ESP Plan”), and restricted stock) to employees and directors and records the related expense in Autodesk’s Consolidated Statements of Operations. Share-based compensation cost for stock options and employee stock purchases related to the ESP Plan ("stock-based awards") are estimated at the grant date based on the fair-value as calculated using the Black-Scholes-Merton (“BSM”) option-pricing model. Share-based compensation cost for restricted stock is measured based on the closing fair market value of the Company's common stock on the date of grant. The estimated fair value of stock-based awards and restricted stock is amortized to expense on a straight-line basis over the awards’ vesting period. The following table summarizes stock-based compensation expense for fiscal 2012, 2011 and 2010, respectively,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3"/>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license and other revenue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Marketing and sales</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Stock-based compensation expense related to stock awards and ESP Plan purchases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9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Stock-based compensation expense related to stock awards and ESP Plan purchases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fiscal 2010, Autodesk identified errors in the calculation of stock-based compensation expense. The Company had been incorrectly calculating stock-based compensation expense by applying a weighted average forfeiture rate to the vested portion of stock option awards until the grant’s final vest date rather than calculating stock based compensation expense based upon the actual vested portion of the grant date fair value, resulting in an understatement of stock-based compensation expense in certain periods prior to the grant’s vest date. The cumulative error from the understatement of stock-based compensation expense related to the periods prior to fiscal 2010 totaled $6.8 million, net of tax effects. Accordingly, additional expenses of $0.4 million for Cost of license and other revenue, $4.4 million for Marketing and sales, $2.9 million for Research and development, $2.1 million for General and Administrative and $3.0 million for additional tax benefit are included in the stock-based compensation expenses in the table above for the fiscal year ended January 31, 2010.</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Autodesk uses the BSM option-pricing model to estimate the fair value of stock-based awards based on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3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620" w:type="dxa"/>
            <w:vAlign w:val="bottom"/>
          </w:tcPr>
          <w:p>
            <w:pPr>
              <w:spacing w:after="0"/>
              <w:rPr>
                <w:sz w:val="16"/>
                <w:szCs w:val="16"/>
                <w:color w:val="auto"/>
              </w:rPr>
            </w:pPr>
          </w:p>
        </w:tc>
        <w:tc>
          <w:tcPr>
            <w:tcW w:w="160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2"/>
              </w:rPr>
              <w:t>Fiscal Year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1960" w:type="dxa"/>
            <w:vAlign w:val="bottom"/>
          </w:tcPr>
          <w:p>
            <w:pPr>
              <w:spacing w:after="0"/>
              <w:rPr>
                <w:sz w:val="24"/>
                <w:szCs w:val="24"/>
                <w:color w:val="auto"/>
              </w:rPr>
            </w:pP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January 31, 2012</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2"/>
              </w:rPr>
              <w:t>January 31, 2011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2010</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1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15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Plans</w:t>
            </w:r>
          </w:p>
        </w:tc>
        <w:tc>
          <w:tcPr>
            <w:tcW w:w="1600" w:type="dxa"/>
            <w:vAlign w:val="bottom"/>
            <w:gridSpan w:val="2"/>
            <w:vMerge w:val="continue"/>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580" w:type="dxa"/>
            <w:vAlign w:val="bottom"/>
            <w:gridSpan w:val="3"/>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Plans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60" w:type="dxa"/>
            <w:vAlign w:val="bottom"/>
          </w:tcPr>
          <w:p>
            <w:pPr>
              <w:ind w:left="40"/>
              <w:spacing w:after="0"/>
              <w:rPr>
                <w:sz w:val="20"/>
                <w:szCs w:val="20"/>
                <w:color w:val="auto"/>
              </w:rPr>
            </w:pPr>
            <w:r>
              <w:rPr>
                <w:rFonts w:ascii="Arial" w:cs="Arial" w:eastAsia="Arial" w:hAnsi="Arial"/>
                <w:sz w:val="18"/>
                <w:szCs w:val="18"/>
                <w:color w:val="auto"/>
              </w:rPr>
              <w:t>Range of expected</w:t>
            </w: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0"/>
              <w:spacing w:after="0"/>
              <w:rPr>
                <w:sz w:val="20"/>
                <w:szCs w:val="20"/>
                <w:color w:val="auto"/>
              </w:rPr>
            </w:pPr>
            <w:r>
              <w:rPr>
                <w:rFonts w:ascii="Arial" w:cs="Arial" w:eastAsia="Arial" w:hAnsi="Arial"/>
                <w:sz w:val="18"/>
                <w:szCs w:val="18"/>
                <w:color w:val="auto"/>
              </w:rPr>
              <w:t>volatilities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40 - 49%</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34 - 44%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880" w:type="dxa"/>
            <w:vAlign w:val="bottom"/>
          </w:tcPr>
          <w:p>
            <w:pPr>
              <w:ind w:left="20"/>
              <w:spacing w:after="0"/>
              <w:rPr>
                <w:sz w:val="20"/>
                <w:szCs w:val="20"/>
                <w:color w:val="auto"/>
              </w:rPr>
            </w:pPr>
            <w:r>
              <w:rPr>
                <w:rFonts w:ascii="Arial" w:cs="Arial" w:eastAsia="Arial" w:hAnsi="Arial"/>
                <w:sz w:val="18"/>
                <w:szCs w:val="18"/>
                <w:color w:val="auto"/>
              </w:rPr>
              <w:t>- 45%</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ind w:left="40"/>
              <w:spacing w:after="0"/>
              <w:rPr>
                <w:sz w:val="20"/>
                <w:szCs w:val="20"/>
                <w:color w:val="auto"/>
              </w:rPr>
            </w:pPr>
            <w:r>
              <w:rPr>
                <w:rFonts w:ascii="Arial" w:cs="Arial" w:eastAsia="Arial" w:hAnsi="Arial"/>
                <w:sz w:val="18"/>
                <w:szCs w:val="18"/>
                <w:color w:val="auto"/>
              </w:rPr>
              <w:t>- 47%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43 - 55%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43 - 73%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Range of expected lives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2.6 - 4.8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0.5 - 2.0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2.6 - 4.4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0.5 - 2.0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2.7 - 4.0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0.5 - 2.0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Range of risk-free interest</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0.5 - 1.9%</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0.1 - 0.8%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1.0 - 2.4%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0.2 - 1.0%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Expected forfeitures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7.8 - 10.5%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7.8 - 10.5%</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tcPr>
          <w:p>
            <w:pPr>
              <w:ind w:left="20"/>
              <w:spacing w:after="0"/>
              <w:rPr>
                <w:sz w:val="20"/>
                <w:szCs w:val="20"/>
                <w:color w:val="auto"/>
              </w:rPr>
            </w:pPr>
            <w:r>
              <w:rPr>
                <w:rFonts w:ascii="Arial" w:cs="Arial" w:eastAsia="Arial" w:hAnsi="Arial"/>
                <w:sz w:val="18"/>
                <w:szCs w:val="18"/>
                <w:color w:val="auto"/>
              </w:rPr>
              <w:t>- 13.5%</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tcPr>
          <w:p>
            <w:pPr>
              <w:ind w:left="40"/>
              <w:spacing w:after="0"/>
              <w:rPr>
                <w:sz w:val="20"/>
                <w:szCs w:val="20"/>
                <w:color w:val="auto"/>
              </w:rPr>
            </w:pPr>
            <w:r>
              <w:rPr>
                <w:rFonts w:ascii="Arial" w:cs="Arial" w:eastAsia="Arial" w:hAnsi="Arial"/>
                <w:sz w:val="18"/>
                <w:szCs w:val="18"/>
                <w:color w:val="auto"/>
              </w:rPr>
              <w:t>- 13.5%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13.5%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2012, 2011 or 2010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w:t>
      </w:r>
    </w:p>
    <w:p>
      <w:pPr>
        <w:spacing w:after="0" w:line="15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for stock-based awards is the historical yield on U.S. Treasury securities with equivalent remaining lives.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$21.3 million in fiscal 2012, $18.8 million in fiscal 2011 and $18.4 million in fiscal 2010.</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 Per Share</w:t>
      </w:r>
    </w:p>
    <w:p>
      <w:pPr>
        <w:spacing w:after="0" w:line="17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for the period, including restricted stock awards and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in Fiscal 2012</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fiscal year ended January 31, 2012, that are of significance, or potential significance, to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w:t>
      </w:r>
    </w:p>
    <w:p>
      <w:pPr>
        <w:spacing w:after="0" w:line="17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December 2010, the FASB issued Accounting Standard Update (“ASU”) 2010-29 regarding Accounting Standards Codification (“ASC”) Topic 805 “Business Combinations.” This ASU updates accounting guidance to clarify that pro forma disclosures should be presented as if a business combination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was effective for business combinations consummated in periods beginning after December 15, 2010, and should be applied prospectively as of the date of adoption. Autodesk adopted the new disclosures under ASU 2010-29 effective February 1, 2011. The adoption of this ASU did not have an impact on Autodesk's consolidated statements of financial position, results of operations or cash flows. The impact of ASU 2010-29 on Autodesk's future disclosures will be dependent on the size of the business combinations that it consummates in future periods.</w:t>
      </w:r>
    </w:p>
    <w:p>
      <w:pPr>
        <w:spacing w:after="0" w:line="112"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December 2010, the FASB issued ASU 2010-28 regarding ASC Topic 350 “Intangibles - Goodwill and Other.” This ASU updates accounting guidance related to the calculation of the carrying amount of a reporting unit when performing the first step of a goodwill impairment test. More specifically, this update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new accounting guidance was effective for public entities, for impairment tests performed during entities' fiscal years (and interim periods within those years) that begin after December 15, 2010. Autodesk adopted the changes under ASU 2010-28 effective February 1, 2011. The adoption of this ASU did not have a material impact on Autodesk's consolidated statements of financial position, results of operations or cash flows.</w:t>
      </w:r>
    </w:p>
    <w:p>
      <w:pPr>
        <w:spacing w:after="0" w:line="11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January 2010, the FASB issued ASU 2010-06 regarding ASC Topic 820 “Fair Value Measurements and Disclosures.” This ASU requires additional disclosure regarding significant transfers in and out of Levels 1 and 2 fair value measurements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 the reasons for the transfers. In addition, this ASU requires the Company to separately present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Autodesk adopted February 1, 2011. The adoption of this ASU did not have a material impact on Autodesk's consolidated statements of financial position, results of operations or cash flows.</w:t>
      </w:r>
    </w:p>
    <w:p>
      <w:pPr>
        <w:spacing w:after="0" w:line="12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requires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were effective prospectively for revenue arrangements entered into or materially modified in fiscal years beginning on or after June 15, 2010. Autodesk adopted the changes under ASU 2009-13 and 2009-14 effective February 1, 2011. The adoption of this ASU did not have a material impact on Autodesk's consolidated statements of financial position, results of operations or cash flows.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December 2011, the FASB issued ASU 2011-11 regarding ASC Topic 210 "Balance Sheet: Disclosure about Offsetting Assets and Liabilities." This ASU requires that entities disclose additional information about offsetting and related arrangements to enable users of the financial statements to understand the effect of those arrangements on the financial position. This ASU will be effective for Autodesk's fiscal year beginning February 1, 2013. Autodesk believes that the adoption of this ASU may impact future disclosures but will not impact its consolidated statements of financial position, results of operations or cash flows.</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September 2011, the FASB issued ASU 2011-08 regarding ASC Topic 350 “Intangibles - Goodwill and Other.” This ASU allows for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This ASU will be effective for Autodesk's fiscal year beginning February 1, 2012. Autodesk believes that the adoption of this ASU will not have a material impact on its consolidated statements of financial position, results of operations or cash flows.</w:t>
      </w:r>
    </w:p>
    <w:p>
      <w:pPr>
        <w:spacing w:after="0" w:line="13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December 2011, the FASB issued ASU 2011-12 in order to defer new requirements around the presentation of reclassification adjustments on the face of the financial statements between accumulated other comprehensive income and the components of net income and other comprehensive income originally issued in ASU 2011-05. Both ASUs will be effective for Autodesk's fiscal year beginning February 1, 2012. Autodesk currently believes that these new accounting pronouncements will impact the presentation of other comprehensive income but will not impact its consolidated financial position, results of operations or cash flow.</w:t>
      </w:r>
    </w:p>
    <w:p>
      <w:pPr>
        <w:spacing w:after="0" w:line="1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May 2011, FASB issued ASU 2011-04 regarding ASC Topic 820 “Fair Value Measurement.” This ASU updates accounting guidance to clarify how to measure fair value to align the guidance surrounding Fair Value Measurement within GAAP and International Financial Reporting Standards. In addition, the ASU updates certain requirements for measuring fair value and for disclosure around fair value measurement. It does not require additional fair value measurements and the ASU was not intended to establish valuation standards or affect valuation practices outside of financial reporting. This ASU will be effective for Autodesk's fiscal year beginning February 1, 2012. Early adoption is not permitted. Autodesk believes that the adoption of this ASU will not have a material impact on its consolidated statements of financial position, results of operations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or cash flows.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Financial Instruments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summarizes the Company's financial instruments' amortized cost, gross unrealized gains, gross unrealized losses, and fair value by significant investment category as of January 31, 2012 and 2011.</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January 31, 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0"/>
        </w:trPr>
        <w:tc>
          <w:tcPr>
            <w:tcW w:w="2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gains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6"/>
              </w:rPr>
              <w:t>losses</w:t>
            </w:r>
          </w:p>
        </w:tc>
        <w:tc>
          <w:tcPr>
            <w:tcW w:w="14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Level 3</w:t>
            </w:r>
          </w:p>
        </w:tc>
      </w:tr>
      <w:tr>
        <w:trPr>
          <w:trHeight w:val="40"/>
        </w:trPr>
        <w:tc>
          <w:tcPr>
            <w:tcW w:w="2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0"/>
        </w:trPr>
        <w:tc>
          <w:tcPr>
            <w:tcW w:w="2700" w:type="dxa"/>
            <w:vAlign w:val="bottom"/>
          </w:tcPr>
          <w:p>
            <w:pPr>
              <w:ind w:left="24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700" w:type="dxa"/>
            <w:vAlign w:val="bottom"/>
          </w:tcPr>
          <w:p>
            <w:pPr>
              <w:ind w:left="240"/>
              <w:spacing w:after="0"/>
              <w:rPr>
                <w:sz w:val="20"/>
                <w:szCs w:val="20"/>
                <w:color w:val="auto"/>
              </w:rPr>
            </w:pPr>
            <w:r>
              <w:rPr>
                <w:rFonts w:ascii="Arial" w:cs="Arial" w:eastAsia="Arial" w:hAnsi="Arial"/>
                <w:sz w:val="16"/>
                <w:szCs w:val="16"/>
                <w:color w:val="auto"/>
              </w:rPr>
              <w:t>deposits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70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700" w:type="dxa"/>
            <w:vAlign w:val="bottom"/>
          </w:tcPr>
          <w:p>
            <w:pPr>
              <w:ind w:left="240"/>
              <w:spacing w:after="0"/>
              <w:rPr>
                <w:sz w:val="20"/>
                <w:szCs w:val="20"/>
                <w:color w:val="auto"/>
              </w:rPr>
            </w:pPr>
            <w:r>
              <w:rPr>
                <w:rFonts w:ascii="Arial" w:cs="Arial" w:eastAsia="Arial" w:hAnsi="Arial"/>
                <w:sz w:val="16"/>
                <w:szCs w:val="16"/>
                <w:color w:val="auto"/>
              </w:rPr>
              <w:t>Short-term available for sale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0"/>
        </w:trPr>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Commercial paper and corporate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9"/>
        </w:trPr>
        <w:tc>
          <w:tcPr>
            <w:tcW w:w="2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700" w:type="dxa"/>
            <w:vAlign w:val="bottom"/>
          </w:tcPr>
          <w:p>
            <w:pPr>
              <w:ind w:left="580"/>
              <w:spacing w:after="0"/>
              <w:rPr>
                <w:sz w:val="20"/>
                <w:szCs w:val="20"/>
                <w:color w:val="auto"/>
              </w:rPr>
            </w:pPr>
            <w:r>
              <w:rPr>
                <w:rFonts w:ascii="Arial" w:cs="Arial" w:eastAsia="Arial" w:hAnsi="Arial"/>
                <w:sz w:val="16"/>
                <w:szCs w:val="16"/>
                <w:color w:val="auto"/>
              </w:rPr>
              <w:t>deposits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70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Short-term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Long-term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70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Taxable auction-rate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debt securities (2)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Derivative contracts (3)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ind w:left="520"/>
              <w:spacing w:after="0"/>
              <w:rPr>
                <w:sz w:val="20"/>
                <w:szCs w:val="20"/>
                <w:color w:val="auto"/>
              </w:rPr>
            </w:pPr>
            <w:r>
              <w:rPr>
                <w:rFonts w:ascii="Arial" w:cs="Arial" w:eastAsia="Arial" w:hAnsi="Arial"/>
                <w:sz w:val="16"/>
                <w:szCs w:val="16"/>
                <w:b w:val="1"/>
                <w:bCs w:val="1"/>
                <w:color w:val="auto"/>
              </w:rPr>
              <w:t>January 31, 2011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0"/>
        </w:trPr>
        <w:tc>
          <w:tcPr>
            <w:tcW w:w="26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unrealized</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gains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6"/>
              </w:rPr>
              <w:t>losses</w:t>
            </w:r>
          </w:p>
        </w:tc>
        <w:tc>
          <w:tcPr>
            <w:tcW w:w="14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Level 3</w:t>
            </w:r>
          </w:p>
        </w:tc>
      </w:tr>
      <w:tr>
        <w:trPr>
          <w:trHeight w:val="40"/>
        </w:trPr>
        <w:tc>
          <w:tcPr>
            <w:tcW w:w="26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0"/>
        </w:trPr>
        <w:tc>
          <w:tcPr>
            <w:tcW w:w="2640" w:type="dxa"/>
            <w:vAlign w:val="bottom"/>
          </w:tcPr>
          <w:p>
            <w:pPr>
              <w:ind w:left="24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40" w:type="dxa"/>
            <w:vAlign w:val="bottom"/>
          </w:tcPr>
          <w:p>
            <w:pPr>
              <w:ind w:left="240"/>
              <w:spacing w:after="0"/>
              <w:rPr>
                <w:sz w:val="20"/>
                <w:szCs w:val="20"/>
                <w:color w:val="auto"/>
              </w:rPr>
            </w:pPr>
            <w:r>
              <w:rPr>
                <w:rFonts w:ascii="Arial" w:cs="Arial" w:eastAsia="Arial" w:hAnsi="Arial"/>
                <w:sz w:val="16"/>
                <w:szCs w:val="16"/>
                <w:color w:val="auto"/>
              </w:rPr>
              <w:t>deposits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383.3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383.3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640" w:type="dxa"/>
            <w:vAlign w:val="bottom"/>
          </w:tcPr>
          <w:p>
            <w:pPr>
              <w:ind w:left="240"/>
              <w:spacing w:after="0"/>
              <w:rPr>
                <w:sz w:val="20"/>
                <w:szCs w:val="20"/>
                <w:color w:val="auto"/>
              </w:rPr>
            </w:pPr>
            <w:r>
              <w:rPr>
                <w:rFonts w:ascii="Arial" w:cs="Arial" w:eastAsia="Arial" w:hAnsi="Arial"/>
                <w:sz w:val="16"/>
                <w:szCs w:val="16"/>
                <w:color w:val="auto"/>
              </w:rPr>
              <w:t>Short-term available for sale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0"/>
        </w:trPr>
        <w:tc>
          <w:tcPr>
            <w:tcW w:w="264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4"/>
              </w:rPr>
              <w:t>Commercial paper and corporate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40" w:type="dxa"/>
            <w:vAlign w:val="bottom"/>
          </w:tcPr>
          <w:p>
            <w:pPr>
              <w:ind w:left="42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40" w:type="dxa"/>
            <w:vAlign w:val="bottom"/>
          </w:tcPr>
          <w:p>
            <w:pPr>
              <w:ind w:left="580"/>
              <w:spacing w:after="0"/>
              <w:rPr>
                <w:sz w:val="20"/>
                <w:szCs w:val="20"/>
                <w:color w:val="auto"/>
              </w:rPr>
            </w:pPr>
            <w:r>
              <w:rPr>
                <w:rFonts w:ascii="Arial" w:cs="Arial" w:eastAsia="Arial" w:hAnsi="Arial"/>
                <w:sz w:val="16"/>
                <w:szCs w:val="16"/>
                <w:color w:val="auto"/>
              </w:rPr>
              <w:t>deposits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4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4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240"/>
              <w:spacing w:after="0"/>
              <w:rPr>
                <w:sz w:val="20"/>
                <w:szCs w:val="20"/>
                <w:color w:val="auto"/>
              </w:rPr>
            </w:pPr>
            <w:r>
              <w:rPr>
                <w:rFonts w:ascii="Arial" w:cs="Arial" w:eastAsia="Arial" w:hAnsi="Arial"/>
                <w:sz w:val="16"/>
                <w:szCs w:val="16"/>
                <w:color w:val="auto"/>
              </w:rPr>
              <w:t>Short-term trading securities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240"/>
              <w:spacing w:after="0"/>
              <w:rPr>
                <w:sz w:val="20"/>
                <w:szCs w:val="20"/>
                <w:color w:val="auto"/>
              </w:rPr>
            </w:pPr>
            <w:r>
              <w:rPr>
                <w:rFonts w:ascii="Arial" w:cs="Arial" w:eastAsia="Arial" w:hAnsi="Arial"/>
                <w:sz w:val="16"/>
                <w:szCs w:val="16"/>
                <w:color w:val="auto"/>
              </w:rPr>
              <w:t>Long-term available for sale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0"/>
        </w:trPr>
        <w:tc>
          <w:tcPr>
            <w:tcW w:w="2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20"/>
              <w:spacing w:after="0"/>
              <w:rPr>
                <w:sz w:val="20"/>
                <w:szCs w:val="20"/>
                <w:color w:val="auto"/>
              </w:rPr>
            </w:pPr>
            <w:r>
              <w:rPr>
                <w:rFonts w:ascii="Arial" w:cs="Arial" w:eastAsia="Arial" w:hAnsi="Arial"/>
                <w:sz w:val="16"/>
                <w:szCs w:val="16"/>
                <w:color w:val="auto"/>
              </w:rPr>
              <w:t>Taxable auction-rate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Derivative contracts (2)</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2640" w:type="dxa"/>
            <w:vAlign w:val="bottom"/>
          </w:tcPr>
          <w:p>
            <w:pPr>
              <w:ind w:left="4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12700</wp:posOffset>
            </wp:positionV>
            <wp:extent cx="41592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-130175</wp:posOffset>
            </wp:positionV>
            <wp:extent cx="41592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61</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w:t>
      </w:r>
    </w:p>
    <w:p>
      <w:pPr>
        <w:ind w:right="20"/>
        <w:spacing w:after="0" w:line="261" w:lineRule="auto"/>
        <w:rPr>
          <w:sz w:val="20"/>
          <w:szCs w:val="20"/>
          <w:color w:val="auto"/>
        </w:rPr>
      </w:pPr>
      <w:r>
        <w:rPr>
          <w:rFonts w:ascii="Arial" w:cs="Arial" w:eastAsia="Arial" w:hAnsi="Arial"/>
          <w:sz w:val="18"/>
          <w:szCs w:val="18"/>
          <w:color w:val="auto"/>
        </w:rPr>
        <w:t>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2012 and 2011 was as follows:</w:t>
      </w:r>
    </w:p>
    <w:p>
      <w:pPr>
        <w:spacing w:after="0" w:line="24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13335</wp:posOffset>
            </wp:positionV>
            <wp:extent cx="4064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4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Money Market</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Funds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31, 2010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Transfers into (out of) Level 3</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160" w:type="dxa"/>
            <w:vAlign w:val="bottom"/>
            <w:gridSpan w:val="2"/>
          </w:tcPr>
          <w:p>
            <w:pPr>
              <w:ind w:left="360"/>
              <w:spacing w:after="0"/>
              <w:rPr>
                <w:sz w:val="20"/>
                <w:szCs w:val="20"/>
                <w:color w:val="auto"/>
              </w:rPr>
            </w:pPr>
            <w:r>
              <w:rPr>
                <w:rFonts w:ascii="Arial" w:cs="Arial" w:eastAsia="Arial" w:hAnsi="Arial"/>
                <w:sz w:val="18"/>
                <w:szCs w:val="18"/>
                <w:color w:val="auto"/>
                <w:w w:val="98"/>
              </w:rPr>
              <w:t>Total realized/unrealized gains (losses) included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in earnings</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31, 2011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Transfers into (out of) Level 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Redemptions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realized/unrealized gains (losses) included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 earnings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Balance at January 31, 2012</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estimated fair value of our “available-for-sale securities” classified by the contractual maturity date of the security:</w:t>
      </w:r>
    </w:p>
    <w:p>
      <w:pPr>
        <w:spacing w:after="0" w:line="255"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w w:val="99"/>
              </w:rPr>
              <w:t>January 31, 2012</w:t>
            </w:r>
          </w:p>
        </w:tc>
      </w:tr>
      <w:tr>
        <w:trPr>
          <w:trHeight w:val="264"/>
        </w:trPr>
        <w:tc>
          <w:tcPr>
            <w:tcW w:w="7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1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Due in 1 year through 5 years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206.9</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5 years through 10 years</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Due after 10 years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
        </w:trPr>
        <w:tc>
          <w:tcPr>
            <w:tcW w:w="7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432.7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January 31, 2012 and 2011, Autodesk did not have any securities in a continuous unrealized loss position for greater than twelve months.</w:t>
      </w:r>
    </w:p>
    <w:p>
      <w:pPr>
        <w:spacing w:after="0" w:line="237" w:lineRule="exact"/>
        <w:rPr>
          <w:sz w:val="20"/>
          <w:szCs w:val="20"/>
          <w:color w:val="auto"/>
        </w:rPr>
      </w:pPr>
    </w:p>
    <w:p>
      <w:pPr>
        <w:ind w:left="60" w:firstLine="648"/>
        <w:spacing w:after="0" w:line="259" w:lineRule="auto"/>
        <w:rPr>
          <w:sz w:val="20"/>
          <w:szCs w:val="20"/>
          <w:color w:val="auto"/>
        </w:rPr>
      </w:pPr>
      <w:r>
        <w:rPr>
          <w:rFonts w:ascii="Arial" w:cs="Arial" w:eastAsia="Arial" w:hAnsi="Arial"/>
          <w:sz w:val="18"/>
          <w:szCs w:val="18"/>
          <w:color w:val="auto"/>
        </w:rPr>
        <w:t>The sales or redemptions of “available-for-sale securities” in fiscal 2012 and fiscal 2010 resulted in no gains or losses. The sales or redemptions of “available-for-sale securities” for fiscal 2011 resulted in a gain of $1.7 million and no losses. The cost of securities sold is based on the specific identification method. Proceeds from the sale and maturity of marketable securities were $559.1 million in fiscal 2012, $410.7 million in fiscal 2011 and $355.1 million in fiscal 2010.</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17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Consolidated Financial Statements at that time.</w:t>
      </w:r>
    </w:p>
    <w:p>
      <w:pPr>
        <w:spacing w:after="0" w:line="112"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The net notional amount of these contracts was $419.6 million at January 31, 2012 and $345.5 million at January 31, 2011. Balances presented below are presented as net settled. Outstanding contracts are recognized as either assets or liabilities on the balance sheet at fair value. The majority of the net gain of $9.2 million remaining in “Accumulated Other Comprehensive Income (Loss)” as of January 31, 2012 is expected to be recognized into earnings within the next twelve months.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17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were $75.1 million at January 31, 2012 and $56.1 million at January 31, 2011.</w:t>
      </w:r>
    </w:p>
    <w:p>
      <w:pPr>
        <w:spacing w:after="0" w:line="15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2012 and January 31, 2011: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Fair Value at</w:t>
            </w:r>
          </w:p>
        </w:tc>
      </w:tr>
      <w:tr>
        <w:trPr>
          <w:trHeight w:val="33"/>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2520" w:type="dxa"/>
            <w:vAlign w:val="bottom"/>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January 31, 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January 31, 2011</w:t>
            </w:r>
          </w:p>
        </w:tc>
      </w:tr>
      <w:tr>
        <w:trPr>
          <w:trHeight w:val="33"/>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431"/>
        </w:trPr>
        <w:tc>
          <w:tcPr>
            <w:tcW w:w="57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Derivatives not designated as hedging instruments</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Total derivative assets</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r>
      <w:tr>
        <w:trPr>
          <w:trHeight w:val="67"/>
        </w:trPr>
        <w:tc>
          <w:tcPr>
            <w:tcW w:w="57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derivative liabilities</w:t>
            </w:r>
          </w:p>
        </w:tc>
        <w:tc>
          <w:tcPr>
            <w:tcW w:w="2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2012 and 2011, respectively (amounts presented include any income tax effects):</w:t>
      </w:r>
    </w:p>
    <w:p>
      <w:pPr>
        <w:spacing w:after="0" w:line="18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of gain (loss) recognized in accumulated other comprehensive income ("OCI") on derivatives</w:t>
            </w:r>
          </w:p>
        </w:tc>
        <w:tc>
          <w:tcPr>
            <w:tcW w:w="980" w:type="dxa"/>
            <w:vAlign w:val="bottom"/>
            <w:vMerge w:val="restart"/>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portion)</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Amount and Location of Gain (Loss) Reclassified from Accumulated OCI into Income (Effective Portion)</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w w:val="97"/>
              </w:rPr>
              <w:t>Amount and Location of Gain (Loss) Recognized in Income on Derivatives (Ineffective Portion and Amount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3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i w:val="1"/>
                <w:iCs w:val="1"/>
                <w:color w:val="auto"/>
              </w:rPr>
              <w:t>Excluded from Effectiveness Testing)</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2012 and 2011, respectively (amounts presented include any income tax effects):</w:t>
      </w:r>
    </w:p>
    <w:p>
      <w:pPr>
        <w:spacing w:after="0" w:line="18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Foreign Exchange</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Amount and Location of Gain (Loss) Recognized in Income on Derivative</w:t>
      </w:r>
    </w:p>
    <w:p>
      <w:pPr>
        <w:spacing w:after="0" w:line="77" w:lineRule="exact"/>
        <w:rPr>
          <w:sz w:val="20"/>
          <w:szCs w:val="20"/>
          <w:color w:val="auto"/>
        </w:rPr>
      </w:pPr>
    </w:p>
    <w:p>
      <w:pPr>
        <w:ind w:left="380"/>
        <w:spacing w:after="0"/>
        <w:tabs>
          <w:tab w:leader="none" w:pos="8340" w:val="left"/>
          <w:tab w:leader="none" w:pos="9420" w:val="left"/>
          <w:tab w:leader="none" w:pos="9960" w:val="left"/>
          <w:tab w:leader="none" w:pos="11060" w:val="left"/>
        </w:tabs>
        <w:rPr>
          <w:sz w:val="20"/>
          <w:szCs w:val="20"/>
          <w:color w:val="auto"/>
        </w:rPr>
      </w:pPr>
      <w:r>
        <w:rPr>
          <w:rFonts w:ascii="Arial" w:cs="Arial" w:eastAsia="Arial" w:hAnsi="Arial"/>
          <w:sz w:val="18"/>
          <w:szCs w:val="18"/>
          <w:color w:val="auto"/>
        </w:rPr>
        <w:t>Interest and other income,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w:t>
        <w:tab/>
        <w:t>$</w:t>
      </w:r>
      <w:r>
        <w:rPr>
          <w:sz w:val="20"/>
          <w:szCs w:val="20"/>
          <w:color w:val="auto"/>
        </w:rPr>
        <w:tab/>
      </w:r>
      <w:r>
        <w:rPr>
          <w:rFonts w:ascii="Arial" w:cs="Arial" w:eastAsia="Arial" w:hAnsi="Arial"/>
          <w:sz w:val="17"/>
          <w:szCs w:val="17"/>
          <w:color w:val="auto"/>
        </w:rPr>
        <w:t>2.3</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Employee and Director Stock Plans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January 31, 2012, Autodesk maintained two active stock option plans for the purpose of granting equity awards to employees and to non-employee members of Autodesk’s Board of Directors: the 2012 Employee Stock Plan (“2012 Employee Plan”), which is available only to employees, and the Autodesk 2012 Outside Directors’ Plan (“2012 Directors' Plan”), which 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1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2012 Employee Plan was approved by Autodesk's stockholders and became effective on January 6, 2012. The 2012 Employee Plan replaced the 2008 Employee Stock Plan, as amended ("2008 Plan") and no further equity awards may be granted under the 2008 Plan.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2012, no options or restricted stock have been granted under the 2012 Employee Plan. Options and restricted stock that were granted under the 2008 Stock Plan vest over periods ranging from immediately upon grant to over a four year period and options expire within four to ten years from the date of grant. The 2012 Employee Plan will expire on June 30, 2022. At January 31, 2012, 15.4 million shares were available for future issuance under the 2012 Employee Plan.</w:t>
      </w:r>
    </w:p>
    <w:p>
      <w:pPr>
        <w:spacing w:after="0" w:line="12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2012 Director's Plan was approved by Autodesk's stockholders and became effective on January 6, 2012. The 2012 Directors' Plan replaced the 2010 Outside Directors'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2012, no options or restricted stock have been granted under the 2012 Directors' Plan. Options and restricted stock that were granted under the 2010 Outside Directors' Plan vest over periods ranging from one year to over a four year period and options expire within seven years from the date of grant. The 2012 Directors' Plan reserved 2.6 million shares of Autodesk common stock. The 2012 Employee Plan will expire on June 30, 2022. At January 31, 2012, 2.6 million shares were available for future issuance under the 2012 Director's Plan.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January 31, 2011</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January 31, 2012</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January 31, 2012</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16.7</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 xml:space="preserve">Options vested and exercisable as of January 31, 2012 and expected to vest thereafter </w:t>
            </w:r>
            <w:r>
              <w:rPr>
                <w:rFonts w:ascii="Arial" w:cs="Arial" w:eastAsia="Arial" w:hAnsi="Arial"/>
                <w:sz w:val="16"/>
                <w:szCs w:val="16"/>
                <w:color w:val="auto"/>
              </w:rPr>
              <w:t>(1)</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Options available for grant at January 31, 2012</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951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-127635</wp:posOffset>
            </wp:positionV>
            <wp:extent cx="951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right="80" w:firstLine="8"/>
        <w:spacing w:after="0" w:line="263" w:lineRule="auto"/>
        <w:tabs>
          <w:tab w:leader="none" w:pos="23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 The weighted average remaining contractual life for these options is 3.9 years and the aggregate intrinsic value is $199.3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As of January 31, 2012, total compensation cost of $74.9 million related to non-vested options is expected to be recognized over a weighted average period of 1.7 years. The following table summarizes information about the pre-tax intrinsic value of options exercised, and the weighted average grant date fair value per share of options granted, during the fiscal years ended January 31, 2012, 2011 and 2010.</w:t>
      </w:r>
    </w:p>
    <w:p>
      <w:pPr>
        <w:spacing w:after="0" w:line="200"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Intrinsic value of options exercised </w:t>
            </w:r>
            <w:r>
              <w:rPr>
                <w:rFonts w:ascii="Arial" w:cs="Arial" w:eastAsia="Arial" w:hAnsi="Arial"/>
                <w:sz w:val="12"/>
                <w:szCs w:val="12"/>
                <w:color w:val="auto"/>
              </w:rPr>
              <w:t>(1)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Weighted average grant date fair value per share of stock options granted </w:t>
            </w:r>
            <w:r>
              <w:rPr>
                <w:rFonts w:ascii="Arial" w:cs="Arial" w:eastAsia="Arial" w:hAnsi="Arial"/>
                <w:sz w:val="12"/>
                <w:szCs w:val="12"/>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6.13</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intrinsic value of options exercised is calculated as the difference between the exercise price of the option and the market value of the stock on the date of exercise.</w:t>
      </w:r>
    </w:p>
    <w:p>
      <w:pPr>
        <w:spacing w:after="0" w:line="20" w:lineRule="exact"/>
        <w:rPr>
          <w:rFonts w:ascii="Arial" w:cs="Arial" w:eastAsia="Arial" w:hAnsi="Arial"/>
          <w:sz w:val="15"/>
          <w:szCs w:val="15"/>
          <w:color w:val="auto"/>
        </w:rPr>
      </w:pPr>
    </w:p>
    <w:p>
      <w:pPr>
        <w:ind w:left="240" w:hanging="232"/>
        <w:spacing w:after="0"/>
        <w:tabs>
          <w:tab w:leader="none" w:pos="2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weighted average grant date fair value per share of stock options granted is calculated, as of the stock option grant date, using the BSM option pricing model.</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January 31, 2012: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00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value(1)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value(1)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9"/>
              </w:rPr>
              <w:t>price 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9"/>
              </w:rPr>
              <w:t>price per 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Range of per-share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ind w:left="60"/>
              <w:spacing w:after="0"/>
              <w:rPr>
                <w:sz w:val="20"/>
                <w:szCs w:val="20"/>
                <w:color w:val="auto"/>
              </w:rPr>
            </w:pPr>
            <w:r>
              <w:rPr>
                <w:rFonts w:ascii="Arial" w:cs="Arial" w:eastAsia="Arial" w:hAnsi="Arial"/>
                <w:sz w:val="16"/>
                <w:szCs w:val="16"/>
                <w:color w:val="auto"/>
              </w:rPr>
              <w:t>$2.28 - $17.37</w:t>
            </w: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$17.39 - $29.49</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ind w:left="60"/>
              <w:spacing w:after="0"/>
              <w:rPr>
                <w:sz w:val="20"/>
                <w:szCs w:val="20"/>
                <w:color w:val="auto"/>
              </w:rPr>
            </w:pPr>
            <w:r>
              <w:rPr>
                <w:rFonts w:ascii="Arial" w:cs="Arial" w:eastAsia="Arial" w:hAnsi="Arial"/>
                <w:sz w:val="16"/>
                <w:szCs w:val="16"/>
                <w:color w:val="auto"/>
              </w:rPr>
              <w:t>$29.50 - $37.16</w:t>
            </w: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$37.26 - $41.62</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ind w:left="60"/>
              <w:spacing w:after="0"/>
              <w:rPr>
                <w:sz w:val="20"/>
                <w:szCs w:val="20"/>
                <w:color w:val="auto"/>
              </w:rPr>
            </w:pPr>
            <w:r>
              <w:rPr>
                <w:rFonts w:ascii="Arial" w:cs="Arial" w:eastAsia="Arial" w:hAnsi="Arial"/>
                <w:sz w:val="16"/>
                <w:szCs w:val="16"/>
                <w:color w:val="auto"/>
              </w:rPr>
              <w:t>$42.01 - $49.80</w:t>
            </w: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28.4</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75"/>
              </w:rPr>
              <w:t>____________________</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0" w:hanging="412"/>
        <w:spacing w:after="0" w:line="263"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total intrinsic value, based on Autodesk’s closing stock price of $36.00 per share as of January 31, 2012, which would have been received by the option holders had all option holders exercised their options as of that date.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December 2021.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award and restricted stock unit activity for the fiscal year ended January 31, 2012 is as follows:</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Unreleased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7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average grant</w:t>
            </w:r>
          </w:p>
        </w:tc>
      </w:tr>
      <w:tr>
        <w:trPr>
          <w:trHeight w:val="192"/>
        </w:trPr>
        <w:tc>
          <w:tcPr>
            <w:tcW w:w="73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date fair value</w:t>
            </w:r>
          </w:p>
        </w:tc>
      </w:tr>
      <w:tr>
        <w:trPr>
          <w:trHeight w:val="250"/>
        </w:trPr>
        <w:tc>
          <w:tcPr>
            <w:tcW w:w="73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restricted stock at January 31, 2011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30.43</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37.07</w:t>
            </w:r>
          </w:p>
        </w:tc>
      </w:tr>
      <w:tr>
        <w:trPr>
          <w:trHeight w:val="27"/>
        </w:trPr>
        <w:tc>
          <w:tcPr>
            <w:tcW w:w="7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25.95</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4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32.37</w:t>
            </w:r>
          </w:p>
        </w:tc>
      </w:tr>
      <w:tr>
        <w:trPr>
          <w:trHeight w:val="27"/>
        </w:trPr>
        <w:tc>
          <w:tcPr>
            <w:tcW w:w="7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Unreleased restricted stock at January 31, 2012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36.65</w:t>
            </w:r>
          </w:p>
        </w:tc>
      </w:tr>
      <w:tr>
        <w:trPr>
          <w:trHeight w:val="20"/>
        </w:trPr>
        <w:tc>
          <w:tcPr>
            <w:tcW w:w="7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fiscal year ended January 31, 2012, Autodesk granted approximately 1,594.5 thousand restricted stock units.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$29.1 million and $8.9 million during fiscal years ended January 31, 2012 and 2011, respectively. As of January 31, 2012, total compensation cost not yet recognized of $47.7 million related to non-vested awards, is expected to be recognized over a weighted average period of 1.6 years. At January 31, 2012, the number of units granted but unreleased was 2,170.6 thousand.</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During the fiscal year ended January 31, 2012, Autodesk granted approximately 16,000 restricted stock awards. Restricted stock awards vest on the date of the next annual meeting. Restricted stock awards are considered outstanding at the time of grant, as the stock award holders are entitled to many of the rights of a stockholder, including voting rights. The fair value of the restricted stock awards is expensed ratably over the vesting period. Autodesk recorded stock-based compensation expense related to restricted stock awards of $0.6 million and $0.7 million during fiscal years ended January 31, 2012 and 2011, respectively. As of January 31, 2011, total compensation cost not yet recognized of $0.2 million related to non-vested awards, is expected to be recognized over a weighted average period of 0.4 years. At January 31, 2012, the number of awards granted but unreleased was 13,500.</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17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2012, a total of 29.7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3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Autodesk issued 2.8 million shares under the ESP Plan at an average price of $18.26 per share in fiscal 2012, 3.2 million shares at an average price of $14.77 per share in fiscal 2011, and 3.1 million shares at an average price of $14.41 per share in fiscal 2010. The weighted average grant date fair value of awards granted under the ESP Plan during fiscal 2012, 2011 and 2010, calculated as of the award grant date using the BSM option pricing model, was $9.95, $10.11 and $7.19 per share, respectively. Autodesk recorded $23.8 million, $18.2 million and $26.6 million of compensation expense associated with the ESP Plan in fiscal 2012, 2011 and 2010,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2012 (number of securities in millions).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274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(a)</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36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27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1"/>
              </w:rPr>
              <w:t>Number of securities</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36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23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74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3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under equity compensation</w:t>
            </w: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74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3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86"/>
        </w:trPr>
        <w:tc>
          <w:tcPr>
            <w:tcW w:w="1860" w:type="dxa"/>
            <w:vAlign w:val="bottom"/>
            <w:vMerge w:val="continue"/>
          </w:tcPr>
          <w:p>
            <w:pPr>
              <w:spacing w:after="0"/>
              <w:rPr>
                <w:sz w:val="16"/>
                <w:szCs w:val="16"/>
                <w:color w:val="auto"/>
              </w:rPr>
            </w:pPr>
          </w:p>
        </w:tc>
        <w:tc>
          <w:tcPr>
            <w:tcW w:w="2740" w:type="dxa"/>
            <w:vAlign w:val="bottom"/>
          </w:tcPr>
          <w:p>
            <w:pPr>
              <w:jc w:val="center"/>
              <w:ind w:left="488"/>
              <w:spacing w:after="0"/>
              <w:rPr>
                <w:sz w:val="20"/>
                <w:szCs w:val="20"/>
                <w:color w:val="auto"/>
              </w:rPr>
            </w:pPr>
            <w:r>
              <w:rPr>
                <w:rFonts w:ascii="Arial" w:cs="Arial" w:eastAsia="Arial" w:hAnsi="Arial"/>
                <w:sz w:val="14"/>
                <w:szCs w:val="14"/>
                <w:b w:val="1"/>
                <w:bCs w:val="1"/>
                <w:color w:val="auto"/>
                <w:w w:val="90"/>
              </w:rPr>
              <w:t>outstanding options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36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approved by security holders</w:t>
      </w:r>
    </w:p>
    <w:p>
      <w:pPr>
        <w:spacing w:after="0" w:line="100" w:lineRule="exact"/>
        <w:rPr>
          <w:sz w:val="20"/>
          <w:szCs w:val="20"/>
          <w:color w:val="auto"/>
        </w:rPr>
      </w:pPr>
    </w:p>
    <w:p>
      <w:pPr>
        <w:ind w:left="200" w:right="300" w:hanging="161"/>
        <w:spacing w:after="0" w:line="277" w:lineRule="auto"/>
        <w:rPr>
          <w:sz w:val="20"/>
          <w:szCs w:val="20"/>
          <w:color w:val="auto"/>
        </w:rPr>
      </w:pPr>
      <w:r>
        <w:rPr>
          <w:rFonts w:ascii="Arial" w:cs="Arial" w:eastAsia="Arial" w:hAnsi="Arial"/>
          <w:sz w:val="18"/>
          <w:szCs w:val="18"/>
          <w:color w:val="auto"/>
        </w:rPr>
        <w:t>Equity compensation plans not approved by security holders</w:t>
      </w:r>
      <w:r>
        <w:rPr>
          <w:rFonts w:ascii="Arial" w:cs="Arial" w:eastAsia="Arial" w:hAnsi="Arial"/>
          <w:sz w:val="12"/>
          <w:szCs w:val="12"/>
          <w:color w:val="auto"/>
        </w:rPr>
        <w:t>(2)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29.38</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r>
      <w:tr>
        <w:trPr>
          <w:trHeight w:val="486"/>
        </w:trPr>
        <w:tc>
          <w:tcPr>
            <w:tcW w:w="19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11.03</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27"/>
        </w:trPr>
        <w:tc>
          <w:tcPr>
            <w:tcW w:w="19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57"/>
        </w:trPr>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29.15</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22"/>
                <w:szCs w:val="22"/>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-205105</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120" w:space="120"/>
            <w:col w:w="7180"/>
          </w:cols>
          <w:pgMar w:left="240" w:top="125" w:right="239" w:bottom="1440" w:gutter="0" w:footer="0" w:header="0"/>
          <w:type w:val="continuous"/>
        </w:sect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Included in this amount are 29.7 million securities available for future issuance under Autodesk’s ESP Plan.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correspond to Autodesk’s Nonstatutory Stock Option Plan, which was terminated by the Board of Directors in December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4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fiscal year 2012, the Company reduced its current federal and state taxes payable by $31.3 million primarily related to excess tax benefits from non-qualified stock options, offsetting additional paid-in capital. Pursuant to accounting standards related to stock-based compensation, the Company has unrecorded excess stock option tax benefits of $150.1 million as of January 31, 2012. These amounts will be credited to additional paid-in-capital when such amounts reduce cash taxes payable. Foreign pretax income was $383.7 million in fiscal 2012, $321.1 million in fiscal 2011, and $253.9 million in fiscal 2010.</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 U.S. Federal statutory rate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 expense (benefit), net of the U.S. Federal benefit</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different from the U.S. statutory rate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valuation allowance</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tax credit benefit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Tax benefit from closure of income tax audits and decreases in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Officer compensation in excess of $1.0 million</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in-process research and development charge</w:t>
            </w:r>
          </w:p>
        </w:tc>
        <w:tc>
          <w:tcPr>
            <w:tcW w:w="9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Nonqualified stock options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 tax credit carryforwards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 carryforwards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 not currently deductible for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Purchased technology and capitalized software</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240.3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192.8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method change on advanced payments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Unremitted earnings of foreign subsidiaries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liability</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165.9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valuation allowance increased by $4.6 million, $3.9 million and $14.3 million in fiscal 2012, 2011 and 2010, respectively. The fiscal 2012, fiscal 2011, and fiscal 2010 changes in valuation allowance were related to California and Canadian deferred taxes. During the first quarter of fiscal 2010, the State of California enacted legislation significantly altering California tax law. As a result of the newly enacted legislation, Autodesk expects that in fiscal years 2012 and beyond, income subject to tax in California will be less than under prior tax law and accordingly, deferred tax assets are less likely to be realized.</w:t>
      </w:r>
    </w:p>
    <w:p>
      <w:pPr>
        <w:spacing w:after="0" w:line="10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No provision has been made for federal income taxes on unremitted earnings of certain Autodesk's foreign subsidiaries (cumulatively $1,290.1 million at January 31, 2012) because Autodesk plans to reinvest such earnings indefinitely. At January 31, 2012, the net unrecognized deferred tax liability for these earnings was approximately $390.9 million.</w:t>
      </w:r>
    </w:p>
    <w:p>
      <w:pPr>
        <w:spacing w:after="0" w:line="12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Realization of the Company's net deferred tax assets of $165.9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w:t>
      </w:r>
    </w:p>
    <w:p>
      <w:pPr>
        <w:spacing w:after="0" w:line="1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January 31, 2012, Autodesk had $34.2 million of cumulative federal tax loss carryforwards and $306.9 million of cumulative state tax loss carryforwards, which may be available to reduce future income tax liabilities in certain jurisdictions. These federal and state tax loss carryforwards will expire beginning fiscal 2013 through fiscal 2032 and fiscal 2013 through fiscal 2032, respectively.</w:t>
      </w:r>
    </w:p>
    <w:p>
      <w:pPr>
        <w:spacing w:after="0" w:line="127"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As of January 31, 2012, Autodesk had $77.8 million of cumulative federal research tax credit carryforwards, $34.3 million of cumulative California state research tax credit carryforwards and $50.1 million of cumulative Canadian federal tax credit carryforwards, which may be available to reduce future income tax liabilities in the respective jurisdictions. The federal credit carryforwards will expire beginning fiscal 2013 through fiscal 2032, the state credit carryforwards may reduce future California income tax liabilities indefinitely, and the Canadian tax credit carryforwards will expire beginning fiscal 2023 through fiscal 2032. Autodesk also has $60.0 million of cumulative foreign tax credit carryforwards, which may be available to reduce future U. S. tax liabilities. The foreign tax credit will expire beginning fiscal 2020 through fiscal 2022.</w:t>
      </w:r>
    </w:p>
    <w:p>
      <w:pPr>
        <w:spacing w:after="0" w:line="12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Utilization of net operating losses and tax credits may be subject to an annual limitation due to ownership change limitations provided in the Internal Revenue Code and similar state provisions. This annual limitation may result in the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expiration of net operating losses and credits before utilization.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Pacific countries is subject to reduced tax rates through fiscal 2016 and 2019, respectively. with extensions available with incremental business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employment actions. The income tax benefits attributable to the tax status of these business arrangements are estimated to be $10.4 million in fiscal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($0.046 basic net income per share) and zero in both fiscal 2011 and 2010. The income tax benefits were offset partially by accruals of U.S. income taxes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undistributed earnings, among other factors.</w:t>
      </w:r>
    </w:p>
    <w:p>
      <w:pPr>
        <w:spacing w:after="0" w:line="15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During fiscal 2012, Autodesk recognized income tax expense of $4.4 million related to California taxes, including an increase in the valuation allowance against California deferred taxes. Autodesk also recognized tax benefits of $4.0 million related to changes in estimates as a result of U.S. and foreign tax return filings.</w:t>
      </w:r>
    </w:p>
    <w:p>
      <w:pPr>
        <w:spacing w:after="0" w:line="30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fiscal 2011, Autodesk recognized income tax expense of approximately $2.1 million primarily related to a change in the expected future tax rates and the increase of a valuation allowance against California deferred taxes of $4.9 million partially offset by the closure of audits and other decreases in uncertain tax positions of $2.8 million.</w:t>
      </w:r>
    </w:p>
    <w:p>
      <w:pPr>
        <w:spacing w:after="0" w:line="12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During fiscal 2010, Autodesk recognized income tax expense of approximately $17.7 million primarily related to a change in the expected future tax rates and the establishment of a valuation allowance against California deferred taxes of $20.2 million partially offset by the closure of audits and other decreases in uncertain tax positions with respect to fiscal 2003 of $2.5 million.</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January 31, 2012, the Company had $201.1 million of gross unrecognized tax benefits, of which $187.8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for tax positions of prior years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for tax positions related to the current year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lapse of statute of limitations/audit settlements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Gross unrecognized tax benefits at the end of the fiscal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201.1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188.4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$2.4 million, $1.9 million and $2.2 million, net of tax benefit, accrued for interest and zero accrued for penalties related to unrecognized tax benefits as of January 31, 2012, 2011 and 2010, respectively.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2012 remain open to examination. In addition, the Company files tax returns in multiple foreign taxing jurisdictions with open tax years ranging from fiscal year 2003 to 2012.</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fiscal year ended January 31, 2012, Autodesk completed the business combinations and technology purchases described below. The results of operations for the following acquisitions are included in the accompanying Consolidated Statement of Operations since their respective acquisition date. Pro forma results of operations have not been presented because the effects of the following acquisitions, individually and in the aggregate, were not material to Autodesk's Consolidated Financial Statements.</w:t>
      </w:r>
    </w:p>
    <w:p>
      <w:pPr>
        <w:spacing w:after="0" w:line="13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March 1, 2011, Autodesk acquired Scaleform Corporation (“Scaleform”) for total cash consideration of $36.2 million.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Scaleform was a privately held middleware and user interface tools company, whose technology has been licensed in the development of games across all major hardware platforms. Scaleform has been integrated into, and the related goodwill was assigned to Autodesk's Media and Entertainment segment.</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March 10, 2011, Autodesk acquired Blue Ridge Numerics, Inc. (“Blue Ridge”) for total cash consideration of $41.2 million. Blue Ridge was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privately held company that designed and sold software that enables mechanical engineers to study fluid flow and thermal performance in virtual prototyping.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Blue Ridge has been integrated into, and the related goodwill was assigned to Autodesk's Manufacturing segment.</w:t>
      </w:r>
    </w:p>
    <w:p>
      <w:pPr>
        <w:spacing w:after="0" w:line="157"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On August 1, 2011, Autodesk acquired Instructables, Inc. (“Instructables”) for total cash consideration of $30.2 million. Instructables was a privately held web-based company specializing in user-created and uploaded instructions for do-it-yourself projects, on which other users can comment and rate for quality. Instructables has been integrated into, and the related goodwill was assigned to Autodesk's Platform Solutions and Emerging Business segment.</w:t>
      </w:r>
    </w:p>
    <w:p>
      <w:pPr>
        <w:spacing w:after="0" w:line="9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August 24, 2011, Autodesk entered into a purchase agreement with Turbo Squid, Inc. (“Turbo Squid”) to acquire certain technology related assets for $26.0 million and entered into related cross-licensing and a commercial arrangement which is less than $0.2 million in expense per year. Additionally, Autodesk purchased the option to acquire Turbo Squid within a prescribed date range.</w:t>
      </w:r>
    </w:p>
    <w:p>
      <w:pPr>
        <w:spacing w:after="0" w:line="12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On October 14, 2011, Autodesk acquired Micro Application Packages Limited (“MAP”) for total cash consideration of $23.0 million. MAP was a privately held company specializing in software and services in the building information modeling (“BIM”) life cycle with the focus on fabrication. MAP has been integrated into, and the related goodwill was assigned to Autodesk's Architecture, Engineering and Construction segment.</w:t>
      </w:r>
    </w:p>
    <w:p>
      <w:pPr>
        <w:spacing w:after="0" w:line="111" w:lineRule="exact"/>
        <w:rPr>
          <w:sz w:val="20"/>
          <w:szCs w:val="20"/>
          <w:color w:val="auto"/>
        </w:rPr>
      </w:pPr>
    </w:p>
    <w:p>
      <w:pPr>
        <w:ind w:right="420" w:firstLine="432"/>
        <w:spacing w:after="0" w:line="286" w:lineRule="auto"/>
        <w:rPr>
          <w:sz w:val="20"/>
          <w:szCs w:val="20"/>
          <w:color w:val="auto"/>
        </w:rPr>
      </w:pPr>
      <w:r>
        <w:rPr>
          <w:rFonts w:ascii="Arial" w:cs="Arial" w:eastAsia="Arial" w:hAnsi="Arial"/>
          <w:sz w:val="17"/>
          <w:szCs w:val="17"/>
          <w:color w:val="auto"/>
        </w:rPr>
        <w:t>On December 21, 2011, Autodesk acquired certain technology-related assets of T-Splines, Inc. ("T-Splines") for total cash consideration of $23.0 million. T-Splines is a privately-held company, that develops surface modeling software for industrial designers and CAD professionals. The assets of T-Splines have been integrated into, and the related goodwill was assigned to Autodesk's Manufacturing segment.</w:t>
      </w:r>
    </w:p>
    <w:p>
      <w:pPr>
        <w:spacing w:after="0" w:line="11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During the fiscal year ended January 31, 2012, Autodesk also completed 17 other business combination and technology acquisitions for a total cash consideration of approximately $54.8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jc w:val="both"/>
        <w:ind w:right="340" w:firstLine="324"/>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2012:</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Turbo</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43"/>
        </w:trPr>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Scaleform</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Blue Ridge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Instructables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MAP</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Squid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T-Splines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8"/>
              </w:rPr>
              <w:t>Other</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User List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Patent</w:t>
            </w: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In-process 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28.3</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Deferred tax asset (liability)</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tangible assets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44"/>
        </w:trPr>
        <w:tc>
          <w:tcPr>
            <w:tcW w:w="250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30.2</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For Instructables and MAP the allocation of purchase price consideration to the assets and liabilities is not yet finalized. The allocation of the purchase price consideration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fiscal year ended January 31, 2011, the Company acquired two entities, neither of which were individually material, for total consideration of $13.5 million.</w:t>
      </w:r>
    </w:p>
    <w:p>
      <w:pPr>
        <w:spacing w:after="0" w:line="3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Deferred Compensation</w:t>
      </w:r>
    </w:p>
    <w:p>
      <w:pPr>
        <w:spacing w:after="0" w:line="17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At January 31, 2012, Autodesk had marketable securities totaling $447.2 million, of which $31.5 million related to investments in debt and equity securities that are held in a rabbi trust under non-qualified deferred compensation plans. The total related deferred compensation liability was $31.5 million at January 31, 2012, of which $3.2 million was classified as current and $28.3 million was classified as non-current liabilities. The value of debt and equity securities held in the rabbi trust at January 31, 2011 was $31.3 million. The total related deferred compensation liability at January 31, 2011 was $31.3 million, of which $3.4 million was classified as current and $27.9 million was classified as non-current liabilities. The current and non-current portions of the liability are recorded in the Consolidated Balance Sheets under “Accrued compensation” and “Other liabilities,” respectively.</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Borrowing Arrangements</w:t>
      </w:r>
    </w:p>
    <w:p>
      <w:pPr>
        <w:spacing w:after="0" w:line="17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the fiscal year ended January 31, 2012, Autodesk entered into a credit agreement that provides for a $400.0 million unsecured revolving credit facility, with an option to request an increase in the amount of the credit facility by up to an additional $100.0 million. In connection with the execution of this new credit agreement, Autodesk terminated a $250.0 million U.S. line of credit facility on May 26, 2011 that would have expired in August 2012. The new credit agreement contains customary covenants that could restrict the imposition of liens on Autodesk's assets, and restrict the Company's ability to incur additional indebtedness or make dispositions of assets if Autodesk fails to maintain the financial covenants. At January 31, 2012 and January 31, 2011, Autodesk had no outstanding borrowings on either its prior or current line of credit. The new facility expires in May 2016.</w:t>
      </w:r>
    </w:p>
    <w:p>
      <w:pPr>
        <w:spacing w:after="0" w:line="17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90"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5"/>
          <w:szCs w:val="15"/>
          <w:color w:val="auto"/>
        </w:rPr>
        <w:t>Autodesk leases office space and computer equipment under non-cancellable operating lease agreements that expire at various dates through 2023. The leases generally provide that Autodesk pay taxes, insurance and maintenance expenses related to the leased assets. Certain of these lease arrangements contain escalation clauses whereby monthly rent increases over time. At January 31, 2012, the aggregate future minimum lease payments required were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180" w:type="dxa"/>
            <w:vAlign w:val="bottom"/>
            <w:tcBorders>
              <w:right w:val="single" w:sz="8" w:color="CCEEFF"/>
            </w:tcBorders>
          </w:tcPr>
          <w:p>
            <w:pPr>
              <w:spacing w:after="0"/>
              <w:rPr>
                <w:sz w:val="23"/>
                <w:szCs w:val="23"/>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2014</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Borders>
              <w:right w:val="single" w:sz="8" w:color="CCEEFF"/>
            </w:tcBorders>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Sublease income</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Borders>
              <w:right w:val="single" w:sz="8" w:color="CCEEFF"/>
            </w:tcBorders>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CCEEFF"/>
            </w:tcBorders>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960" w:type="dxa"/>
            <w:vAlign w:val="bottom"/>
            <w:gridSpan w:val="8"/>
            <w:vMerge w:val="restart"/>
          </w:tcPr>
          <w:p>
            <w:pPr>
              <w:spacing w:after="0"/>
              <w:rPr>
                <w:sz w:val="20"/>
                <w:szCs w:val="20"/>
                <w:color w:val="auto"/>
              </w:rPr>
            </w:pPr>
            <w:r>
              <w:rPr>
                <w:rFonts w:ascii="Arial" w:cs="Arial" w:eastAsia="Arial" w:hAnsi="Arial"/>
                <w:sz w:val="18"/>
                <w:szCs w:val="18"/>
                <w:color w:val="auto"/>
                <w:w w:val="92"/>
              </w:rPr>
              <w:t>Rent expense related to these operating leases recognized on a straight-line basis over the lease period, was as follows: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960" w:type="dxa"/>
            <w:vAlign w:val="bottom"/>
            <w:gridSpan w:val="8"/>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commitments</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2012 were approximately $53.5 million for periods through fiscal 2015. These purchase commitments primarily result from contracts for the acquisition of IT infrastructure, marketing and software</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development services.</w:t>
      </w:r>
    </w:p>
    <w:p>
      <w:pPr>
        <w:spacing w:after="0" w:line="17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$16.5 million in fiscal 2012, $12.8 million in fiscal 2011 and $16.5 million in fiscal 2010.</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Indemnifications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3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3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2012,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Repurchase Programs</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 has a stock repurchase program that is used largely to help offset the dilution from the issuance of stock under the Company’s employee stock plans and for such other purposes as may be in the interests of Autodesk and its stockholders, and has the effect of returning excess cash generated from the Company's business to stockholders. During fiscal 2012, Autodesk repurchased and retired 9.7 million shares at an average repurchase price of $33.71 per share, 9.0 million shares in fiscal 2011 at an average repurchase price of $31.13 per share and 2.7 million shares in fiscal 2010 at an average repurchase price of $23.63. Common stock and additional paid-in capital and retained earnings were reduced by $211.0 million and $116.4 million, respectively for the year ended January 31, 2012 and $138.3 million and $142.0 million, respectively, for the year ended January 31, 2011, as a result of the stock repurchases.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January 31, 2012, 14.7 million shares remained available for repurchase under repurchase plans approved by the</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Board of Directors. In fiscal 2012, 2011 and 2010,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and Other Income, net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income, net, consists of the following:</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2010</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net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(loss) on foreign currency</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(loss), net of taxes, was comprised of the following at January 31:</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2010</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derivative instruments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unrealized gain on available-for-sale securities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portion of pension plans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Income Per Share</w:t>
      </w:r>
    </w:p>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285.3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w w:val="91"/>
              </w:rPr>
              <w:t>Denominator for basic net income per share—weighted average shares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Denominator for dilutive net income per share</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income per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net income per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2012, 2011 and 2010, 12.9 million, 19.3 million and 21.3 million potentially anti-dilutive shares, respectively, were excluded from the computation of net income per share.</w:t>
      </w:r>
    </w:p>
    <w:p>
      <w:pPr>
        <w:sectPr>
          <w:pgSz w:w="11900" w:h="16838" w:orient="portrait"/>
          <w:cols w:equalWidth="0" w:num="1">
            <w:col w:w="11400"/>
          </w:cols>
          <w:pgMar w:left="240" w:top="125" w:right="259" w:bottom="1440"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00"/>
          </w:cols>
          <w:pgMar w:left="240" w:top="125" w:right="25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Segments</w:t>
      </w:r>
    </w:p>
    <w:p>
      <w:pPr>
        <w:spacing w:after="0" w:line="17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Location Services, which Autodesk disposed of in February 2009, is not included in any of the above reportable segments, and is reflected as Other. Autodesk has no material inter-segment revenue.</w:t>
      </w:r>
    </w:p>
    <w:p>
      <w:pPr>
        <w:spacing w:after="0" w:line="134"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33" w:lineRule="exact"/>
        <w:rPr>
          <w:sz w:val="20"/>
          <w:szCs w:val="20"/>
          <w:color w:val="auto"/>
        </w:rPr>
      </w:pPr>
    </w:p>
    <w:p>
      <w:pPr>
        <w:ind w:right="560" w:firstLine="432"/>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55"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36"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3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34"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16"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2"/>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Platform Solutions and Emerging Business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833.1</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Architecture, Engineering and Construction</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Manufacturing</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Media and Entertainment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Other(1)</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Platform Solutions and Emerging Business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Architecture, Engineering and Construction</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Manufacturing</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Media and Entertainment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Unallocated(2)</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Platform Solutions and Emerging Business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Architecture, Engineering and Construction</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Manufacturing</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Media and Entertainment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Unallocated</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primarily consisted of revenue from Autodesk’s Location Services division, which Autodesk disposed of in February 2009.</w:t>
      </w:r>
    </w:p>
    <w:p>
      <w:pPr>
        <w:spacing w:after="0" w:line="9" w:lineRule="exact"/>
        <w:rPr>
          <w:rFonts w:ascii="Arial" w:cs="Arial" w:eastAsia="Arial" w:hAnsi="Arial"/>
          <w:sz w:val="16"/>
          <w:szCs w:val="16"/>
          <w:color w:val="auto"/>
        </w:rPr>
      </w:pPr>
    </w:p>
    <w:p>
      <w:pPr>
        <w:ind w:left="420" w:right="500" w:hanging="412"/>
        <w:spacing w:after="0" w:line="257"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2"/>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Americas</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Other Americas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Americas</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Europe, Middle East and Africa</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Japan</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Asia Pacific</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Asia Pacific</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Americas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Americas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Americas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23"/>
        </w:trPr>
        <w:tc>
          <w:tcPr>
            <w:tcW w:w="8340" w:type="dxa"/>
            <w:vAlign w:val="bottom"/>
          </w:tcPr>
          <w:p>
            <w:pPr>
              <w:ind w:left="380"/>
              <w:spacing w:after="0"/>
              <w:rPr>
                <w:sz w:val="20"/>
                <w:szCs w:val="20"/>
                <w:color w:val="auto"/>
              </w:rPr>
            </w:pPr>
            <w:r>
              <w:rPr>
                <w:rFonts w:ascii="Arial" w:cs="Arial" w:eastAsia="Arial" w:hAnsi="Arial"/>
                <w:sz w:val="18"/>
                <w:szCs w:val="18"/>
                <w:color w:val="auto"/>
              </w:rPr>
              <w:t>Europe, Middle East and Africa</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Switzerland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Europe, Middle East and Africa</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Europe, Middle East and Africa</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Asia Pacific</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Long-lived assets exclude investments in subsidiaries, deferred tax assets and marketable securities.</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Retirement Benefit Plans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Pretax Savings Plan</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$7.3 million in fiscal 2012, $6.7 million in fiscal 2011 and $7.1 million in fiscal 2010. Autodesk does not allow participants to invest in Autodesk common stock through the 401(k) plan.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Autodesk provides certain defined benefit pension plans to employees primarily located in countries outside of the U.S. The Company deposits funds for specific plans, consistent with the requirements of local law, with insurance companies or third-party trustees, and accrues for the unfunded portion of the obligation, where material. The assumptions used in calculating the obligation for these plans depend on the local economic environment. The net liability related to the funded status of the plans was approximately $18.0 million and $18.2 million as of January 31, 2012 and 2011, respectively. The projected benefit obligation was $52.8 million and $47.3 million as of January 31, 2012 and 2011, respectively. The related fair value of plan assets was $34.8 million and $29.1 million as of January 31, 2012 and 2011, respectively. Our practice is to fund the pension plans in amounts at least sufficient to meet the minimum requirements of local laws and regulations. The assets of the plans are primarily invested in high quality fixed income investments. Our contributions were approximately $4.2 million, $3.5 million and $3.4 million in fiscal 2012, 2011 and 2010, respectively. As of January 31, 2012, our estimated future benefit payments are an aggregate $10.2 million for fiscal 2013 through fiscal 2017 and an aggregate of $7.9 million for fiscal 2018 through fiscal 2022. Autodesk recorded $8.2 million and $9.8 million of unrealized changes in the unfunded portion of Autodesk’s defined benefit plans in fiscal 2012 and fiscal 2011, respectively.</w:t>
      </w:r>
    </w:p>
    <w:p>
      <w:pPr>
        <w:spacing w:after="0" w:line="12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$20.4 million in fiscal 2012, $13.6 million in fiscal 2011 and $13.4 million in fiscal 2010.</w:t>
      </w:r>
    </w:p>
    <w:p>
      <w:pPr>
        <w:spacing w:after="0" w:line="12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Restructuring Reserves</w:t>
      </w:r>
    </w:p>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fiscal 2011, 2010 and 2009 Autodesk initiated restructuring plans (“Fiscal 2011 Plan,” “Fiscal 2010 Plan” and “Fiscal 2009 Plan,” respectively) in order to further reduce operating costs. These restructuring plans resulted in targeted global staff reductions of approximately 200, 430, and 700 positions in fiscal 2011, 2010 and 2009, respectively. No leased facilities were consolidated as part of the Fiscal 2011 Plan. The Fiscal 2010 Plan and Fiscal 2009 Plan resulted in the consolidation of 32 and 27 leased facilities, respectively. In connection with our restructuring plans, we recorded a favorable adjustment for changes in previous estimates during fiscal 2012.</w:t>
      </w:r>
    </w:p>
    <w:p>
      <w:pPr>
        <w:sectPr>
          <w:pgSz w:w="11900" w:h="16838" w:orient="portrait"/>
          <w:cols w:equalWidth="0" w:num="1">
            <w:col w:w="11420"/>
          </w:cols>
          <w:pgMar w:left="240" w:top="125" w:right="239" w:bottom="1440" w:gutter="0" w:footer="0" w:header="0"/>
        </w:sectPr>
      </w:pPr>
    </w:p>
    <w:p>
      <w:pPr>
        <w:spacing w:after="0" w:line="288"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77</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2012 and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2011 Plan</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Employee termination costs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2010 Plan</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Employee termination costs</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and asset costs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2009 Plan</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Lease termination and asset costs</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Employee termination costs</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portion(2)</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Non-current portion(2)</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Balances,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Adjustments(1)</w:t>
            </w:r>
          </w:p>
        </w:tc>
        <w:tc>
          <w:tcPr>
            <w:tcW w:w="200" w:type="dxa"/>
            <w:vAlign w:val="bottom"/>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Balances,</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January 31, 2010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January 31, 2011</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Fiscal 2011 Plan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Employee termination costs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Fiscal 2010 Plan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Employee termination costs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termination and asset costs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Fiscal 2009 Plan</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termination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Lease termination and asset costs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Employee termination costs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termination costs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9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67"/>
        </w:trPr>
        <w:tc>
          <w:tcPr>
            <w:tcW w:w="29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portion(2)</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Non-current portion(2)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2012 and 2011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1st quarter</w:t>
            </w: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 quarter</w:t>
            </w: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 quarter</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4th quarter</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 year</w:t>
            </w:r>
          </w:p>
        </w:tc>
      </w:tr>
      <w:tr>
        <w:trPr>
          <w:trHeight w:val="48"/>
        </w:trPr>
        <w:tc>
          <w:tcPr>
            <w:tcW w:w="40" w:type="dxa"/>
            <w:vAlign w:val="bottom"/>
            <w:tcBorders>
              <w:bottom w:val="single" w:sz="8" w:color="CCEEFF"/>
            </w:tcBorders>
          </w:tcPr>
          <w:p>
            <w:pPr>
              <w:spacing w:after="0"/>
              <w:rPr>
                <w:sz w:val="4"/>
                <w:szCs w:val="4"/>
                <w:color w:val="auto"/>
              </w:rPr>
            </w:pPr>
          </w:p>
        </w:tc>
        <w:tc>
          <w:tcPr>
            <w:tcW w:w="320" w:type="dxa"/>
            <w:vAlign w:val="bottom"/>
            <w:tcBorders>
              <w:top w:val="single" w:sz="8" w:color="auto"/>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2,215.6</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1,986.5</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Basic net income per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Arial" w:cs="Arial" w:eastAsia="Arial" w:hAnsi="Arial"/>
                <w:sz w:val="16"/>
                <w:szCs w:val="16"/>
                <w:b w:val="1"/>
                <w:bCs w:val="1"/>
                <w:color w:val="auto"/>
              </w:rPr>
              <w:t>items: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Amortization of acquisition related intangibles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Restructuring benefits</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2011</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1st quarter</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2nd quarter</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3rd quarter</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4th quarter</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Fiscal year</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auto"/>
            </w:tcBorders>
            <w:shd w:val="clear" w:color="auto" w:fill="CCEEFF"/>
          </w:tcPr>
          <w:p>
            <w:pPr>
              <w:spacing w:after="0"/>
              <w:rPr>
                <w:sz w:val="4"/>
                <w:szCs w:val="4"/>
                <w:color w:val="auto"/>
              </w:rPr>
            </w:pPr>
          </w:p>
        </w:tc>
        <w:tc>
          <w:tcPr>
            <w:tcW w:w="1140" w:type="dxa"/>
            <w:vAlign w:val="bottom"/>
            <w:tcBorders>
              <w:top w:val="single" w:sz="8" w:color="CCEEFF"/>
              <w:bottom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auto"/>
            </w:tcBorders>
            <w:shd w:val="clear" w:color="auto" w:fill="CCEEFF"/>
          </w:tcPr>
          <w:p>
            <w:pPr>
              <w:spacing w:after="0"/>
              <w:rPr>
                <w:sz w:val="4"/>
                <w:szCs w:val="4"/>
                <w:color w:val="auto"/>
              </w:rPr>
            </w:pPr>
          </w:p>
        </w:tc>
        <w:tc>
          <w:tcPr>
            <w:tcW w:w="1160" w:type="dxa"/>
            <w:vAlign w:val="bottom"/>
            <w:tcBorders>
              <w:top w:val="single" w:sz="8" w:color="CCEEFF"/>
              <w:bottom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auto"/>
            </w:tcBorders>
            <w:shd w:val="clear" w:color="auto" w:fill="CCEEFF"/>
          </w:tcPr>
          <w:p>
            <w:pPr>
              <w:spacing w:after="0"/>
              <w:rPr>
                <w:sz w:val="4"/>
                <w:szCs w:val="4"/>
                <w:color w:val="auto"/>
              </w:rPr>
            </w:pPr>
          </w:p>
        </w:tc>
        <w:tc>
          <w:tcPr>
            <w:tcW w:w="1160" w:type="dxa"/>
            <w:vAlign w:val="bottom"/>
            <w:tcBorders>
              <w:top w:val="single" w:sz="8" w:color="CCEEFF"/>
              <w:bottom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auto"/>
            </w:tcBorders>
            <w:shd w:val="clear" w:color="auto" w:fill="CCEEFF"/>
          </w:tcPr>
          <w:p>
            <w:pPr>
              <w:spacing w:after="0"/>
              <w:rPr>
                <w:sz w:val="4"/>
                <w:szCs w:val="4"/>
                <w:color w:val="auto"/>
              </w:rPr>
            </w:pPr>
          </w:p>
        </w:tc>
        <w:tc>
          <w:tcPr>
            <w:tcW w:w="1140" w:type="dxa"/>
            <w:vAlign w:val="bottom"/>
            <w:tcBorders>
              <w:top w:val="single" w:sz="8" w:color="CCEEFF"/>
              <w:bottom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auto"/>
            </w:tcBorders>
            <w:shd w:val="clear" w:color="auto" w:fill="CCEEFF"/>
          </w:tcPr>
          <w:p>
            <w:pPr>
              <w:spacing w:after="0"/>
              <w:rPr>
                <w:sz w:val="4"/>
                <w:szCs w:val="4"/>
                <w:color w:val="auto"/>
              </w:rPr>
            </w:pPr>
          </w:p>
        </w:tc>
        <w:tc>
          <w:tcPr>
            <w:tcW w:w="1100" w:type="dxa"/>
            <w:vAlign w:val="bottom"/>
            <w:tcBorders>
              <w:top w:val="single" w:sz="8" w:color="CCEEFF"/>
              <w:bottom w:val="single" w:sz="8" w:color="auto"/>
            </w:tcBorders>
            <w:shd w:val="clear" w:color="auto" w:fill="CCEEFF"/>
          </w:tcPr>
          <w:p>
            <w:pPr>
              <w:spacing w:after="0"/>
              <w:rPr>
                <w:sz w:val="4"/>
                <w:szCs w:val="4"/>
                <w:color w:val="auto"/>
              </w:rPr>
            </w:pPr>
          </w:p>
        </w:tc>
      </w:tr>
      <w:tr>
        <w:trPr>
          <w:trHeight w:val="21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474.6</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472.8</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527.7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1,951.8</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1,755.2</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271.4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212.0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Basic net income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0.93</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Diluted net income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items: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acquisition 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r>
      <w:tr>
        <w:trPr>
          <w:trHeight w:val="237"/>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10.8</w:t>
            </w:r>
          </w:p>
        </w:tc>
      </w:tr>
      <w:tr>
        <w:trPr>
          <w:trHeight w:val="440"/>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0" w:firstLine="1636"/>
        <w:spacing w:after="0" w:line="440" w:lineRule="auto"/>
        <w:rPr>
          <w:sz w:val="20"/>
          <w:szCs w:val="20"/>
          <w:color w:val="auto"/>
        </w:rPr>
      </w:pPr>
      <w:r>
        <w:rPr>
          <w:rFonts w:ascii="Arial" w:cs="Arial" w:eastAsia="Arial" w:hAnsi="Arial"/>
          <w:sz w:val="18"/>
          <w:szCs w:val="18"/>
          <w:b w:val="1"/>
          <w:bCs w:val="1"/>
          <w:color w:val="auto"/>
        </w:rPr>
        <w:t xml:space="preserve">REPORT OF ERNST &amp; YOUNG LLP, INDEPENDENT REGISTERED PUBLIC ACCOUNTING FIRM </w:t>
      </w:r>
      <w:r>
        <w:rPr>
          <w:rFonts w:ascii="Arial" w:cs="Arial" w:eastAsia="Arial" w:hAnsi="Arial"/>
          <w:sz w:val="18"/>
          <w:szCs w:val="18"/>
          <w:color w:val="auto"/>
        </w:rPr>
        <w:t>The Board of Directors and Stockholders of Autodesk, Inc.</w:t>
      </w:r>
    </w:p>
    <w:p>
      <w:pPr>
        <w:spacing w:after="0" w:line="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2012 and 2011, and the related consolidated statements of operations, cash flows and stockholders’ equity for each of the three years in the period ended January 31, 2012.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2012 and 2011, and the consolidated results of its operations and its cash flows for each of the three years in the period ended January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7"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15, 2012 expressed an unqualified opinion thereon.</w:t>
      </w:r>
    </w:p>
    <w:p>
      <w:pPr>
        <w:spacing w:after="0" w:line="9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40" w:firstLine="1636"/>
        <w:spacing w:after="0" w:line="440" w:lineRule="auto"/>
        <w:rPr>
          <w:sz w:val="20"/>
          <w:szCs w:val="20"/>
          <w:color w:val="auto"/>
        </w:rPr>
      </w:pPr>
      <w:r>
        <w:rPr>
          <w:rFonts w:ascii="Arial" w:cs="Arial" w:eastAsia="Arial" w:hAnsi="Arial"/>
          <w:sz w:val="18"/>
          <w:szCs w:val="18"/>
          <w:b w:val="1"/>
          <w:bCs w:val="1"/>
          <w:color w:val="auto"/>
        </w:rPr>
        <w:t xml:space="preserve">REPORT OF ERNST &amp; YOUNG LLP, INDEPENDENT REGISTERED PUBLIC ACCOUNTING FIRM </w:t>
      </w:r>
      <w:r>
        <w:rPr>
          <w:rFonts w:ascii="Arial" w:cs="Arial" w:eastAsia="Arial" w:hAnsi="Arial"/>
          <w:sz w:val="18"/>
          <w:szCs w:val="18"/>
          <w:color w:val="auto"/>
        </w:rPr>
        <w:t>The Board of Directors and Stockholders of Autodesk, Inc.</w:t>
      </w:r>
    </w:p>
    <w:p>
      <w:pPr>
        <w:spacing w:after="0" w:line="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We have audited Autodesk, Inc.’s internal control over financial reporting as of January 31, 2012,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Autodesk,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2012, based on the COSO criteria.</w:t>
      </w:r>
    </w:p>
    <w:p>
      <w:pPr>
        <w:spacing w:after="0" w:line="116"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Autodesk, Inc. as of January 31, 2012 and 2011, and the related consolidated statements of operations, cash flows, and stockholders’ equity for each of the three years in the period ended January 31, 2012 of Autodesk, Inc. and our report dated March 15, 2012 expressed an unqualified opinion thereon.</w:t>
      </w:r>
    </w:p>
    <w:p>
      <w:pPr>
        <w:spacing w:after="0" w:line="9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Annual Report on Form 10-K.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2012 that have materially affected, or are reasonably likely to materially affect, our internal controls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2012. In making this assessment, our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has concluded that, as of January 31, 2012, our internal control over financial reporting is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2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Report because the Registrant will file a definitive proxy statement pursuant to Regulation 14A for Registrant’s Annual Meeting of Stockholders, not later than 120 days after the end of the fiscal year covered by this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a result of the recent internal realignment and changes in responsibilities, our Board has re-evaluated our executive officers. The following sets forth certain information as of March 15, 2012 regarding our executive officers.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4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64"/>
        </w:trPr>
        <w:tc>
          <w:tcPr>
            <w:tcW w:w="3800" w:type="dxa"/>
            <w:vAlign w:val="bottom"/>
            <w:gridSpan w:val="2"/>
          </w:tcPr>
          <w:p>
            <w:pPr>
              <w:spacing w:after="0"/>
              <w:rPr>
                <w:sz w:val="20"/>
                <w:szCs w:val="20"/>
                <w:color w:val="auto"/>
              </w:rPr>
            </w:pPr>
            <w:r>
              <w:rPr>
                <w:rFonts w:ascii="Arial" w:cs="Arial" w:eastAsia="Arial" w:hAnsi="Arial"/>
                <w:sz w:val="18"/>
                <w:szCs w:val="18"/>
                <w:color w:val="auto"/>
              </w:rPr>
              <w:t>Carl Bass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54</w:t>
            </w:r>
          </w:p>
        </w:tc>
        <w:tc>
          <w:tcPr>
            <w:tcW w:w="380" w:type="dxa"/>
            <w:vAlign w:val="bottom"/>
          </w:tcPr>
          <w:p>
            <w:pPr>
              <w:spacing w:after="0"/>
              <w:rPr>
                <w:sz w:val="22"/>
                <w:szCs w:val="22"/>
                <w:color w:val="auto"/>
              </w:rPr>
            </w:pPr>
          </w:p>
        </w:tc>
        <w:tc>
          <w:tcPr>
            <w:tcW w:w="5260" w:type="dxa"/>
            <w:vAlign w:val="bottom"/>
            <w:gridSpan w:val="3"/>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Mark J. Hawkins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52</w:t>
            </w:r>
          </w:p>
        </w:tc>
        <w:tc>
          <w:tcPr>
            <w:tcW w:w="380" w:type="dxa"/>
            <w:vAlign w:val="bottom"/>
          </w:tcPr>
          <w:p>
            <w:pPr>
              <w:spacing w:after="0"/>
              <w:rPr>
                <w:sz w:val="23"/>
                <w:szCs w:val="23"/>
                <w:color w:val="auto"/>
              </w:rPr>
            </w:pPr>
          </w:p>
        </w:tc>
        <w:tc>
          <w:tcPr>
            <w:tcW w:w="5260" w:type="dxa"/>
            <w:vAlign w:val="bottom"/>
            <w:gridSpan w:val="3"/>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Jan Becker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59</w:t>
            </w:r>
          </w:p>
        </w:tc>
        <w:tc>
          <w:tcPr>
            <w:tcW w:w="380" w:type="dxa"/>
            <w:vAlign w:val="bottom"/>
          </w:tcPr>
          <w:p>
            <w:pPr>
              <w:spacing w:after="0"/>
              <w:rPr>
                <w:sz w:val="23"/>
                <w:szCs w:val="23"/>
                <w:color w:val="auto"/>
              </w:rPr>
            </w:pPr>
          </w:p>
        </w:tc>
        <w:tc>
          <w:tcPr>
            <w:tcW w:w="5260" w:type="dxa"/>
            <w:vAlign w:val="bottom"/>
            <w:gridSpan w:val="3"/>
          </w:tcPr>
          <w:p>
            <w:pPr>
              <w:ind w:left="360"/>
              <w:spacing w:after="0"/>
              <w:rPr>
                <w:sz w:val="20"/>
                <w:szCs w:val="20"/>
                <w:color w:val="auto"/>
              </w:rPr>
            </w:pPr>
            <w:r>
              <w:rPr>
                <w:rFonts w:ascii="Arial" w:cs="Arial" w:eastAsia="Arial" w:hAnsi="Arial"/>
                <w:sz w:val="18"/>
                <w:szCs w:val="18"/>
                <w:color w:val="auto"/>
                <w:w w:val="88"/>
              </w:rPr>
              <w:t>Senior Vice President, Human Resources and Corporate Real Estate</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Steven Blum</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47</w:t>
            </w:r>
          </w:p>
        </w:tc>
        <w:tc>
          <w:tcPr>
            <w:tcW w:w="380" w:type="dxa"/>
            <w:vAlign w:val="bottom"/>
          </w:tcPr>
          <w:p>
            <w:pPr>
              <w:spacing w:after="0"/>
              <w:rPr>
                <w:sz w:val="23"/>
                <w:szCs w:val="23"/>
                <w:color w:val="auto"/>
              </w:rPr>
            </w:pPr>
          </w:p>
        </w:tc>
        <w:tc>
          <w:tcPr>
            <w:tcW w:w="5260" w:type="dxa"/>
            <w:vAlign w:val="bottom"/>
            <w:gridSpan w:val="3"/>
          </w:tcPr>
          <w:p>
            <w:pPr>
              <w:ind w:left="360"/>
              <w:spacing w:after="0"/>
              <w:rPr>
                <w:sz w:val="20"/>
                <w:szCs w:val="20"/>
                <w:color w:val="auto"/>
              </w:rPr>
            </w:pPr>
            <w:r>
              <w:rPr>
                <w:rFonts w:ascii="Arial" w:cs="Arial" w:eastAsia="Arial" w:hAnsi="Arial"/>
                <w:sz w:val="18"/>
                <w:szCs w:val="18"/>
                <w:color w:val="auto"/>
              </w:rPr>
              <w:t>Senior Vice President, Worldwide Sales and Services</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47</w:t>
            </w:r>
          </w:p>
        </w:tc>
        <w:tc>
          <w:tcPr>
            <w:tcW w:w="380" w:type="dxa"/>
            <w:vAlign w:val="bottom"/>
          </w:tcPr>
          <w:p>
            <w:pPr>
              <w:spacing w:after="0"/>
              <w:rPr>
                <w:sz w:val="23"/>
                <w:szCs w:val="23"/>
                <w:color w:val="auto"/>
              </w:rPr>
            </w:pPr>
          </w:p>
        </w:tc>
        <w:tc>
          <w:tcPr>
            <w:tcW w:w="5260" w:type="dxa"/>
            <w:vAlign w:val="bottom"/>
            <w:gridSpan w:val="3"/>
          </w:tcPr>
          <w:p>
            <w:pPr>
              <w:ind w:left="36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52" w:lineRule="exact"/>
        <w:rPr>
          <w:sz w:val="20"/>
          <w:szCs w:val="20"/>
          <w:color w:val="auto"/>
        </w:rPr>
      </w:pPr>
    </w:p>
    <w:p>
      <w:pPr>
        <w:ind w:right="280" w:firstLine="432"/>
        <w:spacing w:after="0" w:line="298" w:lineRule="auto"/>
        <w:rPr>
          <w:sz w:val="20"/>
          <w:szCs w:val="20"/>
          <w:color w:val="auto"/>
        </w:rPr>
      </w:pPr>
      <w:r>
        <w:rPr>
          <w:rFonts w:ascii="Arial" w:cs="Arial" w:eastAsia="Arial" w:hAnsi="Arial"/>
          <w:sz w:val="16"/>
          <w:szCs w:val="16"/>
          <w:b w:val="1"/>
          <w:bCs w:val="1"/>
          <w:color w:val="auto"/>
        </w:rPr>
        <w:t xml:space="preserve">Carl Bass </w:t>
      </w:r>
      <w:r>
        <w:rPr>
          <w:rFonts w:ascii="Arial" w:cs="Arial" w:eastAsia="Arial" w:hAnsi="Arial"/>
          <w:sz w:val="16"/>
          <w:szCs w:val="16"/>
          <w:color w:val="auto"/>
        </w:rPr>
        <w:t>joined Autodesk in September 1993 and serves as President and Chief Executive Officer. Mr. Bass was named Chief Executive Officer in</w:t>
      </w:r>
      <w:r>
        <w:rPr>
          <w:rFonts w:ascii="Arial" w:cs="Arial" w:eastAsia="Arial" w:hAnsi="Arial"/>
          <w:sz w:val="16"/>
          <w:szCs w:val="16"/>
          <w:b w:val="1"/>
          <w:bCs w:val="1"/>
          <w:color w:val="auto"/>
        </w:rPr>
        <w:t xml:space="preserve"> </w:t>
      </w:r>
      <w:r>
        <w:rPr>
          <w:rFonts w:ascii="Arial" w:cs="Arial" w:eastAsia="Arial" w:hAnsi="Arial"/>
          <w:sz w:val="16"/>
          <w:szCs w:val="16"/>
          <w:color w:val="auto"/>
        </w:rPr>
        <w:t>May 2006. Mr. Bass served as Interim Chief Financial Officer from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He has also held other executive positions within Autodesk.</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Mark J. Hawkins </w:t>
      </w:r>
      <w:r>
        <w:rPr>
          <w:rFonts w:ascii="Arial" w:cs="Arial" w:eastAsia="Arial" w:hAnsi="Arial"/>
          <w:sz w:val="17"/>
          <w:szCs w:val="17"/>
          <w:color w:val="auto"/>
        </w:rPr>
        <w:t>joined Autodesk in April 2009 and serves as Executive Vice President and Chief Financial Officer. Prior to joining Autodesk,</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Hawkins was Chief Financial Officer and Senior Vice President of Finance and Information Technology at Logitech International S.A. from April 2006 to April 2009. Previously he was with Dell Inc. for six years, most recently serving as Vice President of Finance for worldwide procurement and logistics. Prior to joining Dell, Mr. Hawkins was employed by Hewlett-Packard Company for 18 years in finance and business-management roles. Mr. Hawkins is also a director of BMC Software, Inc.</w:t>
      </w:r>
    </w:p>
    <w:p>
      <w:pPr>
        <w:spacing w:after="0" w:line="132"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 xml:space="preserve">Jan Becker </w:t>
      </w:r>
      <w:r>
        <w:rPr>
          <w:rFonts w:ascii="Arial" w:cs="Arial" w:eastAsia="Arial" w:hAnsi="Arial"/>
          <w:sz w:val="18"/>
          <w:szCs w:val="18"/>
          <w:color w:val="auto"/>
        </w:rPr>
        <w:t>joined Autodesk in September 1992 and has served as Senior Vice President, Human Resources and Corporate Real Estate since June 2000.</w:t>
      </w:r>
      <w:r>
        <w:rPr>
          <w:rFonts w:ascii="Arial" w:cs="Arial" w:eastAsia="Arial" w:hAnsi="Arial"/>
          <w:sz w:val="18"/>
          <w:szCs w:val="18"/>
          <w:b w:val="1"/>
          <w:bCs w:val="1"/>
          <w:color w:val="auto"/>
        </w:rPr>
        <w:t xml:space="preserve"> </w:t>
      </w:r>
      <w:r>
        <w:rPr>
          <w:rFonts w:ascii="Arial" w:cs="Arial" w:eastAsia="Arial" w:hAnsi="Arial"/>
          <w:sz w:val="18"/>
          <w:szCs w:val="18"/>
          <w:color w:val="auto"/>
        </w:rPr>
        <w:t>Ms. Becker previously served in other capacities in the Human Resources Department at Autodesk. Prior to joining Autodesk, Ms. Becker worked both domestically and internationally at a number of high-tech organizations, including Sun Microsystems, Inc., Digital Equipment Corporation and Hewlett-Packard Company.</w:t>
      </w:r>
    </w:p>
    <w:p>
      <w:pPr>
        <w:spacing w:after="0" w:line="126" w:lineRule="exact"/>
        <w:rPr>
          <w:sz w:val="20"/>
          <w:szCs w:val="20"/>
          <w:color w:val="auto"/>
        </w:rPr>
      </w:pPr>
    </w:p>
    <w:p>
      <w:pPr>
        <w:ind w:right="140" w:firstLine="432"/>
        <w:spacing w:after="0" w:line="314" w:lineRule="auto"/>
        <w:rPr>
          <w:sz w:val="20"/>
          <w:szCs w:val="20"/>
          <w:color w:val="auto"/>
        </w:rPr>
      </w:pPr>
      <w:r>
        <w:rPr>
          <w:rFonts w:ascii="Arial" w:cs="Arial" w:eastAsia="Arial" w:hAnsi="Arial"/>
          <w:sz w:val="16"/>
          <w:szCs w:val="16"/>
          <w:b w:val="1"/>
          <w:bCs w:val="1"/>
          <w:color w:val="auto"/>
        </w:rPr>
        <w:t xml:space="preserve">Steven Blum </w:t>
      </w:r>
      <w:r>
        <w:rPr>
          <w:rFonts w:ascii="Arial" w:cs="Arial" w:eastAsia="Arial" w:hAnsi="Arial"/>
          <w:sz w:val="16"/>
          <w:szCs w:val="16"/>
          <w:color w:val="auto"/>
        </w:rPr>
        <w:t>joined Autodesk in January 2003 and has served as Senior Vice President, Worldwide Sales and Services since February 2011.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position, Mr. Blum was Senior Vice President of Americas Sales at Autodesk from January 2003 to February 2011. Prior to joining Autodesk, Mr. Blum was Executive Vice President of Sales and Account Management for Parago, Inc., and Vice President of America's sales for Mentor Graphics.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Pascal W. Di Fronzo </w:t>
      </w:r>
      <w:r>
        <w:rPr>
          <w:rFonts w:ascii="Arial" w:cs="Arial" w:eastAsia="Arial" w:hAnsi="Arial"/>
          <w:sz w:val="16"/>
          <w:szCs w:val="16"/>
          <w:color w:val="auto"/>
        </w:rPr>
        <w:t>joined Autodesk in June 1998 and has served as Senior Vice President, General Counsel and Secretary since March 2007. From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March 2006 to March 2007 Mr. Di Fronzo served as Vice President, General Counsel and Secretary and served as Vice President, Assistant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Assistant Secretary from March 2005 through 2006. Previously, Mr. Di Fronzo served in other business and legal capacities in the Legal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Department. Prior to joining Autodesk, he advised high technology and emerging growth companies on business and intellectual property transactions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 while in private practice.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required by this Item is incorporated herein by reference to the section entitled “Executive Compensation,” in our Proxy Statement.</w:t>
      </w:r>
    </w:p>
    <w:p>
      <w:pPr>
        <w:spacing w:after="0" w:line="244" w:lineRule="exact"/>
        <w:rPr>
          <w:sz w:val="20"/>
          <w:szCs w:val="20"/>
          <w:color w:val="auto"/>
        </w:rPr>
      </w:pPr>
    </w:p>
    <w:p>
      <w:pPr>
        <w:ind w:left="1300" w:right="1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75" w:lineRule="exact"/>
        <w:rPr>
          <w:sz w:val="20"/>
          <w:szCs w:val="20"/>
          <w:color w:val="auto"/>
        </w:rPr>
      </w:pPr>
    </w:p>
    <w:p>
      <w:pPr>
        <w:ind w:left="700" w:hanging="368"/>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jc w:val="both"/>
        <w:ind w:right="580" w:firstLine="886"/>
        <w:spacing w:after="0" w:line="264" w:lineRule="auto"/>
        <w:tabs>
          <w:tab w:leader="none" w:pos="119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this Item is incorporated by reference herein to the section of this Report in Item 8, entitled “Financial Statements and Supplementary Data.”</w:t>
      </w:r>
    </w:p>
    <w:p>
      <w:pPr>
        <w:spacing w:after="0" w:line="46" w:lineRule="exact"/>
        <w:rPr>
          <w:rFonts w:ascii="Arial" w:cs="Arial" w:eastAsia="Arial" w:hAnsi="Arial"/>
          <w:sz w:val="18"/>
          <w:szCs w:val="18"/>
          <w:color w:val="auto"/>
        </w:rPr>
      </w:pPr>
    </w:p>
    <w:p>
      <w:pPr>
        <w:ind w:right="220" w:firstLine="886"/>
        <w:spacing w:after="0" w:line="308" w:lineRule="auto"/>
        <w:tabs>
          <w:tab w:leader="none" w:pos="1193"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Financial Statement Schedule</w:t>
      </w:r>
      <w:r>
        <w:rPr>
          <w:rFonts w:ascii="Arial" w:cs="Arial" w:eastAsia="Arial" w:hAnsi="Arial"/>
          <w:sz w:val="17"/>
          <w:szCs w:val="17"/>
          <w:color w:val="auto"/>
        </w:rPr>
        <w:t>: The following financial statement schedule of Autodesk, Inc., for the fiscal years ended January 31, 2012,</w:t>
      </w:r>
      <w:r>
        <w:rPr>
          <w:rFonts w:ascii="Arial" w:cs="Arial" w:eastAsia="Arial" w:hAnsi="Arial"/>
          <w:sz w:val="17"/>
          <w:szCs w:val="17"/>
          <w:i w:val="1"/>
          <w:iCs w:val="1"/>
          <w:color w:val="auto"/>
        </w:rPr>
        <w:t xml:space="preserve"> </w:t>
      </w:r>
      <w:r>
        <w:rPr>
          <w:rFonts w:ascii="Arial" w:cs="Arial" w:eastAsia="Arial" w:hAnsi="Arial"/>
          <w:sz w:val="17"/>
          <w:szCs w:val="17"/>
          <w:color w:val="auto"/>
        </w:rPr>
        <w:t>2011 and 2010, is filed as part of this Report and should be read in conjunction with the Consolidated Financial Statements of Autodesk, Inc.</w:t>
      </w:r>
    </w:p>
    <w:p>
      <w:pPr>
        <w:spacing w:after="0" w:line="9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35" w:lineRule="exact"/>
        <w:rPr>
          <w:sz w:val="20"/>
          <w:szCs w:val="20"/>
          <w:color w:val="auto"/>
        </w:rPr>
      </w:pPr>
    </w:p>
    <w:p>
      <w:pPr>
        <w:ind w:right="80" w:firstLine="886"/>
        <w:spacing w:after="0" w:line="277" w:lineRule="auto"/>
        <w:tabs>
          <w:tab w:leader="none" w:pos="1193"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w:t>
      </w:r>
      <w:r>
        <w:rPr>
          <w:rFonts w:ascii="Arial" w:cs="Arial" w:eastAsia="Arial" w:hAnsi="Arial"/>
          <w:sz w:val="18"/>
          <w:szCs w:val="18"/>
          <w:i w:val="1"/>
          <w:iCs w:val="1"/>
          <w:color w:val="auto"/>
        </w:rPr>
        <w:t xml:space="preserve"> </w:t>
      </w:r>
      <w:r>
        <w:rPr>
          <w:rFonts w:ascii="Arial" w:cs="Arial" w:eastAsia="Arial" w:hAnsi="Arial"/>
          <w:sz w:val="18"/>
          <w:szCs w:val="18"/>
          <w:color w:val="auto"/>
        </w:rPr>
        <w:t>to Exhibits immediately following the signature page of this Form 10-K.</w:t>
      </w:r>
    </w:p>
    <w:p>
      <w:pPr>
        <w:spacing w:after="0" w:line="116" w:lineRule="exact"/>
        <w:rPr>
          <w:rFonts w:ascii="Arial" w:cs="Arial" w:eastAsia="Arial" w:hAnsi="Arial"/>
          <w:sz w:val="18"/>
          <w:szCs w:val="18"/>
          <w:color w:val="auto"/>
        </w:rPr>
      </w:pPr>
    </w:p>
    <w:p>
      <w:pPr>
        <w:ind w:left="720" w:hanging="388"/>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16"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(c)</w:t>
        <w:tab/>
        <w:t>Financial Statement Schedules: See Item 15(a), above.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 II</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2"/>
              </w:rPr>
              <w:t>Additions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8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94"/>
              </w:rPr>
              <w:t>Balance at</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Charged to</w:t>
            </w:r>
          </w:p>
        </w:tc>
        <w:tc>
          <w:tcPr>
            <w:tcW w:w="420" w:type="dxa"/>
            <w:vAlign w:val="bottom"/>
          </w:tcPr>
          <w:p>
            <w:pPr>
              <w:spacing w:after="0"/>
              <w:rPr>
                <w:sz w:val="12"/>
                <w:szCs w:val="12"/>
                <w:color w:val="auto"/>
              </w:rPr>
            </w:pPr>
          </w:p>
        </w:tc>
        <w:tc>
          <w:tcPr>
            <w:tcW w:w="1140" w:type="dxa"/>
            <w:vAlign w:val="bottom"/>
            <w:vMerge w:val="restart"/>
          </w:tcPr>
          <w:p>
            <w:pPr>
              <w:jc w:val="center"/>
              <w:ind w:right="294"/>
              <w:spacing w:after="0"/>
              <w:rPr>
                <w:sz w:val="20"/>
                <w:szCs w:val="20"/>
                <w:color w:val="auto"/>
              </w:rPr>
            </w:pPr>
            <w:r>
              <w:rPr>
                <w:rFonts w:ascii="Arial" w:cs="Arial" w:eastAsia="Arial" w:hAnsi="Arial"/>
                <w:sz w:val="14"/>
                <w:szCs w:val="14"/>
                <w:b w:val="1"/>
                <w:bCs w:val="1"/>
                <w:color w:val="auto"/>
                <w:w w:val="89"/>
              </w:rPr>
              <w:t>Deductions</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8"/>
              </w:rPr>
              <w:t>Costs and</w:t>
            </w:r>
          </w:p>
        </w:tc>
        <w:tc>
          <w:tcPr>
            <w:tcW w:w="4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90"/>
              </w:rPr>
              <w:t>Beginning</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20" w:type="dxa"/>
            <w:vAlign w:val="bottom"/>
          </w:tcPr>
          <w:p>
            <w:pPr>
              <w:spacing w:after="0"/>
              <w:rPr>
                <w:sz w:val="12"/>
                <w:szCs w:val="12"/>
                <w:color w:val="auto"/>
              </w:rPr>
            </w:pPr>
          </w:p>
        </w:tc>
        <w:tc>
          <w:tcPr>
            <w:tcW w:w="114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080" w:type="dxa"/>
            <w:vAlign w:val="bottom"/>
          </w:tcPr>
          <w:p>
            <w:pPr>
              <w:jc w:val="center"/>
              <w:ind w:left="339"/>
              <w:spacing w:after="0" w:line="158" w:lineRule="exact"/>
              <w:rPr>
                <w:sz w:val="20"/>
                <w:szCs w:val="20"/>
                <w:color w:val="auto"/>
              </w:rPr>
            </w:pPr>
            <w:r>
              <w:rPr>
                <w:rFonts w:ascii="Arial" w:cs="Arial" w:eastAsia="Arial" w:hAnsi="Arial"/>
                <w:sz w:val="14"/>
                <w:szCs w:val="14"/>
                <w:b w:val="1"/>
                <w:bCs w:val="1"/>
                <w:color w:val="auto"/>
                <w:w w:val="96"/>
              </w:rPr>
              <w:t>of 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3"/>
                <w:szCs w:val="13"/>
                <w:color w:val="auto"/>
              </w:rPr>
            </w:pPr>
          </w:p>
        </w:tc>
        <w:tc>
          <w:tcPr>
            <w:tcW w:w="1140" w:type="dxa"/>
            <w:vAlign w:val="bottom"/>
          </w:tcPr>
          <w:p>
            <w:pPr>
              <w:jc w:val="center"/>
              <w:ind w:right="294"/>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January 31, 2012</w:t>
            </w: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2.4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10.6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January 31, 2011</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11.8</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38.9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19.4</w:t>
            </w:r>
          </w:p>
        </w:tc>
        <w:tc>
          <w:tcPr>
            <w:tcW w:w="34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January 31, 2010</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 returns reserves</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12.5</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43.9</w:t>
            </w:r>
          </w:p>
        </w:tc>
        <w:tc>
          <w:tcPr>
            <w:tcW w:w="34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UTODESK</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67" w:lineRule="exact"/>
        <w:rPr>
          <w:sz w:val="20"/>
          <w:szCs w:val="20"/>
          <w:color w:val="auto"/>
        </w:rPr>
      </w:pPr>
    </w:p>
    <w:p>
      <w:pPr>
        <w:ind w:left="5760"/>
        <w:spacing w:after="0"/>
        <w:tabs>
          <w:tab w:leader="none" w:pos="816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ARL</w:t>
      </w:r>
      <w:r>
        <w:rPr>
          <w:rFonts w:ascii="Arial" w:cs="Arial" w:eastAsia="Arial" w:hAnsi="Arial"/>
          <w:sz w:val="17"/>
          <w:szCs w:val="17"/>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2"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Carl Bass</w:t>
      </w:r>
    </w:p>
    <w:p>
      <w:pPr>
        <w:spacing w:after="0" w:line="10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5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15, 2012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140"/>
          </w:cols>
          <w:pgMar w:left="240" w:top="125" w:right="51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Carl Bass and Mark J.</w:t>
      </w:r>
      <w:r>
        <w:rPr>
          <w:rFonts w:ascii="Arial" w:cs="Arial" w:eastAsia="Arial" w:hAnsi="Arial"/>
          <w:sz w:val="18"/>
          <w:szCs w:val="18"/>
          <w:b w:val="1"/>
          <w:bCs w:val="1"/>
          <w:color w:val="auto"/>
        </w:rPr>
        <w:t xml:space="preserve"> </w:t>
      </w:r>
      <w:r>
        <w:rPr>
          <w:rFonts w:ascii="Arial" w:cs="Arial" w:eastAsia="Arial" w:hAnsi="Arial"/>
          <w:sz w:val="18"/>
          <w:szCs w:val="18"/>
          <w:color w:val="auto"/>
        </w:rPr>
        <w:t>Hawkins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18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15, 2012.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2"/>
              </w:rPr>
              <w:t>Signature</w:t>
            </w:r>
          </w:p>
        </w:tc>
        <w:tc>
          <w:tcPr>
            <w:tcW w:w="28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9"/>
        </w:trPr>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340" w:type="dxa"/>
            <w:vAlign w:val="bottom"/>
            <w:gridSpan w:val="3"/>
          </w:tcPr>
          <w:p>
            <w:pPr>
              <w:jc w:val="center"/>
              <w:ind w:right="218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ARL</w:t>
            </w:r>
            <w:r>
              <w:rPr>
                <w:rFonts w:ascii="Arial" w:cs="Arial" w:eastAsia="Arial" w:hAnsi="Arial"/>
                <w:sz w:val="18"/>
                <w:szCs w:val="18"/>
                <w:color w:val="auto"/>
                <w:w w:val="98"/>
              </w:rPr>
              <w:t xml:space="preserve"> B</w:t>
            </w:r>
            <w:r>
              <w:rPr>
                <w:rFonts w:ascii="Arial" w:cs="Arial" w:eastAsia="Arial" w:hAnsi="Arial"/>
                <w:sz w:val="14"/>
                <w:szCs w:val="14"/>
                <w:color w:val="auto"/>
                <w:w w:val="98"/>
              </w:rPr>
              <w:t>ASS</w:t>
            </w:r>
          </w:p>
        </w:tc>
        <w:tc>
          <w:tcPr>
            <w:tcW w:w="4000" w:type="dxa"/>
            <w:vAlign w:val="bottom"/>
            <w:gridSpan w:val="3"/>
          </w:tcPr>
          <w:p>
            <w:pPr>
              <w:ind w:left="320"/>
              <w:spacing w:after="0"/>
              <w:rPr>
                <w:sz w:val="20"/>
                <w:szCs w:val="20"/>
                <w:color w:val="auto"/>
              </w:rPr>
            </w:pPr>
            <w:r>
              <w:rPr>
                <w:rFonts w:ascii="Arial" w:cs="Arial" w:eastAsia="Arial" w:hAnsi="Arial"/>
                <w:sz w:val="18"/>
                <w:szCs w:val="18"/>
                <w:color w:val="auto"/>
              </w:rPr>
              <w:t>(Principal Executive Officer)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3"/>
          </w:tcPr>
          <w:p>
            <w:pPr>
              <w:jc w:val="center"/>
              <w:ind w:right="2240"/>
              <w:spacing w:after="0"/>
              <w:rPr>
                <w:sz w:val="20"/>
                <w:szCs w:val="20"/>
                <w:color w:val="auto"/>
              </w:rPr>
            </w:pPr>
            <w:r>
              <w:rPr>
                <w:rFonts w:ascii="Arial" w:cs="Arial" w:eastAsia="Arial" w:hAnsi="Arial"/>
                <w:sz w:val="18"/>
                <w:szCs w:val="18"/>
                <w:color w:val="auto"/>
                <w:w w:val="89"/>
              </w:rPr>
              <w:t>Carl Bass</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7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3540" w:type="dxa"/>
            <w:vAlign w:val="bottom"/>
            <w:gridSpan w:val="4"/>
          </w:tcPr>
          <w:p>
            <w:pPr>
              <w:jc w:val="center"/>
              <w:ind w:right="198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H</w:t>
            </w:r>
            <w:r>
              <w:rPr>
                <w:rFonts w:ascii="Arial" w:cs="Arial" w:eastAsia="Arial" w:hAnsi="Arial"/>
                <w:sz w:val="14"/>
                <w:szCs w:val="14"/>
                <w:color w:val="auto"/>
                <w:w w:val="99"/>
              </w:rPr>
              <w:t>AWKINS</w:t>
            </w:r>
          </w:p>
        </w:tc>
        <w:tc>
          <w:tcPr>
            <w:tcW w:w="4000" w:type="dxa"/>
            <w:vAlign w:val="bottom"/>
            <w:gridSpan w:val="3"/>
          </w:tcPr>
          <w:p>
            <w:pPr>
              <w:ind w:left="320"/>
              <w:spacing w:after="0"/>
              <w:rPr>
                <w:sz w:val="20"/>
                <w:szCs w:val="20"/>
                <w:color w:val="auto"/>
              </w:rPr>
            </w:pPr>
            <w:r>
              <w:rPr>
                <w:rFonts w:ascii="Arial" w:cs="Arial" w:eastAsia="Arial" w:hAnsi="Arial"/>
                <w:sz w:val="18"/>
                <w:szCs w:val="18"/>
                <w:color w:val="auto"/>
              </w:rPr>
              <w:t>(Principal Financial Officer )</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center"/>
              <w:ind w:right="2020"/>
              <w:spacing w:after="0"/>
              <w:rPr>
                <w:sz w:val="20"/>
                <w:szCs w:val="20"/>
                <w:color w:val="auto"/>
              </w:rPr>
            </w:pPr>
            <w:r>
              <w:rPr>
                <w:rFonts w:ascii="Arial" w:cs="Arial" w:eastAsia="Arial" w:hAnsi="Arial"/>
                <w:sz w:val="18"/>
                <w:szCs w:val="18"/>
                <w:color w:val="auto"/>
                <w:w w:val="93"/>
              </w:rPr>
              <w:t>Mark J. Hawkins</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Vice President and Corporate Controller</w:t>
            </w:r>
          </w:p>
        </w:tc>
      </w:tr>
      <w:tr>
        <w:trPr>
          <w:trHeight w:val="230"/>
        </w:trPr>
        <w:tc>
          <w:tcPr>
            <w:tcW w:w="2040" w:type="dxa"/>
            <w:vAlign w:val="bottom"/>
            <w:gridSpan w:val="2"/>
          </w:tcPr>
          <w:p>
            <w:pPr>
              <w:ind w:left="1740"/>
              <w:spacing w:after="0"/>
              <w:rPr>
                <w:sz w:val="20"/>
                <w:szCs w:val="20"/>
                <w:color w:val="auto"/>
              </w:rPr>
            </w:pPr>
            <w:r>
              <w:rPr>
                <w:rFonts w:ascii="Arial" w:cs="Arial" w:eastAsia="Arial" w:hAnsi="Arial"/>
                <w:sz w:val="18"/>
                <w:szCs w:val="18"/>
                <w:color w:val="auto"/>
              </w:rPr>
              <w:t>/s/</w:t>
            </w:r>
          </w:p>
        </w:tc>
        <w:tc>
          <w:tcPr>
            <w:tcW w:w="3540" w:type="dxa"/>
            <w:vAlign w:val="bottom"/>
            <w:gridSpan w:val="4"/>
          </w:tcPr>
          <w:p>
            <w:pPr>
              <w:jc w:val="center"/>
              <w:ind w:right="198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AMELA</w:t>
            </w:r>
            <w:r>
              <w:rPr>
                <w:rFonts w:ascii="Arial" w:cs="Arial" w:eastAsia="Arial" w:hAnsi="Arial"/>
                <w:sz w:val="18"/>
                <w:szCs w:val="18"/>
                <w:color w:val="auto"/>
                <w:w w:val="97"/>
              </w:rPr>
              <w:t xml:space="preserve"> J. S</w:t>
            </w:r>
            <w:r>
              <w:rPr>
                <w:rFonts w:ascii="Arial" w:cs="Arial" w:eastAsia="Arial" w:hAnsi="Arial"/>
                <w:sz w:val="14"/>
                <w:szCs w:val="14"/>
                <w:color w:val="auto"/>
                <w:w w:val="97"/>
              </w:rPr>
              <w:t>TRAYER</w:t>
            </w:r>
          </w:p>
        </w:tc>
        <w:tc>
          <w:tcPr>
            <w:tcW w:w="4000" w:type="dxa"/>
            <w:vAlign w:val="bottom"/>
            <w:gridSpan w:val="3"/>
          </w:tcPr>
          <w:p>
            <w:pPr>
              <w:ind w:left="360"/>
              <w:spacing w:after="0"/>
              <w:rPr>
                <w:sz w:val="20"/>
                <w:szCs w:val="20"/>
                <w:color w:val="auto"/>
              </w:rPr>
            </w:pPr>
            <w:r>
              <w:rPr>
                <w:rFonts w:ascii="Arial" w:cs="Arial" w:eastAsia="Arial" w:hAnsi="Arial"/>
                <w:sz w:val="18"/>
                <w:szCs w:val="18"/>
                <w:color w:val="auto"/>
              </w:rPr>
              <w:t>(Principal Accounting Officer )</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center"/>
              <w:ind w:right="2040"/>
              <w:spacing w:after="0"/>
              <w:rPr>
                <w:sz w:val="20"/>
                <w:szCs w:val="20"/>
                <w:color w:val="auto"/>
              </w:rPr>
            </w:pPr>
            <w:r>
              <w:rPr>
                <w:rFonts w:ascii="Arial" w:cs="Arial" w:eastAsia="Arial" w:hAnsi="Arial"/>
                <w:sz w:val="18"/>
                <w:szCs w:val="18"/>
                <w:color w:val="auto"/>
                <w:w w:val="88"/>
              </w:rPr>
              <w:t>Pamela J. Strayer</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1780" w:type="dxa"/>
            <w:vAlign w:val="bottom"/>
          </w:tcPr>
          <w:p>
            <w:pPr>
              <w:ind w:left="1500"/>
              <w:spacing w:after="0"/>
              <w:rPr>
                <w:sz w:val="20"/>
                <w:szCs w:val="20"/>
                <w:color w:val="auto"/>
              </w:rPr>
            </w:pPr>
            <w:r>
              <w:rPr>
                <w:rFonts w:ascii="Arial" w:cs="Arial" w:eastAsia="Arial" w:hAnsi="Arial"/>
                <w:sz w:val="18"/>
                <w:szCs w:val="18"/>
                <w:color w:val="auto"/>
              </w:rPr>
              <w:t>/s/</w:t>
            </w:r>
          </w:p>
        </w:tc>
        <w:tc>
          <w:tcPr>
            <w:tcW w:w="3800" w:type="dxa"/>
            <w:vAlign w:val="bottom"/>
            <w:gridSpan w:val="5"/>
          </w:tcPr>
          <w:p>
            <w:pPr>
              <w:jc w:val="center"/>
              <w:ind w:right="170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RAWFORD</w:t>
            </w:r>
            <w:r>
              <w:rPr>
                <w:rFonts w:ascii="Arial" w:cs="Arial" w:eastAsia="Arial" w:hAnsi="Arial"/>
                <w:sz w:val="18"/>
                <w:szCs w:val="18"/>
                <w:color w:val="auto"/>
                <w:w w:val="96"/>
              </w:rPr>
              <w:t xml:space="preserve"> W. B</w:t>
            </w:r>
            <w:r>
              <w:rPr>
                <w:rFonts w:ascii="Arial" w:cs="Arial" w:eastAsia="Arial" w:hAnsi="Arial"/>
                <w:sz w:val="14"/>
                <w:szCs w:val="14"/>
                <w:color w:val="auto"/>
                <w:w w:val="96"/>
              </w:rPr>
              <w:t>EVERIDGE</w:t>
            </w: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rPr>
              <w:t>(Non-executive Chairman of the Board)</w:t>
            </w:r>
          </w:p>
        </w:tc>
      </w:tr>
      <w:tr>
        <w:trPr>
          <w:trHeight w:val="27"/>
        </w:trPr>
        <w:tc>
          <w:tcPr>
            <w:tcW w:w="1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3800" w:type="dxa"/>
            <w:vAlign w:val="bottom"/>
            <w:gridSpan w:val="5"/>
          </w:tcPr>
          <w:p>
            <w:pPr>
              <w:jc w:val="center"/>
              <w:ind w:right="1760"/>
              <w:spacing w:after="0"/>
              <w:rPr>
                <w:sz w:val="20"/>
                <w:szCs w:val="20"/>
                <w:color w:val="auto"/>
              </w:rPr>
            </w:pPr>
            <w:r>
              <w:rPr>
                <w:rFonts w:ascii="Arial" w:cs="Arial" w:eastAsia="Arial" w:hAnsi="Arial"/>
                <w:sz w:val="18"/>
                <w:szCs w:val="18"/>
                <w:color w:val="auto"/>
                <w:w w:val="92"/>
              </w:rPr>
              <w:t>Crawford W. Beveridge</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2040" w:type="dxa"/>
            <w:vAlign w:val="bottom"/>
            <w:gridSpan w:val="2"/>
          </w:tcPr>
          <w:p>
            <w:pPr>
              <w:ind w:left="1740"/>
              <w:spacing w:after="0"/>
              <w:rPr>
                <w:sz w:val="20"/>
                <w:szCs w:val="20"/>
                <w:color w:val="auto"/>
              </w:rPr>
            </w:pPr>
            <w:r>
              <w:rPr>
                <w:rFonts w:ascii="Arial" w:cs="Arial" w:eastAsia="Arial" w:hAnsi="Arial"/>
                <w:sz w:val="18"/>
                <w:szCs w:val="18"/>
                <w:color w:val="auto"/>
              </w:rPr>
              <w:t>/s/</w:t>
            </w:r>
          </w:p>
        </w:tc>
        <w:tc>
          <w:tcPr>
            <w:tcW w:w="3540" w:type="dxa"/>
            <w:vAlign w:val="bottom"/>
            <w:gridSpan w:val="4"/>
          </w:tcPr>
          <w:p>
            <w:pPr>
              <w:jc w:val="center"/>
              <w:ind w:right="1960"/>
              <w:spacing w:after="0"/>
              <w:rPr>
                <w:sz w:val="20"/>
                <w:szCs w:val="20"/>
                <w:color w:val="auto"/>
              </w:rPr>
            </w:pPr>
            <w:r>
              <w:rPr>
                <w:rFonts w:ascii="Arial" w:cs="Arial" w:eastAsia="Arial" w:hAnsi="Arial"/>
                <w:sz w:val="18"/>
                <w:szCs w:val="18"/>
                <w:color w:val="auto"/>
              </w:rPr>
              <w:t>J. H</w:t>
            </w:r>
            <w:r>
              <w:rPr>
                <w:rFonts w:ascii="Arial" w:cs="Arial" w:eastAsia="Arial" w:hAnsi="Arial"/>
                <w:sz w:val="14"/>
                <w:szCs w:val="14"/>
                <w:color w:val="auto"/>
              </w:rPr>
              <w:t>ALLAM</w:t>
            </w:r>
            <w:r>
              <w:rPr>
                <w:rFonts w:ascii="Arial" w:cs="Arial" w:eastAsia="Arial" w:hAnsi="Arial"/>
                <w:sz w:val="18"/>
                <w:szCs w:val="18"/>
                <w:color w:val="auto"/>
              </w:rPr>
              <w:t xml:space="preserve"> D</w:t>
            </w:r>
            <w:r>
              <w:rPr>
                <w:rFonts w:ascii="Arial" w:cs="Arial" w:eastAsia="Arial" w:hAnsi="Arial"/>
                <w:sz w:val="14"/>
                <w:szCs w:val="14"/>
                <w:color w:val="auto"/>
              </w:rPr>
              <w:t>AWSON</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center"/>
              <w:ind w:right="2020"/>
              <w:spacing w:after="0"/>
              <w:rPr>
                <w:sz w:val="20"/>
                <w:szCs w:val="20"/>
                <w:color w:val="auto"/>
              </w:rPr>
            </w:pPr>
            <w:r>
              <w:rPr>
                <w:rFonts w:ascii="Arial" w:cs="Arial" w:eastAsia="Arial" w:hAnsi="Arial"/>
                <w:sz w:val="18"/>
                <w:szCs w:val="18"/>
                <w:color w:val="auto"/>
                <w:w w:val="90"/>
              </w:rPr>
              <w:t>J. Hallam Dawson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780" w:type="dxa"/>
            <w:vAlign w:val="bottom"/>
          </w:tcPr>
          <w:p>
            <w:pPr>
              <w:ind w:left="1500"/>
              <w:spacing w:after="0"/>
              <w:rPr>
                <w:sz w:val="20"/>
                <w:szCs w:val="20"/>
                <w:color w:val="auto"/>
              </w:rPr>
            </w:pPr>
            <w:r>
              <w:rPr>
                <w:rFonts w:ascii="Arial" w:cs="Arial" w:eastAsia="Arial" w:hAnsi="Arial"/>
                <w:sz w:val="18"/>
                <w:szCs w:val="18"/>
                <w:color w:val="auto"/>
              </w:rPr>
              <w:t>/s/</w:t>
            </w:r>
          </w:p>
        </w:tc>
        <w:tc>
          <w:tcPr>
            <w:tcW w:w="3800" w:type="dxa"/>
            <w:vAlign w:val="bottom"/>
            <w:gridSpan w:val="5"/>
          </w:tcPr>
          <w:p>
            <w:pPr>
              <w:jc w:val="center"/>
              <w:ind w:right="170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w:t>
            </w:r>
            <w:r>
              <w:rPr>
                <w:rFonts w:ascii="Arial" w:cs="Arial" w:eastAsia="Arial" w:hAnsi="Arial"/>
                <w:sz w:val="18"/>
                <w:szCs w:val="18"/>
                <w:color w:val="auto"/>
                <w:w w:val="99"/>
              </w:rPr>
              <w:t>-K</w:t>
            </w:r>
            <w:r>
              <w:rPr>
                <w:rFonts w:ascii="Arial" w:cs="Arial" w:eastAsia="Arial" w:hAnsi="Arial"/>
                <w:sz w:val="14"/>
                <w:szCs w:val="14"/>
                <w:color w:val="auto"/>
                <w:w w:val="99"/>
              </w:rPr>
              <w:t>RISTIAN</w:t>
            </w:r>
            <w:r>
              <w:rPr>
                <w:rFonts w:ascii="Arial" w:cs="Arial" w:eastAsia="Arial" w:hAnsi="Arial"/>
                <w:sz w:val="18"/>
                <w:szCs w:val="18"/>
                <w:color w:val="auto"/>
                <w:w w:val="99"/>
              </w:rPr>
              <w:t xml:space="preserve"> H</w:t>
            </w:r>
            <w:r>
              <w:rPr>
                <w:rFonts w:ascii="Arial" w:cs="Arial" w:eastAsia="Arial" w:hAnsi="Arial"/>
                <w:sz w:val="14"/>
                <w:szCs w:val="14"/>
                <w:color w:val="auto"/>
                <w:w w:val="99"/>
              </w:rPr>
              <w:t>ALVORSEN</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3800" w:type="dxa"/>
            <w:vAlign w:val="bottom"/>
            <w:gridSpan w:val="5"/>
          </w:tcPr>
          <w:p>
            <w:pPr>
              <w:jc w:val="center"/>
              <w:ind w:right="1780"/>
              <w:spacing w:after="0"/>
              <w:rPr>
                <w:sz w:val="20"/>
                <w:szCs w:val="20"/>
                <w:color w:val="auto"/>
              </w:rPr>
            </w:pPr>
            <w:r>
              <w:rPr>
                <w:rFonts w:ascii="Arial" w:cs="Arial" w:eastAsia="Arial" w:hAnsi="Arial"/>
                <w:sz w:val="18"/>
                <w:szCs w:val="18"/>
                <w:color w:val="auto"/>
                <w:w w:val="92"/>
              </w:rPr>
              <w:t>Per-Kristian Halvorsen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2040" w:type="dxa"/>
            <w:vAlign w:val="bottom"/>
            <w:gridSpan w:val="2"/>
          </w:tcPr>
          <w:p>
            <w:pPr>
              <w:ind w:left="1700"/>
              <w:spacing w:after="0"/>
              <w:rPr>
                <w:sz w:val="20"/>
                <w:szCs w:val="20"/>
                <w:color w:val="auto"/>
              </w:rPr>
            </w:pPr>
            <w:r>
              <w:rPr>
                <w:rFonts w:ascii="Arial" w:cs="Arial" w:eastAsia="Arial" w:hAnsi="Arial"/>
                <w:sz w:val="18"/>
                <w:szCs w:val="18"/>
                <w:color w:val="auto"/>
              </w:rPr>
              <w:t>/s/</w:t>
            </w:r>
          </w:p>
        </w:tc>
        <w:tc>
          <w:tcPr>
            <w:tcW w:w="3540" w:type="dxa"/>
            <w:vAlign w:val="bottom"/>
            <w:gridSpan w:val="4"/>
          </w:tcPr>
          <w:p>
            <w:pPr>
              <w:jc w:val="center"/>
              <w:ind w:right="196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ARY</w:t>
            </w:r>
            <w:r>
              <w:rPr>
                <w:rFonts w:ascii="Arial" w:cs="Arial" w:eastAsia="Arial" w:hAnsi="Arial"/>
                <w:sz w:val="18"/>
                <w:szCs w:val="18"/>
                <w:color w:val="auto"/>
                <w:w w:val="99"/>
              </w:rPr>
              <w:t xml:space="preserve"> T. M</w:t>
            </w:r>
            <w:r>
              <w:rPr>
                <w:rFonts w:ascii="Arial" w:cs="Arial" w:eastAsia="Arial" w:hAnsi="Arial"/>
                <w:sz w:val="14"/>
                <w:szCs w:val="14"/>
                <w:color w:val="auto"/>
                <w:w w:val="99"/>
              </w:rPr>
              <w:t>CDOWELL</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center"/>
              <w:ind w:right="2020"/>
              <w:spacing w:after="0"/>
              <w:rPr>
                <w:sz w:val="20"/>
                <w:szCs w:val="20"/>
                <w:color w:val="auto"/>
              </w:rPr>
            </w:pPr>
            <w:r>
              <w:rPr>
                <w:rFonts w:ascii="Arial" w:cs="Arial" w:eastAsia="Arial" w:hAnsi="Arial"/>
                <w:sz w:val="18"/>
                <w:szCs w:val="18"/>
                <w:color w:val="auto"/>
                <w:w w:val="97"/>
              </w:rPr>
              <w:t>Mary T. McDowell</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780" w:type="dxa"/>
            <w:vAlign w:val="bottom"/>
          </w:tcPr>
          <w:p>
            <w:pPr>
              <w:ind w:left="1580"/>
              <w:spacing w:after="0"/>
              <w:rPr>
                <w:sz w:val="20"/>
                <w:szCs w:val="20"/>
                <w:color w:val="auto"/>
              </w:rPr>
            </w:pPr>
            <w:r>
              <w:rPr>
                <w:rFonts w:ascii="Arial" w:cs="Arial" w:eastAsia="Arial" w:hAnsi="Arial"/>
                <w:sz w:val="18"/>
                <w:szCs w:val="18"/>
                <w:color w:val="auto"/>
                <w:w w:val="94"/>
              </w:rPr>
              <w:t>/s/</w:t>
            </w:r>
          </w:p>
        </w:tc>
        <w:tc>
          <w:tcPr>
            <w:tcW w:w="3800" w:type="dxa"/>
            <w:vAlign w:val="bottom"/>
            <w:gridSpan w:val="5"/>
          </w:tcPr>
          <w:p>
            <w:pPr>
              <w:jc w:val="center"/>
              <w:ind w:right="1720"/>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ORRIE</w:t>
            </w:r>
            <w:r>
              <w:rPr>
                <w:rFonts w:ascii="Arial" w:cs="Arial" w:eastAsia="Arial" w:hAnsi="Arial"/>
                <w:sz w:val="18"/>
                <w:szCs w:val="18"/>
                <w:color w:val="auto"/>
                <w:w w:val="98"/>
              </w:rPr>
              <w:t xml:space="preserve"> M. N</w:t>
            </w:r>
            <w:r>
              <w:rPr>
                <w:rFonts w:ascii="Arial" w:cs="Arial" w:eastAsia="Arial" w:hAnsi="Arial"/>
                <w:sz w:val="14"/>
                <w:szCs w:val="14"/>
                <w:color w:val="auto"/>
                <w:w w:val="98"/>
              </w:rPr>
              <w:t>ORRINGTON</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3800" w:type="dxa"/>
            <w:vAlign w:val="bottom"/>
            <w:gridSpan w:val="5"/>
          </w:tcPr>
          <w:p>
            <w:pPr>
              <w:jc w:val="center"/>
              <w:ind w:right="1780"/>
              <w:spacing w:after="0"/>
              <w:rPr>
                <w:sz w:val="20"/>
                <w:szCs w:val="20"/>
                <w:color w:val="auto"/>
              </w:rPr>
            </w:pPr>
            <w:r>
              <w:rPr>
                <w:rFonts w:ascii="Arial" w:cs="Arial" w:eastAsia="Arial" w:hAnsi="Arial"/>
                <w:sz w:val="18"/>
                <w:szCs w:val="18"/>
                <w:color w:val="auto"/>
                <w:w w:val="96"/>
              </w:rPr>
              <w:t>Lorrie M. Norrington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78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w w:val="73"/>
              </w:rPr>
              <w:t>/s/</w:t>
            </w:r>
          </w:p>
        </w:tc>
        <w:tc>
          <w:tcPr>
            <w:tcW w:w="3540" w:type="dxa"/>
            <w:vAlign w:val="bottom"/>
            <w:gridSpan w:val="4"/>
          </w:tcPr>
          <w:p>
            <w:pPr>
              <w:jc w:val="center"/>
              <w:ind w:right="196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R</w:t>
            </w:r>
            <w:r>
              <w:rPr>
                <w:rFonts w:ascii="Arial" w:cs="Arial" w:eastAsia="Arial" w:hAnsi="Arial"/>
                <w:sz w:val="14"/>
                <w:szCs w:val="14"/>
                <w:color w:val="auto"/>
                <w:w w:val="98"/>
              </w:rPr>
              <w:t>OBEL</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3"/>
          </w:tcPr>
          <w:p>
            <w:pPr>
              <w:jc w:val="center"/>
              <w:ind w:right="2240"/>
              <w:spacing w:after="0"/>
              <w:rPr>
                <w:sz w:val="20"/>
                <w:szCs w:val="20"/>
                <w:color w:val="auto"/>
              </w:rPr>
            </w:pPr>
            <w:r>
              <w:rPr>
                <w:rFonts w:ascii="Arial" w:cs="Arial" w:eastAsia="Arial" w:hAnsi="Arial"/>
                <w:sz w:val="18"/>
                <w:szCs w:val="18"/>
                <w:color w:val="auto"/>
                <w:w w:val="89"/>
              </w:rPr>
              <w:t>Charles Robel</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78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/s/</w:t>
            </w:r>
          </w:p>
        </w:tc>
        <w:tc>
          <w:tcPr>
            <w:tcW w:w="3340" w:type="dxa"/>
            <w:vAlign w:val="bottom"/>
            <w:gridSpan w:val="3"/>
          </w:tcPr>
          <w:p>
            <w:pPr>
              <w:jc w:val="center"/>
              <w:ind w:right="21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TACY</w:t>
            </w:r>
            <w:r>
              <w:rPr>
                <w:rFonts w:ascii="Arial" w:cs="Arial" w:eastAsia="Arial" w:hAnsi="Arial"/>
                <w:sz w:val="18"/>
                <w:szCs w:val="18"/>
                <w:color w:val="auto"/>
                <w:w w:val="96"/>
              </w:rPr>
              <w:t xml:space="preserve"> J. S</w:t>
            </w:r>
            <w:r>
              <w:rPr>
                <w:rFonts w:ascii="Arial" w:cs="Arial" w:eastAsia="Arial" w:hAnsi="Arial"/>
                <w:sz w:val="14"/>
                <w:szCs w:val="14"/>
                <w:color w:val="auto"/>
                <w:w w:val="96"/>
              </w:rPr>
              <w:t>MITH</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3"/>
          </w:tcPr>
          <w:p>
            <w:pPr>
              <w:jc w:val="center"/>
              <w:ind w:right="2220"/>
              <w:spacing w:after="0"/>
              <w:rPr>
                <w:sz w:val="20"/>
                <w:szCs w:val="20"/>
                <w:color w:val="auto"/>
              </w:rPr>
            </w:pPr>
            <w:r>
              <w:rPr>
                <w:rFonts w:ascii="Arial" w:cs="Arial" w:eastAsia="Arial" w:hAnsi="Arial"/>
                <w:sz w:val="18"/>
                <w:szCs w:val="18"/>
                <w:color w:val="auto"/>
                <w:w w:val="90"/>
              </w:rPr>
              <w:t>Stacy J. Smith</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5"/>
        </w:trPr>
        <w:tc>
          <w:tcPr>
            <w:tcW w:w="17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4"/>
              </w:rPr>
              <w:t>/s/</w:t>
            </w:r>
          </w:p>
        </w:tc>
        <w:tc>
          <w:tcPr>
            <w:tcW w:w="3540" w:type="dxa"/>
            <w:vAlign w:val="bottom"/>
            <w:gridSpan w:val="4"/>
          </w:tcPr>
          <w:p>
            <w:pPr>
              <w:jc w:val="center"/>
              <w:ind w:right="196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TEVEN</w:t>
            </w:r>
            <w:r>
              <w:rPr>
                <w:rFonts w:ascii="Arial" w:cs="Arial" w:eastAsia="Arial" w:hAnsi="Arial"/>
                <w:sz w:val="18"/>
                <w:szCs w:val="18"/>
                <w:color w:val="auto"/>
                <w:w w:val="97"/>
              </w:rPr>
              <w:t xml:space="preserve"> M. W</w:t>
            </w:r>
            <w:r>
              <w:rPr>
                <w:rFonts w:ascii="Arial" w:cs="Arial" w:eastAsia="Arial" w:hAnsi="Arial"/>
                <w:sz w:val="14"/>
                <w:szCs w:val="14"/>
                <w:color w:val="auto"/>
                <w:w w:val="97"/>
              </w:rPr>
              <w:t>EST</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center"/>
              <w:ind w:right="2040"/>
              <w:spacing w:after="0"/>
              <w:rPr>
                <w:sz w:val="20"/>
                <w:szCs w:val="20"/>
                <w:color w:val="auto"/>
              </w:rPr>
            </w:pPr>
            <w:r>
              <w:rPr>
                <w:rFonts w:ascii="Arial" w:cs="Arial" w:eastAsia="Arial" w:hAnsi="Arial"/>
                <w:sz w:val="18"/>
                <w:szCs w:val="18"/>
                <w:color w:val="auto"/>
                <w:w w:val="89"/>
              </w:rPr>
              <w:t>Steven M. West</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280" w:type="dxa"/>
            <w:vAlign w:val="bottom"/>
            <w:gridSpan w:val="3"/>
          </w:tcPr>
          <w:p>
            <w:pPr>
              <w:ind w:left="39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50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tcPr>
          <w:p>
            <w:pPr>
              <w:spacing w:after="0"/>
              <w:rPr>
                <w:sz w:val="24"/>
                <w:szCs w:val="24"/>
                <w:color w:val="auto"/>
              </w:rPr>
            </w:pPr>
          </w:p>
        </w:tc>
      </w:tr>
      <w:tr>
        <w:trPr>
          <w:trHeight w:val="249"/>
        </w:trPr>
        <w:tc>
          <w:tcPr>
            <w:tcW w:w="7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1"/>
              </w:rPr>
              <w:t>Agreement and Plan of Merger, dated as of May 1, 2008, by and among Autodesk, Inc., Switch Acquisition Corporation and Moldflow</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4"/>
              </w:rPr>
              <w:t>Corporation (</w:t>
            </w:r>
            <w:r>
              <w:rPr>
                <w:rFonts w:ascii="Arial" w:cs="Arial" w:eastAsia="Arial" w:hAnsi="Arial"/>
                <w:sz w:val="18"/>
                <w:szCs w:val="18"/>
                <w:i w:val="1"/>
                <w:iCs w:val="1"/>
                <w:color w:val="auto"/>
                <w:w w:val="94"/>
              </w:rPr>
              <w:t>incorporated by reference to Exhibit 2.1 filed with the Registrant’s Current Report on Form 8-K filed on May 2, 2008</w:t>
            </w:r>
            <w:r>
              <w:rPr>
                <w:rFonts w:ascii="Arial" w:cs="Arial" w:eastAsia="Arial" w:hAnsi="Arial"/>
                <w:sz w:val="18"/>
                <w:szCs w:val="18"/>
                <w:color w:val="auto"/>
                <w:w w:val="94"/>
              </w:rPr>
              <w:t>)</w:t>
            </w:r>
          </w:p>
        </w:tc>
      </w:tr>
      <w:tr>
        <w:trPr>
          <w:trHeight w:val="377"/>
        </w:trPr>
        <w:tc>
          <w:tcPr>
            <w:tcW w:w="70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3"/>
              </w:rPr>
              <w:t xml:space="preserve">Amended and Restated Certificate of Incorporation of Registrant </w:t>
            </w:r>
            <w:r>
              <w:rPr>
                <w:rFonts w:ascii="Arial" w:cs="Arial" w:eastAsia="Arial" w:hAnsi="Arial"/>
                <w:sz w:val="18"/>
                <w:szCs w:val="18"/>
                <w:i w:val="1"/>
                <w:iCs w:val="1"/>
                <w:color w:val="auto"/>
                <w:w w:val="93"/>
              </w:rPr>
              <w:t>(incorporated by reference to Exhibit 3.1 filed with the Registrant’s</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Annual Report on Form 10-K for the fiscal year ended January 31, 2006)</w:t>
            </w:r>
          </w:p>
        </w:tc>
      </w:tr>
      <w:tr>
        <w:trPr>
          <w:trHeight w:val="377"/>
        </w:trPr>
        <w:tc>
          <w:tcPr>
            <w:tcW w:w="70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3"/>
              </w:rPr>
              <w:t>Amended and Restated Bylaws of Registrant (</w:t>
            </w:r>
            <w:r>
              <w:rPr>
                <w:rFonts w:ascii="Arial" w:cs="Arial" w:eastAsia="Arial" w:hAnsi="Arial"/>
                <w:sz w:val="18"/>
                <w:szCs w:val="18"/>
                <w:i w:val="1"/>
                <w:iCs w:val="1"/>
                <w:color w:val="auto"/>
                <w:w w:val="93"/>
              </w:rPr>
              <w:t>incorporated by reference to Exhibit 3.1 filed with the Registrant’s Current Report on</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Form 8-K filed on March 29, 2011</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2"/>
              </w:rPr>
              <w:t>Registrant’s 1996 Stock Plan (</w:t>
            </w:r>
            <w:r>
              <w:rPr>
                <w:rFonts w:ascii="Arial" w:cs="Arial" w:eastAsia="Arial" w:hAnsi="Arial"/>
                <w:sz w:val="18"/>
                <w:szCs w:val="18"/>
                <w:i w:val="1"/>
                <w:iCs w:val="1"/>
                <w:color w:val="auto"/>
                <w:w w:val="92"/>
              </w:rPr>
              <w:t>incorporated by reference to Exhibit 10.1 filed with the Registrant’s Quarterly Report on Form 10-Q for</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the fiscal quarter ended October 31, 2005</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1"/>
              </w:rPr>
              <w:t>Registrant’s 1996 Stock Plan Forms of Agreement (</w:t>
            </w:r>
            <w:r>
              <w:rPr>
                <w:rFonts w:ascii="Arial" w:cs="Arial" w:eastAsia="Arial" w:hAnsi="Arial"/>
                <w:sz w:val="18"/>
                <w:szCs w:val="18"/>
                <w:i w:val="1"/>
                <w:iCs w:val="1"/>
                <w:color w:val="auto"/>
                <w:w w:val="91"/>
              </w:rPr>
              <w:t>incorporated by reference to Exhibit 10.5 filed with the Registrant’s Annual Report</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on Form 10-K for the fiscal year ended January 31, 2005</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0"/>
              </w:rPr>
              <w:t xml:space="preserve">Registrant’s 1998 Employee Qualified Stock Purchase Plan, as amended on September 17, 2009 </w:t>
            </w:r>
            <w:r>
              <w:rPr>
                <w:rFonts w:ascii="Arial" w:cs="Arial" w:eastAsia="Arial" w:hAnsi="Arial"/>
                <w:sz w:val="18"/>
                <w:szCs w:val="18"/>
                <w:i w:val="1"/>
                <w:iCs w:val="1"/>
                <w:color w:val="auto"/>
                <w:w w:val="90"/>
              </w:rPr>
              <w:t>(incorporated by reference to Exhibit</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10.3 filed with the Registrant’s Annual Report on Form 10-K for the fiscal year ended January 31, 2010)</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2"/>
              </w:rPr>
              <w:t>Registrant’s 1998 Employee Qualified Stock Purchase Plan Forms of Agreement (</w:t>
            </w:r>
            <w:r>
              <w:rPr>
                <w:rFonts w:ascii="Arial" w:cs="Arial" w:eastAsia="Arial" w:hAnsi="Arial"/>
                <w:sz w:val="18"/>
                <w:szCs w:val="18"/>
                <w:i w:val="1"/>
                <w:iCs w:val="1"/>
                <w:color w:val="auto"/>
                <w:w w:val="92"/>
              </w:rPr>
              <w:t>incorporated by reference to Exhibit 10.2 filed with</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the Registrant’s Annual Report on Form 10-K for the fiscal year ended January 31, 2005</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2"/>
              </w:rPr>
              <w:t>Registrant’s 1998 Employee Qualified Stock Purchase Plan Form of Agreement (non-U.S. Employees) (</w:t>
            </w:r>
            <w:r>
              <w:rPr>
                <w:rFonts w:ascii="Arial" w:cs="Arial" w:eastAsia="Arial" w:hAnsi="Arial"/>
                <w:sz w:val="18"/>
                <w:szCs w:val="18"/>
                <w:i w:val="1"/>
                <w:iCs w:val="1"/>
                <w:color w:val="auto"/>
                <w:w w:val="92"/>
              </w:rPr>
              <w:t>incorporated by reference to</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Exhibit 10.5 filed with the Registrant’s Annual Report on Form 10-K for the fiscal year ended January 31, 2009</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3"/>
              </w:rPr>
              <w:t>Registrant’s 2000 Directors’ Option Plan, as amended (</w:t>
            </w:r>
            <w:r>
              <w:rPr>
                <w:rFonts w:ascii="Arial" w:cs="Arial" w:eastAsia="Arial" w:hAnsi="Arial"/>
                <w:sz w:val="18"/>
                <w:szCs w:val="18"/>
                <w:i w:val="1"/>
                <w:iCs w:val="1"/>
                <w:color w:val="auto"/>
                <w:w w:val="93"/>
              </w:rPr>
              <w:t>incorporated by reference to Exhibit 10.2 filed with the Registrant’s Current</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Report on Form 8-K filed on June 18, 2008</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3"/>
              </w:rPr>
              <w:t>Registrant’s 2000 Directors’ Option Plan Forms of Agreements (</w:t>
            </w:r>
            <w:r>
              <w:rPr>
                <w:rFonts w:ascii="Arial" w:cs="Arial" w:eastAsia="Arial" w:hAnsi="Arial"/>
                <w:sz w:val="18"/>
                <w:szCs w:val="18"/>
                <w:i w:val="1"/>
                <w:iCs w:val="1"/>
                <w:color w:val="auto"/>
                <w:w w:val="93"/>
              </w:rPr>
              <w:t>incorporated by reference to Exhibit 10.2 filed with the Registrant’s</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2"/>
              </w:rPr>
              <w:t>Registrant’s 2006 Employee Stock Plan (</w:t>
            </w:r>
            <w:r>
              <w:rPr>
                <w:rFonts w:ascii="Arial" w:cs="Arial" w:eastAsia="Arial" w:hAnsi="Arial"/>
                <w:sz w:val="18"/>
                <w:szCs w:val="18"/>
                <w:i w:val="1"/>
                <w:iCs w:val="1"/>
                <w:color w:val="auto"/>
                <w:w w:val="92"/>
              </w:rPr>
              <w:t>incorporated by reference to Exhibit 10.2 filed with the Registrant’s Current Report on Form</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8-K filed on November 15, 2005</w:t>
            </w:r>
            <w:r>
              <w:rPr>
                <w:rFonts w:ascii="Arial" w:cs="Arial" w:eastAsia="Arial" w:hAnsi="Arial"/>
                <w:sz w:val="18"/>
                <w:szCs w:val="18"/>
                <w:color w:val="auto"/>
              </w:rPr>
              <w:t>)</w:t>
            </w:r>
          </w:p>
        </w:tc>
      </w:tr>
      <w:tr>
        <w:trPr>
          <w:trHeight w:val="391"/>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4"/>
              </w:rPr>
              <w:t>Registrant’s 2006 Employee Stock Plan Forms of Agreement (</w:t>
            </w:r>
            <w:r>
              <w:rPr>
                <w:rFonts w:ascii="Arial" w:cs="Arial" w:eastAsia="Arial" w:hAnsi="Arial"/>
                <w:sz w:val="18"/>
                <w:szCs w:val="18"/>
                <w:i w:val="1"/>
                <w:iCs w:val="1"/>
                <w:color w:val="auto"/>
                <w:w w:val="94"/>
              </w:rPr>
              <w:t>incorporated by reference to Exhibit 10.8 filed with the Registrant’s</w:t>
            </w:r>
          </w:p>
        </w:tc>
      </w:tr>
      <w:tr>
        <w:trPr>
          <w:trHeight w:val="216"/>
        </w:trPr>
        <w:tc>
          <w:tcPr>
            <w:tcW w:w="700" w:type="dxa"/>
            <w:vAlign w:val="bottom"/>
          </w:tcPr>
          <w:p>
            <w:pPr>
              <w:spacing w:after="0"/>
              <w:rPr>
                <w:sz w:val="18"/>
                <w:szCs w:val="18"/>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w w:val="91"/>
              </w:rPr>
              <w:t>Annual Report on Form 10-K for the fiscal year ended January 31, 2006 and Exhibit 10.1 filed with the Registrant’s Current Report on</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Form 8-K filed on June 20, 2007</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0"/>
              </w:rPr>
              <w:t>Registrant’s 2008 Employee Stock Plan, as amended and restated (</w:t>
            </w:r>
            <w:r>
              <w:rPr>
                <w:rFonts w:ascii="Arial" w:cs="Arial" w:eastAsia="Arial" w:hAnsi="Arial"/>
                <w:sz w:val="18"/>
                <w:szCs w:val="18"/>
                <w:i w:val="1"/>
                <w:iCs w:val="1"/>
                <w:color w:val="auto"/>
                <w:w w:val="90"/>
              </w:rPr>
              <w:t>incorporated by reference to Exhibit 10.2 filed with the Registrant’s</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Quarterly Report on Form 10-Q for the fiscal quarter ended July 31, 2010)</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4"/>
              </w:rPr>
              <w:t>Registrant’s 2008 Employee Stock Plan Forms of Agreement (</w:t>
            </w:r>
            <w:r>
              <w:rPr>
                <w:rFonts w:ascii="Arial" w:cs="Arial" w:eastAsia="Arial" w:hAnsi="Arial"/>
                <w:sz w:val="18"/>
                <w:szCs w:val="18"/>
                <w:i w:val="1"/>
                <w:iCs w:val="1"/>
                <w:color w:val="auto"/>
                <w:w w:val="94"/>
              </w:rPr>
              <w:t>incorporated by reference to Exhibit 10.1 filed with the Registrant’s</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Quarterly Report on Form 10-Q for the fiscal quarter ended April 30, 2008</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5"/>
              </w:rPr>
              <w:t>Registrant’s 2008 Employee Stock Plan Form of Agreement (</w:t>
            </w:r>
            <w:r>
              <w:rPr>
                <w:rFonts w:ascii="Arial" w:cs="Arial" w:eastAsia="Arial" w:hAnsi="Arial"/>
                <w:sz w:val="18"/>
                <w:szCs w:val="18"/>
                <w:i w:val="1"/>
                <w:iCs w:val="1"/>
                <w:color w:val="auto"/>
                <w:w w:val="95"/>
              </w:rPr>
              <w:t>incorporated by reference to Exhibit 10.1 filed with the Registrant’s</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Current Report on Form 8-K filed on February 6, 2009</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3"/>
              </w:rPr>
              <w:t>Registrant’s 2008 Employee Stock Plan Forms of Restricted Stock Unit Agreements (</w:t>
            </w:r>
            <w:r>
              <w:rPr>
                <w:rFonts w:ascii="Arial" w:cs="Arial" w:eastAsia="Arial" w:hAnsi="Arial"/>
                <w:sz w:val="18"/>
                <w:szCs w:val="18"/>
                <w:i w:val="1"/>
                <w:iCs w:val="1"/>
                <w:color w:val="auto"/>
                <w:w w:val="93"/>
              </w:rPr>
              <w:t>incorporated by reference to Exhibit 10.2 filed</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with the Registrant’s Current Report on Form 8-K filed on June 18, 2008</w:t>
            </w:r>
            <w:r>
              <w:rPr>
                <w:rFonts w:ascii="Arial" w:cs="Arial" w:eastAsia="Arial" w:hAnsi="Arial"/>
                <w:sz w:val="18"/>
                <w:szCs w:val="18"/>
                <w:color w:val="auto"/>
              </w:rPr>
              <w:t>)</w:t>
            </w:r>
          </w:p>
        </w:tc>
      </w:tr>
      <w:tr>
        <w:trPr>
          <w:trHeight w:val="391"/>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w w:val="92"/>
              </w:rPr>
              <w:t>Registrant’s 2008 Employee Stock Plan Forms of Agreement (non-U.S. Employees) (</w:t>
            </w:r>
            <w:r>
              <w:rPr>
                <w:rFonts w:ascii="Arial" w:cs="Arial" w:eastAsia="Arial" w:hAnsi="Arial"/>
                <w:sz w:val="18"/>
                <w:szCs w:val="18"/>
                <w:i w:val="1"/>
                <w:iCs w:val="1"/>
                <w:color w:val="auto"/>
                <w:w w:val="92"/>
              </w:rPr>
              <w:t>incorporated by reference to Exhibit 10.14 filed</w:t>
            </w:r>
          </w:p>
        </w:tc>
      </w:tr>
      <w:tr>
        <w:trPr>
          <w:trHeight w:val="230"/>
        </w:trPr>
        <w:tc>
          <w:tcPr>
            <w:tcW w:w="700" w:type="dxa"/>
            <w:vAlign w:val="bottom"/>
          </w:tcPr>
          <w:p>
            <w:pPr>
              <w:spacing w:after="0"/>
              <w:rPr>
                <w:sz w:val="20"/>
                <w:szCs w:val="20"/>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i w:val="1"/>
                <w:iCs w:val="1"/>
                <w:color w:val="auto"/>
              </w:rPr>
              <w:t>with the Registrant’s Annual Report on Form 10-K for the fiscal year ended January 31, 2009</w:t>
            </w: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380"/>
          </w:cols>
          <w:pgMar w:left="240" w:top="125" w:right="2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Exhibit No.</w:t>
            </w:r>
          </w:p>
        </w:tc>
        <w:tc>
          <w:tcPr>
            <w:tcW w:w="480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63"/>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280" w:type="dxa"/>
            <w:vAlign w:val="bottom"/>
          </w:tcPr>
          <w:p>
            <w:pPr>
              <w:spacing w:after="0"/>
              <w:rPr>
                <w:sz w:val="22"/>
                <w:szCs w:val="22"/>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Registrant's 2012 Employee Stock Plan (</w:t>
            </w:r>
            <w:r>
              <w:rPr>
                <w:rFonts w:ascii="Arial" w:cs="Arial" w:eastAsia="Arial" w:hAnsi="Arial"/>
                <w:sz w:val="18"/>
                <w:szCs w:val="18"/>
                <w:i w:val="1"/>
                <w:iCs w:val="1"/>
                <w:color w:val="auto"/>
                <w:w w:val="92"/>
              </w:rPr>
              <w:t>incorporated by reference to Exhibit 10.1 filed with the Registrant's Current Report on Form</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8-K filed on January 6, 2012</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1"/>
              </w:rPr>
              <w:t>Registrant's 2012 Employee Stock Plan Form of Restricted Stock Unit Agreement (</w:t>
            </w:r>
            <w:r>
              <w:rPr>
                <w:rFonts w:ascii="Arial" w:cs="Arial" w:eastAsia="Arial" w:hAnsi="Arial"/>
                <w:sz w:val="18"/>
                <w:szCs w:val="18"/>
                <w:i w:val="1"/>
                <w:iCs w:val="1"/>
                <w:color w:val="auto"/>
                <w:w w:val="91"/>
              </w:rPr>
              <w:t>incorporated by reference to Exhibit 10.3 filed with</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the Registrant's Current Report on Form 8-K filed on March 13, 2012</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4"/>
              </w:rPr>
              <w:t>Registrant's 2012 Employee Stock Plan Form of Stock Option Agreement (</w:t>
            </w:r>
            <w:r>
              <w:rPr>
                <w:rFonts w:ascii="Arial" w:cs="Arial" w:eastAsia="Arial" w:hAnsi="Arial"/>
                <w:sz w:val="18"/>
                <w:szCs w:val="18"/>
                <w:i w:val="1"/>
                <w:iCs w:val="1"/>
                <w:color w:val="auto"/>
                <w:w w:val="94"/>
              </w:rPr>
              <w:t>incorporated by reference to Exhibit 10.2 filed with the</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Registrant's Current Report on Form 8-K filed on March 13, 2012)</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1"/>
              </w:rPr>
              <w:t xml:space="preserve">Registrant's 2012 Employee Stock Plan Form of Stock Option Agreement (non-U.S. Employees) </w:t>
            </w:r>
            <w:r>
              <w:rPr>
                <w:rFonts w:ascii="Arial" w:cs="Arial" w:eastAsia="Arial" w:hAnsi="Arial"/>
                <w:sz w:val="18"/>
                <w:szCs w:val="18"/>
                <w:i w:val="1"/>
                <w:iCs w:val="1"/>
                <w:color w:val="auto"/>
                <w:w w:val="91"/>
              </w:rPr>
              <w:t>(incorporated by reference to Exhibit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10.4 filed with the Registrant's Current Report on Form 8-K filed on March 13, 2012)</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3"/>
              </w:rPr>
              <w:t>Text of amendment to certain stock option agreements (</w:t>
            </w:r>
            <w:r>
              <w:rPr>
                <w:rFonts w:ascii="Arial" w:cs="Arial" w:eastAsia="Arial" w:hAnsi="Arial"/>
                <w:sz w:val="18"/>
                <w:szCs w:val="18"/>
                <w:i w:val="1"/>
                <w:iCs w:val="1"/>
                <w:color w:val="auto"/>
                <w:w w:val="93"/>
              </w:rPr>
              <w:t>incorporated by reference to Exhibit 10.1 filed with the Registrant’s Current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Report on Form 8-K filed on September 22, 2006</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1"/>
              </w:rPr>
              <w:t>Amendments to certain stock option agreements (</w:t>
            </w:r>
            <w:r>
              <w:rPr>
                <w:rFonts w:ascii="Arial" w:cs="Arial" w:eastAsia="Arial" w:hAnsi="Arial"/>
                <w:sz w:val="18"/>
                <w:szCs w:val="18"/>
                <w:i w:val="1"/>
                <w:iCs w:val="1"/>
                <w:color w:val="auto"/>
                <w:w w:val="91"/>
              </w:rPr>
              <w:t>incorporated by reference to Exhibit 10.16 filed with the Registrant’s Annual Report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on Form 10-K for the fiscal year ended January 31, 2009</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Registrant’s 2010 Outside Directors’ Stock Plan (</w:t>
            </w:r>
            <w:r>
              <w:rPr>
                <w:rFonts w:ascii="Arial" w:cs="Arial" w:eastAsia="Arial" w:hAnsi="Arial"/>
                <w:sz w:val="18"/>
                <w:szCs w:val="18"/>
                <w:i w:val="1"/>
                <w:iCs w:val="1"/>
                <w:color w:val="auto"/>
                <w:w w:val="92"/>
              </w:rPr>
              <w:t>incorporated by reference to Exhibit 10.1 filed with the Registrant’s Current Report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on Form 8-K filed on June 16, 2009</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3"/>
              </w:rPr>
              <w:t>Autodesk, Inc. 2010 Outside Directors’ Stock Plan Form of Stock Option Agreement (</w:t>
            </w:r>
            <w:r>
              <w:rPr>
                <w:rFonts w:ascii="Arial" w:cs="Arial" w:eastAsia="Arial" w:hAnsi="Arial"/>
                <w:sz w:val="18"/>
                <w:szCs w:val="18"/>
                <w:i w:val="1"/>
                <w:iCs w:val="1"/>
                <w:color w:val="auto"/>
                <w:w w:val="93"/>
              </w:rPr>
              <w:t>incorporated by reference to Exhibit 10.1 filed</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with the Registrant’s Current Report on Form 8-K filed on March 31, 2010</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8"/>
              </w:rPr>
              <w:t>Autodesk, Inc. 2010 Outside Directors’ Stock Plan Form of Restricted Stock Award Agreement (</w:t>
            </w:r>
            <w:r>
              <w:rPr>
                <w:rFonts w:ascii="Arial" w:cs="Arial" w:eastAsia="Arial" w:hAnsi="Arial"/>
                <w:sz w:val="18"/>
                <w:szCs w:val="18"/>
                <w:i w:val="1"/>
                <w:iCs w:val="1"/>
                <w:color w:val="auto"/>
                <w:w w:val="98"/>
              </w:rPr>
              <w:t>incorporated by reference to</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Exhibit 10.2 filed with the Registrant’s Current Report on Form 8-K filed on March 31, 2010</w:t>
            </w:r>
            <w:r>
              <w:rPr>
                <w:rFonts w:ascii="Arial" w:cs="Arial" w:eastAsia="Arial" w:hAnsi="Arial"/>
                <w:sz w:val="18"/>
                <w:szCs w:val="18"/>
                <w:color w:val="auto"/>
              </w:rPr>
              <w:t>)</w:t>
            </w:r>
          </w:p>
        </w:tc>
      </w:tr>
      <w:tr>
        <w:trPr>
          <w:trHeight w:val="391"/>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3"/>
              </w:rPr>
              <w:t>Registrant's 2012 Outside Directors' Stock Plan (</w:t>
            </w:r>
            <w:r>
              <w:rPr>
                <w:rFonts w:ascii="Arial" w:cs="Arial" w:eastAsia="Arial" w:hAnsi="Arial"/>
                <w:sz w:val="18"/>
                <w:szCs w:val="18"/>
                <w:i w:val="1"/>
                <w:iCs w:val="1"/>
                <w:color w:val="auto"/>
                <w:w w:val="93"/>
              </w:rPr>
              <w:t>incorporated by reference to Exhibit 10.2 filed with the Registrant's Current Report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on Form 8-K filed on January 6, 2012</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 xml:space="preserve">Registrant's 2012 Outside Directors' Stock Plan Form of Restricted Stock Unit Agreement </w:t>
            </w:r>
            <w:r>
              <w:rPr>
                <w:rFonts w:ascii="Arial" w:cs="Arial" w:eastAsia="Arial" w:hAnsi="Arial"/>
                <w:sz w:val="18"/>
                <w:szCs w:val="18"/>
                <w:i w:val="1"/>
                <w:iCs w:val="1"/>
                <w:color w:val="auto"/>
                <w:w w:val="92"/>
              </w:rPr>
              <w:t>(incorporated by reference to Exhibit 10.5</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filed with the Registrant's Current Report on Form 8-K filed on March 13, 2012)</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3"/>
              </w:rPr>
              <w:t>Form of Promise to Make Cash Payment and Option Amendment (U.S. Employees) (</w:t>
            </w:r>
            <w:r>
              <w:rPr>
                <w:rFonts w:ascii="Arial" w:cs="Arial" w:eastAsia="Arial" w:hAnsi="Arial"/>
                <w:sz w:val="18"/>
                <w:szCs w:val="18"/>
                <w:i w:val="1"/>
                <w:iCs w:val="1"/>
                <w:color w:val="auto"/>
                <w:w w:val="93"/>
              </w:rPr>
              <w:t>incorporated by reference to Exhibit 99.1 filed</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with the Registrant’s Current Report on Form 8-K filed on July 27, 2007</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Form of Promise to Make Cash Payment and Option Amendment (Canadian Employees) (</w:t>
            </w:r>
            <w:r>
              <w:rPr>
                <w:rFonts w:ascii="Arial" w:cs="Arial" w:eastAsia="Arial" w:hAnsi="Arial"/>
                <w:sz w:val="18"/>
                <w:szCs w:val="18"/>
                <w:i w:val="1"/>
                <w:iCs w:val="1"/>
                <w:color w:val="auto"/>
                <w:w w:val="92"/>
              </w:rPr>
              <w:t>incorporated by reference to Exhibit 99.2</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filed with the Registrant’s Current Report on Form 8-K filed on July 27, 2007</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Registrant’s Executive Incentive Plan, as amended and restated (</w:t>
            </w:r>
            <w:r>
              <w:rPr>
                <w:rFonts w:ascii="Arial" w:cs="Arial" w:eastAsia="Arial" w:hAnsi="Arial"/>
                <w:sz w:val="18"/>
                <w:szCs w:val="18"/>
                <w:i w:val="1"/>
                <w:iCs w:val="1"/>
                <w:color w:val="auto"/>
                <w:w w:val="92"/>
              </w:rPr>
              <w:t>incorporated by reference to Exhibit 10.1 filed with the Registrant’s</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Current Report on Form 8-K filed on June 14, 2010</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Registrant’s 2005 Non-Qualified Deferred Compensation Plan, as amended and restated, effective as of January 1, 2008, as further</w:t>
            </w:r>
          </w:p>
        </w:tc>
      </w:tr>
      <w:tr>
        <w:trPr>
          <w:trHeight w:val="216"/>
        </w:trPr>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7"/>
              </w:rPr>
              <w:t>amended and restated, effective as of December 31, 2008, as further amended and restated, effective as of January 1, 2010</w:t>
            </w:r>
          </w:p>
        </w:tc>
      </w:tr>
      <w:tr>
        <w:trPr>
          <w:trHeight w:val="216"/>
        </w:trPr>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w w:val="96"/>
              </w:rPr>
              <w:t>(incorporated by reference to Exhibit 10.1 filed with the Registrant’s Quarterly Report on Form 10-Q for the fiscal quarter ended</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October 31, 2009)</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1"/>
              </w:rPr>
              <w:t>Participants, target awards and payout formulas for fiscal year 2012 under the Registrant’s Executive Incentive Plan (</w:t>
            </w:r>
            <w:r>
              <w:rPr>
                <w:rFonts w:ascii="Arial" w:cs="Arial" w:eastAsia="Arial" w:hAnsi="Arial"/>
                <w:sz w:val="18"/>
                <w:szCs w:val="18"/>
                <w:i w:val="1"/>
                <w:iCs w:val="1"/>
                <w:color w:val="auto"/>
                <w:w w:val="91"/>
              </w:rPr>
              <w:t>incorporated by</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March 29, 2011</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1"/>
              </w:rPr>
              <w:t>Executive Change in Control Program, as amended and restated (</w:t>
            </w:r>
            <w:r>
              <w:rPr>
                <w:rFonts w:ascii="Arial" w:cs="Arial" w:eastAsia="Arial" w:hAnsi="Arial"/>
                <w:sz w:val="18"/>
                <w:szCs w:val="18"/>
                <w:i w:val="1"/>
                <w:iCs w:val="1"/>
                <w:color w:val="auto"/>
                <w:w w:val="91"/>
              </w:rPr>
              <w:t>incorporated by reference to Exhibit 10.1 filed with the Registrant’s</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Current report on Form 8-K filed on December 15, 2010</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Description of annual cash compensation paid to non-employee directors (</w:t>
            </w:r>
            <w:r>
              <w:rPr>
                <w:rFonts w:ascii="Arial" w:cs="Arial" w:eastAsia="Arial" w:hAnsi="Arial"/>
                <w:sz w:val="18"/>
                <w:szCs w:val="18"/>
                <w:i w:val="1"/>
                <w:iCs w:val="1"/>
                <w:color w:val="auto"/>
                <w:w w:val="92"/>
              </w:rPr>
              <w:t>incorporated by reference to Item 1.01 of the Registrant’s</w:t>
            </w:r>
          </w:p>
        </w:tc>
      </w:tr>
      <w:tr>
        <w:trPr>
          <w:trHeight w:val="216"/>
        </w:trPr>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w w:val="92"/>
              </w:rPr>
              <w:t>Current Report on Form 8-K filed on June 14, 2006 and Item 5.02 of the Registrant’s Current Report on Form 8-K filed on March 18,</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i w:val="1"/>
                <w:iCs w:val="1"/>
                <w:color w:val="auto"/>
              </w:rPr>
              <w:t>2009</w:t>
            </w: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2"/>
              </w:rPr>
              <w:t>Form of Indemnification Agreement executed by Autodesk and each of its officers and directors (</w:t>
            </w:r>
            <w:r>
              <w:rPr>
                <w:rFonts w:ascii="Arial" w:cs="Arial" w:eastAsia="Arial" w:hAnsi="Arial"/>
                <w:sz w:val="18"/>
                <w:szCs w:val="18"/>
                <w:i w:val="1"/>
                <w:iCs w:val="1"/>
                <w:color w:val="auto"/>
                <w:w w:val="92"/>
              </w:rPr>
              <w:t>incorporated by reference to Exhibit</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10.8 filed with the Registrant’s Annual Report on Form 10-K for the fiscal year ended January 31, 2005</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3"/>
              </w:rPr>
              <w:t>Second Amended and Restated Employment Agreement between Registrant and Carl Bass dated March 8, 2012 (</w:t>
            </w:r>
            <w:r>
              <w:rPr>
                <w:rFonts w:ascii="Arial" w:cs="Arial" w:eastAsia="Arial" w:hAnsi="Arial"/>
                <w:sz w:val="18"/>
                <w:szCs w:val="18"/>
                <w:i w:val="1"/>
                <w:iCs w:val="1"/>
                <w:color w:val="auto"/>
                <w:w w:val="93"/>
              </w:rPr>
              <w:t>incorporated by</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reference to Exhibit 10.1 filed with the Registrant’s Current Report on Form 8-K filed on March 13, 2012</w:t>
            </w:r>
            <w:r>
              <w:rPr>
                <w:rFonts w:ascii="Arial" w:cs="Arial" w:eastAsia="Arial" w:hAnsi="Arial"/>
                <w:sz w:val="18"/>
                <w:szCs w:val="18"/>
                <w:color w:val="auto"/>
              </w:rPr>
              <w:t>)</w:t>
            </w:r>
          </w:p>
        </w:tc>
      </w:tr>
      <w:tr>
        <w:trPr>
          <w:trHeight w:val="377"/>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10.35*</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w w:val="97"/>
              </w:rPr>
              <w:t>Relocation Policy Addendum for Mark Hawkins (</w:t>
            </w:r>
            <w:r>
              <w:rPr>
                <w:rFonts w:ascii="Arial" w:cs="Arial" w:eastAsia="Arial" w:hAnsi="Arial"/>
                <w:sz w:val="18"/>
                <w:szCs w:val="18"/>
                <w:i w:val="1"/>
                <w:iCs w:val="1"/>
                <w:color w:val="auto"/>
                <w:w w:val="97"/>
              </w:rPr>
              <w:t>incorporated by reference to Exhibit 10.1 filed with the Registrant's Quarterly</w:t>
            </w:r>
          </w:p>
        </w:tc>
      </w:tr>
      <w:tr>
        <w:trPr>
          <w:trHeight w:val="230"/>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8"/>
                <w:szCs w:val="18"/>
                <w:i w:val="1"/>
                <w:iCs w:val="1"/>
                <w:color w:val="auto"/>
              </w:rPr>
              <w:t>Report on Form 10-Q for the fiscal quarter ended October 21, 2011</w:t>
            </w: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63"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89</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474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71"/>
        </w:trPr>
        <w:tc>
          <w:tcPr>
            <w:tcW w:w="100" w:type="dxa"/>
            <w:vAlign w:val="bottom"/>
          </w:tcPr>
          <w:p>
            <w:pPr>
              <w:spacing w:after="0"/>
              <w:rPr>
                <w:sz w:val="24"/>
                <w:szCs w:val="24"/>
                <w:color w:val="auto"/>
              </w:rPr>
            </w:pPr>
          </w:p>
        </w:tc>
        <w:tc>
          <w:tcPr>
            <w:tcW w:w="700" w:type="dxa"/>
            <w:vAlign w:val="bottom"/>
          </w:tcPr>
          <w:p>
            <w:pPr>
              <w:jc w:val="center"/>
              <w:ind w:left="76"/>
              <w:spacing w:after="0"/>
              <w:rPr>
                <w:sz w:val="20"/>
                <w:szCs w:val="20"/>
                <w:color w:val="auto"/>
              </w:rPr>
            </w:pPr>
            <w:r>
              <w:rPr>
                <w:rFonts w:ascii="Arial" w:cs="Arial" w:eastAsia="Arial" w:hAnsi="Arial"/>
                <w:sz w:val="18"/>
                <w:szCs w:val="18"/>
                <w:color w:val="auto"/>
                <w:w w:val="95"/>
              </w:rPr>
              <w:t>10.36*</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w w:val="90"/>
              </w:rPr>
              <w:t>Registrant’s Equity Incentive Deferral Plan as amended and restated effective as of June 12, 2008 (</w:t>
            </w:r>
            <w:r>
              <w:rPr>
                <w:rFonts w:ascii="Arial" w:cs="Arial" w:eastAsia="Arial" w:hAnsi="Arial"/>
                <w:sz w:val="18"/>
                <w:szCs w:val="18"/>
                <w:i w:val="1"/>
                <w:iCs w:val="1"/>
                <w:color w:val="auto"/>
                <w:w w:val="90"/>
              </w:rPr>
              <w:t>incorporated by reference to Exhibit</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i w:val="1"/>
                <w:iCs w:val="1"/>
                <w:color w:val="auto"/>
              </w:rPr>
              <w:t>10.4 filed with the Registrant’s Quarterly Report on Form 10-Q for the fiscal quarter ended July 31, 2008</w:t>
            </w:r>
            <w:r>
              <w:rPr>
                <w:rFonts w:ascii="Arial" w:cs="Arial" w:eastAsia="Arial" w:hAnsi="Arial"/>
                <w:sz w:val="18"/>
                <w:szCs w:val="18"/>
                <w:color w:val="auto"/>
              </w:rPr>
              <w:t>)</w:t>
            </w:r>
          </w:p>
        </w:tc>
      </w:tr>
      <w:tr>
        <w:trPr>
          <w:trHeight w:val="392"/>
        </w:trPr>
        <w:tc>
          <w:tcPr>
            <w:tcW w:w="800" w:type="dxa"/>
            <w:vAlign w:val="bottom"/>
            <w:gridSpan w:val="2"/>
          </w:tcPr>
          <w:p>
            <w:pPr>
              <w:jc w:val="right"/>
              <w:ind w:right="16"/>
              <w:spacing w:after="0"/>
              <w:rPr>
                <w:sz w:val="20"/>
                <w:szCs w:val="20"/>
                <w:color w:val="auto"/>
              </w:rPr>
            </w:pPr>
            <w:r>
              <w:rPr>
                <w:rFonts w:ascii="Arial" w:cs="Arial" w:eastAsia="Arial" w:hAnsi="Arial"/>
                <w:sz w:val="18"/>
                <w:szCs w:val="18"/>
                <w:color w:val="auto"/>
              </w:rPr>
              <w:t>10.37*</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 xml:space="preserve">Amendment to Registrant's Equity Incentive Deferral Plan effective as of February 17, 2012 </w:t>
            </w:r>
            <w:r>
              <w:rPr>
                <w:rFonts w:ascii="Arial" w:cs="Arial" w:eastAsia="Arial" w:hAnsi="Arial"/>
                <w:sz w:val="18"/>
                <w:szCs w:val="18"/>
                <w:i w:val="1"/>
                <w:iCs w:val="1"/>
                <w:color w:val="auto"/>
              </w:rPr>
              <w:t>(filed herewith)</w:t>
            </w:r>
          </w:p>
        </w:tc>
      </w:tr>
      <w:tr>
        <w:trPr>
          <w:trHeight w:val="377"/>
        </w:trPr>
        <w:tc>
          <w:tcPr>
            <w:tcW w:w="800" w:type="dxa"/>
            <w:vAlign w:val="bottom"/>
            <w:gridSpan w:val="2"/>
          </w:tcPr>
          <w:p>
            <w:pPr>
              <w:jc w:val="right"/>
              <w:ind w:right="56"/>
              <w:spacing w:after="0"/>
              <w:rPr>
                <w:sz w:val="20"/>
                <w:szCs w:val="20"/>
                <w:color w:val="auto"/>
              </w:rPr>
            </w:pPr>
            <w:r>
              <w:rPr>
                <w:rFonts w:ascii="Arial" w:cs="Arial" w:eastAsia="Arial" w:hAnsi="Arial"/>
                <w:sz w:val="18"/>
                <w:szCs w:val="18"/>
                <w:color w:val="auto"/>
              </w:rPr>
              <w:t>10.38</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w w:val="96"/>
              </w:rPr>
              <w:t>Office Lease between Registrant and the J.H.S. Trust for 111 McInnis Parkway, San Rafael, CA, as amended (</w:t>
            </w:r>
            <w:r>
              <w:rPr>
                <w:rFonts w:ascii="Arial" w:cs="Arial" w:eastAsia="Arial" w:hAnsi="Arial"/>
                <w:sz w:val="18"/>
                <w:szCs w:val="18"/>
                <w:i w:val="1"/>
                <w:iCs w:val="1"/>
                <w:color w:val="auto"/>
                <w:w w:val="96"/>
              </w:rPr>
              <w:t>incorporated by</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i w:val="1"/>
                <w:iCs w:val="1"/>
                <w:color w:val="auto"/>
                <w:w w:val="94"/>
              </w:rPr>
              <w:t>reference to Exhibit 10.1 filed with the Registrant’s Quarterly Report on Form 10-Q for the fiscal quarter ended October 31, 2004</w:t>
            </w:r>
            <w:r>
              <w:rPr>
                <w:rFonts w:ascii="Arial" w:cs="Arial" w:eastAsia="Arial" w:hAnsi="Arial"/>
                <w:sz w:val="18"/>
                <w:szCs w:val="18"/>
                <w:color w:val="auto"/>
                <w:w w:val="94"/>
              </w:rPr>
              <w:t>)</w:t>
            </w:r>
          </w:p>
        </w:tc>
      </w:tr>
      <w:tr>
        <w:trPr>
          <w:trHeight w:val="377"/>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10.39</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w w:val="91"/>
              </w:rPr>
              <w:t xml:space="preserve">Fourth Amendment to Lease between Registrant and the J.H.S. Holdings L.P. for 111 McInnis Parkway, San Rafael, CA </w:t>
            </w:r>
            <w:r>
              <w:rPr>
                <w:rFonts w:ascii="Arial" w:cs="Arial" w:eastAsia="Arial" w:hAnsi="Arial"/>
                <w:sz w:val="18"/>
                <w:szCs w:val="18"/>
                <w:i w:val="1"/>
                <w:iCs w:val="1"/>
                <w:color w:val="auto"/>
                <w:w w:val="91"/>
              </w:rPr>
              <w:t>(incorporated</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3"/>
          </w:tcPr>
          <w:p>
            <w:pPr>
              <w:ind w:left="220"/>
              <w:spacing w:after="0" w:line="207" w:lineRule="exact"/>
              <w:rPr>
                <w:sz w:val="20"/>
                <w:szCs w:val="20"/>
                <w:color w:val="auto"/>
              </w:rPr>
            </w:pPr>
            <w:r>
              <w:rPr>
                <w:rFonts w:ascii="Arial" w:cs="Arial" w:eastAsia="Arial" w:hAnsi="Arial"/>
                <w:sz w:val="18"/>
                <w:szCs w:val="18"/>
                <w:i w:val="1"/>
                <w:iCs w:val="1"/>
                <w:color w:val="auto"/>
                <w:w w:val="96"/>
              </w:rPr>
              <w:t>by reference to Exhibit 10.3 filed with the Registrant’s Annual Report on Form 10</w:t>
            </w:r>
            <w:r>
              <w:rPr>
                <w:rFonts w:ascii="MS PGothic" w:cs="MS PGothic" w:eastAsia="MS PGothic" w:hAnsi="MS PGothic"/>
                <w:sz w:val="18"/>
                <w:szCs w:val="18"/>
                <w:i w:val="1"/>
                <w:iCs w:val="1"/>
                <w:color w:val="auto"/>
                <w:w w:val="96"/>
              </w:rPr>
              <w:t>‑</w:t>
            </w:r>
            <w:r>
              <w:rPr>
                <w:rFonts w:ascii="Arial" w:cs="Arial" w:eastAsia="Arial" w:hAnsi="Arial"/>
                <w:sz w:val="18"/>
                <w:szCs w:val="18"/>
                <w:i w:val="1"/>
                <w:iCs w:val="1"/>
                <w:color w:val="auto"/>
                <w:w w:val="96"/>
              </w:rPr>
              <w:t>K for the fiscal year ended January 31, 2010)</w:t>
            </w:r>
          </w:p>
        </w:tc>
      </w:tr>
      <w:tr>
        <w:trPr>
          <w:trHeight w:val="377"/>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10.40</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w w:val="92"/>
              </w:rPr>
              <w:t>Credit Agreement between Registrant and CITIBANK, N.A. dated as of May 26, 2011 (</w:t>
            </w:r>
            <w:r>
              <w:rPr>
                <w:rFonts w:ascii="Arial" w:cs="Arial" w:eastAsia="Arial" w:hAnsi="Arial"/>
                <w:sz w:val="18"/>
                <w:szCs w:val="18"/>
                <w:i w:val="1"/>
                <w:iCs w:val="1"/>
                <w:color w:val="auto"/>
                <w:w w:val="92"/>
              </w:rPr>
              <w:t>incorporated by reference to Exhibit 10.1 filed</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i w:val="1"/>
                <w:iCs w:val="1"/>
                <w:color w:val="auto"/>
              </w:rPr>
              <w:t>with the Registrant’s Current Report on Form 8-K filed on May 27, 2011</w:t>
            </w:r>
            <w:r>
              <w:rPr>
                <w:rFonts w:ascii="Arial" w:cs="Arial" w:eastAsia="Arial" w:hAnsi="Arial"/>
                <w:sz w:val="18"/>
                <w:szCs w:val="18"/>
                <w:color w:val="auto"/>
              </w:rPr>
              <w:t>)</w:t>
            </w:r>
          </w:p>
        </w:tc>
      </w:tr>
      <w:tr>
        <w:trPr>
          <w:trHeight w:val="392"/>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21.1</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 xml:space="preserve">List of Subsidiaries </w:t>
            </w:r>
            <w:r>
              <w:rPr>
                <w:rFonts w:ascii="Arial" w:cs="Arial" w:eastAsia="Arial" w:hAnsi="Arial"/>
                <w:sz w:val="18"/>
                <w:szCs w:val="18"/>
                <w:i w:val="1"/>
                <w:iCs w:val="1"/>
                <w:color w:val="auto"/>
              </w:rPr>
              <w:t>(filed herewith)</w:t>
            </w:r>
          </w:p>
        </w:tc>
      </w:tr>
      <w:tr>
        <w:trPr>
          <w:trHeight w:val="392"/>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 xml:space="preserve">Consent of Independent Registered Public Accounting Firm (Ernst &amp; Young LLP) </w:t>
            </w:r>
            <w:r>
              <w:rPr>
                <w:rFonts w:ascii="Arial" w:cs="Arial" w:eastAsia="Arial" w:hAnsi="Arial"/>
                <w:sz w:val="18"/>
                <w:szCs w:val="18"/>
                <w:i w:val="1"/>
                <w:iCs w:val="1"/>
                <w:color w:val="auto"/>
              </w:rPr>
              <w:t>(filed herewith)</w:t>
            </w:r>
          </w:p>
        </w:tc>
      </w:tr>
      <w:tr>
        <w:trPr>
          <w:trHeight w:val="392"/>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24.1</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Power of Attorney (contained in the signature page to this Annual Report)</w:t>
            </w:r>
          </w:p>
        </w:tc>
      </w:tr>
      <w:tr>
        <w:trPr>
          <w:trHeight w:val="392"/>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r>
      <w:tr>
        <w:trPr>
          <w:trHeight w:val="392"/>
        </w:trPr>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r>
      <w:tr>
        <w:trPr>
          <w:trHeight w:val="377"/>
        </w:trPr>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32.1†</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 xml:space="preserve">Section 906 of the Sarbanes-Oxley Act of 2002 </w:t>
            </w:r>
            <w:r>
              <w:rPr>
                <w:rFonts w:ascii="Arial" w:cs="Arial" w:eastAsia="Arial" w:hAnsi="Arial"/>
                <w:sz w:val="18"/>
                <w:szCs w:val="18"/>
                <w:i w:val="1"/>
                <w:iCs w:val="1"/>
                <w:color w:val="auto"/>
              </w:rPr>
              <w:t>(filed herewith)</w:t>
            </w:r>
          </w:p>
        </w:tc>
      </w:tr>
      <w:tr>
        <w:trPr>
          <w:trHeight w:val="392"/>
        </w:trPr>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101.INS ††</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101.SCH ††</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101.CAL ††</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101.DEF ††</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101.LAB ††</w:t>
            </w:r>
          </w:p>
        </w:tc>
        <w:tc>
          <w:tcPr>
            <w:tcW w:w="996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bl>
    <w:p>
      <w:pPr>
        <w:spacing w:after="0" w:line="161"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9"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not deemed filed with the Securities and Exchange</w:t>
      </w:r>
    </w:p>
    <w:p>
      <w:pPr>
        <w:spacing w:after="0" w:line="32" w:lineRule="exact"/>
        <w:rPr>
          <w:sz w:val="20"/>
          <w:szCs w:val="20"/>
          <w:color w:val="auto"/>
        </w:rPr>
      </w:pPr>
    </w:p>
    <w:p>
      <w:pPr>
        <w:ind w:left="420"/>
        <w:spacing w:after="0" w:line="250" w:lineRule="auto"/>
        <w:rPr>
          <w:sz w:val="20"/>
          <w:szCs w:val="20"/>
          <w:color w:val="auto"/>
        </w:rPr>
      </w:pPr>
      <w:r>
        <w:rPr>
          <w:rFonts w:ascii="Arial" w:cs="Arial" w:eastAsia="Arial" w:hAnsi="Arial"/>
          <w:sz w:val="18"/>
          <w:szCs w:val="18"/>
          <w:color w:val="auto"/>
        </w:rPr>
        <w:t>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400"/>
          </w:cols>
          <w:pgMar w:left="240" w:top="125"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 EQUITY INCENTIVE DEFERRAL PLAN</w:t>
      </w:r>
    </w:p>
    <w:p>
      <w:pPr>
        <w:spacing w:after="0" w:line="229"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This amendment (the "</w:t>
      </w:r>
      <w:r>
        <w:rPr>
          <w:rFonts w:ascii="Arial" w:cs="Arial" w:eastAsia="Arial" w:hAnsi="Arial"/>
          <w:sz w:val="17"/>
          <w:szCs w:val="17"/>
          <w:u w:val="single" w:color="auto"/>
          <w:color w:val="auto"/>
        </w:rPr>
        <w:t>Amendment</w:t>
      </w:r>
      <w:r>
        <w:rPr>
          <w:rFonts w:ascii="Arial" w:cs="Arial" w:eastAsia="Arial" w:hAnsi="Arial"/>
          <w:sz w:val="17"/>
          <w:szCs w:val="17"/>
          <w:color w:val="auto"/>
        </w:rPr>
        <w:t>") to the Autodesk, Inc. Equity Incentive Deferral Plan (the "</w:t>
      </w:r>
      <w:r>
        <w:rPr>
          <w:rFonts w:ascii="Arial" w:cs="Arial" w:eastAsia="Arial" w:hAnsi="Arial"/>
          <w:sz w:val="17"/>
          <w:szCs w:val="17"/>
          <w:u w:val="single" w:color="auto"/>
          <w:color w:val="auto"/>
        </w:rPr>
        <w:t>Plan</w:t>
      </w:r>
      <w:r>
        <w:rPr>
          <w:rFonts w:ascii="Arial" w:cs="Arial" w:eastAsia="Arial" w:hAnsi="Arial"/>
          <w:sz w:val="17"/>
          <w:szCs w:val="17"/>
          <w:color w:val="auto"/>
        </w:rPr>
        <w:t>"), is made and entered into effective as of February 17, 2012. Capitalized terms used and not otherwise defined herein shall have the meanings ascribed to such terms in the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Compensation Committee of the Board of Directors of Autodesk, Inc. desires to amend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shall be amended as follows:</w:t>
      </w:r>
    </w:p>
    <w:p>
      <w:pPr>
        <w:spacing w:after="0" w:line="23"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 to Preamble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final two sentences of the second paragraph of the preamble to the Plan are hereby amended to read as follows:</w:t>
      </w:r>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Any Restricted Stock Units (or RSUs) awarded pursuant to the Deferral Plan shall be granted under the Company's 2008 Employee Stock Plan, 2012 Employee Stock Plan, or any other equity compensation plan approved by the Company's Stockholders (the plan covering any given RSU being referred to herein as the "</w:t>
      </w:r>
      <w:r>
        <w:rPr>
          <w:rFonts w:ascii="Arial" w:cs="Arial" w:eastAsia="Arial" w:hAnsi="Arial"/>
          <w:sz w:val="18"/>
          <w:szCs w:val="18"/>
          <w:u w:val="single" w:color="auto"/>
          <w:color w:val="auto"/>
        </w:rPr>
        <w:t>Plan</w:t>
      </w:r>
      <w:r>
        <w:rPr>
          <w:rFonts w:ascii="Arial" w:cs="Arial" w:eastAsia="Arial" w:hAnsi="Arial"/>
          <w:sz w:val="18"/>
          <w:szCs w:val="18"/>
          <w:color w:val="auto"/>
        </w:rPr>
        <w:t>" with respect to such RSU). Capitalized terms not otherwise defined in the Deferral Plan shall have the meanings given to them in the Plan.</w:t>
      </w:r>
    </w:p>
    <w:p>
      <w:pPr>
        <w:spacing w:after="0" w:line="18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on the Plan</w:t>
      </w:r>
      <w:r>
        <w:rPr>
          <w:rFonts w:ascii="Arial" w:cs="Arial" w:eastAsia="Arial" w:hAnsi="Arial"/>
          <w:sz w:val="18"/>
          <w:szCs w:val="18"/>
          <w:color w:val="auto"/>
        </w:rPr>
        <w:t>. Except as specifically amended by this Amendment, the Plan shall remain in full force and effect.</w:t>
      </w:r>
    </w:p>
    <w:p>
      <w:pPr>
        <w:spacing w:after="0" w:line="225" w:lineRule="exact"/>
        <w:rPr>
          <w:rFonts w:ascii="Arial" w:cs="Arial" w:eastAsia="Arial" w:hAnsi="Arial"/>
          <w:sz w:val="18"/>
          <w:szCs w:val="18"/>
          <w:color w:val="auto"/>
        </w:rPr>
      </w:pPr>
    </w:p>
    <w:p>
      <w:pPr>
        <w:ind w:right="20" w:firstLine="656"/>
        <w:spacing w:after="0" w:line="277" w:lineRule="auto"/>
        <w:tabs>
          <w:tab w:leader="none" w:pos="101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to sections herein are inserted for convenience of reference only and shall not be deemed to be a part of or to affect the meaning or interpretation of this Amendment.</w:t>
      </w:r>
    </w:p>
    <w:p>
      <w:pPr>
        <w:spacing w:after="0" w:line="170" w:lineRule="exact"/>
        <w:rPr>
          <w:rFonts w:ascii="Arial" w:cs="Arial" w:eastAsia="Arial" w:hAnsi="Arial"/>
          <w:sz w:val="18"/>
          <w:szCs w:val="18"/>
          <w:color w:val="auto"/>
        </w:rPr>
      </w:pPr>
    </w:p>
    <w:p>
      <w:pPr>
        <w:ind w:firstLine="656"/>
        <w:spacing w:after="0" w:line="277" w:lineRule="auto"/>
        <w:tabs>
          <w:tab w:leader="none" w:pos="10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according to the laws of the State of California without regard to its principles of conflict of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Amendment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7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8"/>
                <w:szCs w:val="18"/>
                <w:color w:val="auto"/>
              </w:rPr>
            </w:pP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F</w:t>
            </w:r>
            <w:r>
              <w:rPr>
                <w:rFonts w:ascii="Arial" w:cs="Arial" w:eastAsia="Arial" w:hAnsi="Arial"/>
                <w:sz w:val="14"/>
                <w:szCs w:val="14"/>
                <w:color w:val="auto"/>
              </w:rPr>
              <w:t>OEHR</w:t>
            </w:r>
          </w:p>
        </w:tc>
        <w:tc>
          <w:tcPr>
            <w:tcW w:w="92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2"/>
          </w:tcPr>
          <w:p>
            <w:pPr>
              <w:jc w:val="right"/>
              <w:ind w:right="1020"/>
              <w:spacing w:after="0"/>
              <w:rPr>
                <w:sz w:val="20"/>
                <w:szCs w:val="20"/>
                <w:color w:val="auto"/>
              </w:rPr>
            </w:pPr>
            <w:r>
              <w:rPr>
                <w:rFonts w:ascii="Arial" w:cs="Arial" w:eastAsia="Arial" w:hAnsi="Arial"/>
                <w:sz w:val="18"/>
                <w:szCs w:val="18"/>
                <w:color w:val="auto"/>
              </w:rPr>
              <w:t>Name:  Richard Foehr</w:t>
            </w:r>
          </w:p>
        </w:tc>
      </w:tr>
      <w:tr>
        <w:trPr>
          <w:trHeight w:val="216"/>
        </w:trPr>
        <w:tc>
          <w:tcPr>
            <w:tcW w:w="340" w:type="dxa"/>
            <w:vAlign w:val="bottom"/>
          </w:tcPr>
          <w:p>
            <w:pPr>
              <w:spacing w:after="0"/>
              <w:rPr>
                <w:sz w:val="18"/>
                <w:szCs w:val="18"/>
                <w:color w:val="auto"/>
              </w:rPr>
            </w:pP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w w:val="95"/>
              </w:rPr>
              <w:t>Title:  Vice President, Assistant General</w:t>
            </w:r>
          </w:p>
        </w:tc>
      </w:tr>
      <w:tr>
        <w:trPr>
          <w:trHeight w:val="230"/>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Counsel and Assistant Secretary</w:t>
            </w:r>
          </w:p>
        </w:tc>
      </w:tr>
    </w:tbl>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SUBSIDIARIES OF AUTODESK,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Delaware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January 31, 2012</w:t>
      </w:r>
    </w:p>
    <w:p>
      <w:pPr>
        <w:spacing w:after="0" w:line="200" w:lineRule="exact"/>
        <w:rPr>
          <w:sz w:val="20"/>
          <w:szCs w:val="20"/>
          <w:color w:val="auto"/>
        </w:rPr>
      </w:pPr>
    </w:p>
    <w:p>
      <w:pPr>
        <w:spacing w:after="0" w:line="26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Subsidiary Name</w:t>
            </w:r>
          </w:p>
        </w:tc>
        <w:tc>
          <w:tcPr>
            <w:tcW w:w="3740" w:type="dxa"/>
            <w:vAlign w:val="bottom"/>
          </w:tcPr>
          <w:p>
            <w:pPr>
              <w:ind w:left="74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4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ADSK Canada Inc.</w:t>
            </w:r>
          </w:p>
        </w:tc>
        <w:tc>
          <w:tcPr>
            <w:tcW w:w="3740" w:type="dxa"/>
            <w:vAlign w:val="bottom"/>
          </w:tcPr>
          <w:p>
            <w:pPr>
              <w:ind w:left="20"/>
              <w:spacing w:after="0"/>
              <w:rPr>
                <w:sz w:val="20"/>
                <w:szCs w:val="20"/>
                <w:color w:val="auto"/>
              </w:rPr>
            </w:pPr>
            <w:r>
              <w:rPr>
                <w:rFonts w:ascii="Arial" w:cs="Arial" w:eastAsia="Arial" w:hAnsi="Arial"/>
                <w:sz w:val="18"/>
                <w:szCs w:val="18"/>
                <w:color w:val="auto"/>
              </w:rPr>
              <w:t>Canada (Ontario)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ADSK Ireland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Alias Systems Limited *</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w:t>
            </w:r>
          </w:p>
        </w:tc>
        <w:tc>
          <w:tcPr>
            <w:tcW w:w="37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(EMEA) Sàrl</w:t>
            </w:r>
          </w:p>
        </w:tc>
        <w:tc>
          <w:tcPr>
            <w:tcW w:w="374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AB</w:t>
            </w:r>
          </w:p>
        </w:tc>
        <w:tc>
          <w:tcPr>
            <w:tcW w:w="374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Asia Pte Ltd.</w:t>
            </w:r>
          </w:p>
        </w:tc>
        <w:tc>
          <w:tcPr>
            <w:tcW w:w="37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Australia Pty Ltd.</w:t>
            </w:r>
          </w:p>
        </w:tc>
        <w:tc>
          <w:tcPr>
            <w:tcW w:w="37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B.V.</w:t>
            </w:r>
          </w:p>
        </w:tc>
        <w:tc>
          <w:tcPr>
            <w:tcW w:w="374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Canada Co.</w:t>
            </w:r>
          </w:p>
        </w:tc>
        <w:tc>
          <w:tcPr>
            <w:tcW w:w="3740" w:type="dxa"/>
            <w:vAlign w:val="bottom"/>
          </w:tcPr>
          <w:p>
            <w:pPr>
              <w:ind w:left="20"/>
              <w:spacing w:after="0"/>
              <w:rPr>
                <w:sz w:val="20"/>
                <w:szCs w:val="20"/>
                <w:color w:val="auto"/>
              </w:rPr>
            </w:pPr>
            <w:r>
              <w:rPr>
                <w:rFonts w:ascii="Arial" w:cs="Arial" w:eastAsia="Arial" w:hAnsi="Arial"/>
                <w:sz w:val="18"/>
                <w:szCs w:val="18"/>
                <w:color w:val="auto"/>
              </w:rPr>
              <w:t>Canada (Nova Scotia)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 Argentina S.A.</w:t>
            </w:r>
          </w:p>
        </w:tc>
        <w:tc>
          <w:tcPr>
            <w:tcW w:w="374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 Mexico, S.A. de C.V.</w:t>
            </w:r>
          </w:p>
        </w:tc>
        <w:tc>
          <w:tcPr>
            <w:tcW w:w="37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 Venezuela, S.A.</w:t>
            </w:r>
          </w:p>
        </w:tc>
        <w:tc>
          <w:tcPr>
            <w:tcW w:w="3740" w:type="dxa"/>
            <w:vAlign w:val="bottom"/>
          </w:tcPr>
          <w:p>
            <w:pPr>
              <w:ind w:left="20"/>
              <w:spacing w:after="0"/>
              <w:rPr>
                <w:sz w:val="20"/>
                <w:szCs w:val="20"/>
                <w:color w:val="auto"/>
              </w:rPr>
            </w:pPr>
            <w:r>
              <w:rPr>
                <w:rFonts w:ascii="Arial" w:cs="Arial" w:eastAsia="Arial" w:hAnsi="Arial"/>
                <w:sz w:val="18"/>
                <w:szCs w:val="18"/>
                <w:color w:val="auto"/>
              </w:rPr>
              <w:t>Venezuela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Design Software (Shanghai) Co., Ltd.</w:t>
            </w:r>
          </w:p>
        </w:tc>
        <w:tc>
          <w:tcPr>
            <w:tcW w:w="37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Development B.V.</w:t>
            </w:r>
          </w:p>
        </w:tc>
        <w:tc>
          <w:tcPr>
            <w:tcW w:w="374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Development Sàrl</w:t>
            </w:r>
          </w:p>
        </w:tc>
        <w:tc>
          <w:tcPr>
            <w:tcW w:w="374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do Brasil Ltda</w:t>
            </w:r>
          </w:p>
        </w:tc>
        <w:tc>
          <w:tcPr>
            <w:tcW w:w="374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Far East Ltd.</w:t>
            </w:r>
          </w:p>
        </w:tc>
        <w:tc>
          <w:tcPr>
            <w:tcW w:w="374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Ges.mbH</w:t>
            </w:r>
          </w:p>
        </w:tc>
        <w:tc>
          <w:tcPr>
            <w:tcW w:w="374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GmbH</w:t>
            </w:r>
          </w:p>
        </w:tc>
        <w:tc>
          <w:tcPr>
            <w:tcW w:w="37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Hungary Kft</w:t>
            </w:r>
          </w:p>
        </w:tc>
        <w:tc>
          <w:tcPr>
            <w:tcW w:w="374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India Private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International Holding Co.</w:t>
            </w:r>
          </w:p>
        </w:tc>
        <w:tc>
          <w:tcPr>
            <w:tcW w:w="3740" w:type="dxa"/>
            <w:vAlign w:val="bottom"/>
          </w:tcPr>
          <w:p>
            <w:pPr>
              <w:ind w:left="20"/>
              <w:spacing w:after="0"/>
              <w:rPr>
                <w:sz w:val="20"/>
                <w:szCs w:val="20"/>
                <w:color w:val="auto"/>
              </w:rPr>
            </w:pPr>
            <w:r>
              <w:rPr>
                <w:rFonts w:ascii="Arial" w:cs="Arial" w:eastAsia="Arial" w:hAnsi="Arial"/>
                <w:sz w:val="18"/>
                <w:szCs w:val="18"/>
                <w:color w:val="auto"/>
              </w:rPr>
              <w:t>U.S. (Delaware)</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Israel Ltd.</w:t>
            </w:r>
          </w:p>
        </w:tc>
        <w:tc>
          <w:tcPr>
            <w:tcW w:w="374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Korea Ltd.</w:t>
            </w:r>
          </w:p>
        </w:tc>
        <w:tc>
          <w:tcPr>
            <w:tcW w:w="3740" w:type="dxa"/>
            <w:vAlign w:val="bottom"/>
          </w:tcPr>
          <w:p>
            <w:pPr>
              <w:ind w:left="20"/>
              <w:spacing w:after="0"/>
              <w:rPr>
                <w:sz w:val="20"/>
                <w:szCs w:val="20"/>
                <w:color w:val="auto"/>
              </w:rPr>
            </w:pPr>
            <w:r>
              <w:rPr>
                <w:rFonts w:ascii="Arial" w:cs="Arial" w:eastAsia="Arial" w:hAnsi="Arial"/>
                <w:sz w:val="18"/>
                <w:szCs w:val="18"/>
                <w:color w:val="auto"/>
              </w:rPr>
              <w:t>South Korea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Ltd. Japan</w:t>
            </w:r>
          </w:p>
        </w:tc>
        <w:tc>
          <w:tcPr>
            <w:tcW w:w="374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SA</w:t>
            </w:r>
          </w:p>
        </w:tc>
        <w:tc>
          <w:tcPr>
            <w:tcW w:w="374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S.r.l.</w:t>
            </w:r>
          </w:p>
        </w:tc>
        <w:tc>
          <w:tcPr>
            <w:tcW w:w="374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Software (China) Co., Ltd.</w:t>
            </w:r>
          </w:p>
        </w:tc>
        <w:tc>
          <w:tcPr>
            <w:tcW w:w="37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Software, Unipessoal, Lda.</w:t>
            </w:r>
          </w:p>
        </w:tc>
        <w:tc>
          <w:tcPr>
            <w:tcW w:w="3740" w:type="dxa"/>
            <w:vAlign w:val="bottom"/>
          </w:tcPr>
          <w:p>
            <w:pPr>
              <w:ind w:left="20"/>
              <w:spacing w:after="0"/>
              <w:rPr>
                <w:sz w:val="20"/>
                <w:szCs w:val="20"/>
                <w:color w:val="auto"/>
              </w:rPr>
            </w:pPr>
            <w:r>
              <w:rPr>
                <w:rFonts w:ascii="Arial" w:cs="Arial" w:eastAsia="Arial" w:hAnsi="Arial"/>
                <w:sz w:val="18"/>
                <w:szCs w:val="18"/>
                <w:color w:val="auto"/>
              </w:rPr>
              <w:t>Portugal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Sp. z.o.o.</w:t>
            </w:r>
          </w:p>
        </w:tc>
        <w:tc>
          <w:tcPr>
            <w:tcW w:w="374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Spol. S.R.O.</w:t>
            </w:r>
          </w:p>
        </w:tc>
        <w:tc>
          <w:tcPr>
            <w:tcW w:w="374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Strategies Ltd.</w:t>
            </w:r>
          </w:p>
        </w:tc>
        <w:tc>
          <w:tcPr>
            <w:tcW w:w="37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Taiwan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56"/>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 xml:space="preserve">Autodesk Yazilim Hizmetleri Ticaret Limited Sirketi </w:t>
            </w:r>
            <w:r>
              <w:rPr>
                <w:rFonts w:ascii="Arial" w:cs="Arial" w:eastAsia="Arial" w:hAnsi="Arial"/>
                <w:sz w:val="18"/>
                <w:szCs w:val="18"/>
                <w:i w:val="1"/>
                <w:iCs w:val="1"/>
                <w:color w:val="auto"/>
              </w:rPr>
              <w:t>(Autodesk</w:t>
            </w:r>
          </w:p>
        </w:tc>
        <w:tc>
          <w:tcPr>
            <w:tcW w:w="374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i w:val="1"/>
                <w:iCs w:val="1"/>
                <w:color w:val="auto"/>
              </w:rPr>
              <w:t>Limited Sirketi)</w:t>
            </w:r>
          </w:p>
        </w:tc>
        <w:tc>
          <w:tcPr>
            <w:tcW w:w="3740" w:type="dxa"/>
            <w:vAlign w:val="bottom"/>
          </w:tcPr>
          <w:p>
            <w:pPr>
              <w:spacing w:after="0"/>
              <w:rPr>
                <w:sz w:val="20"/>
                <w:szCs w:val="20"/>
                <w:color w:val="auto"/>
              </w:rPr>
            </w:pP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Autodesk, S.A.</w:t>
            </w:r>
          </w:p>
        </w:tc>
        <w:tc>
          <w:tcPr>
            <w:tcW w:w="374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Blue Ridge Numerics, Inc.</w:t>
            </w:r>
          </w:p>
        </w:tc>
        <w:tc>
          <w:tcPr>
            <w:tcW w:w="3740" w:type="dxa"/>
            <w:vAlign w:val="bottom"/>
          </w:tcPr>
          <w:p>
            <w:pPr>
              <w:ind w:left="20"/>
              <w:spacing w:after="0"/>
              <w:rPr>
                <w:sz w:val="20"/>
                <w:szCs w:val="20"/>
                <w:color w:val="auto"/>
              </w:rPr>
            </w:pPr>
            <w:r>
              <w:rPr>
                <w:rFonts w:ascii="Arial" w:cs="Arial" w:eastAsia="Arial" w:hAnsi="Arial"/>
                <w:sz w:val="18"/>
                <w:szCs w:val="18"/>
                <w:color w:val="auto"/>
              </w:rPr>
              <w:t>U.S. (Virginia)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Blue Ridge Numerics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20"/>
          </w:cols>
          <w:pgMar w:left="1440" w:top="580"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4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Subsidiary Name</w:t>
            </w:r>
          </w:p>
        </w:tc>
        <w:tc>
          <w:tcPr>
            <w:tcW w:w="3740" w:type="dxa"/>
            <w:vAlign w:val="bottom"/>
          </w:tcPr>
          <w:p>
            <w:pPr>
              <w:ind w:left="74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136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Cfdesign Software India Private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Code Mine in Stockholm AB</w:t>
            </w:r>
          </w:p>
        </w:tc>
        <w:tc>
          <w:tcPr>
            <w:tcW w:w="374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Hanna Strategies Holdings, Inc. *</w:t>
            </w:r>
          </w:p>
        </w:tc>
        <w:tc>
          <w:tcPr>
            <w:tcW w:w="3740" w:type="dxa"/>
            <w:vAlign w:val="bottom"/>
          </w:tcPr>
          <w:p>
            <w:pPr>
              <w:ind w:left="20"/>
              <w:spacing w:after="0"/>
              <w:rPr>
                <w:sz w:val="20"/>
                <w:szCs w:val="20"/>
                <w:color w:val="auto"/>
              </w:rPr>
            </w:pPr>
            <w:r>
              <w:rPr>
                <w:rFonts w:ascii="Arial" w:cs="Arial" w:eastAsia="Arial" w:hAnsi="Arial"/>
                <w:sz w:val="18"/>
                <w:szCs w:val="18"/>
                <w:color w:val="auto"/>
              </w:rPr>
              <w:t>U.S. (Delaware)</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Hanna Technologies Private Ltd. *</w:t>
            </w:r>
          </w:p>
        </w:tc>
        <w:tc>
          <w:tcPr>
            <w:tcW w:w="374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Horizontal Systems, Inc.</w:t>
            </w:r>
          </w:p>
        </w:tc>
        <w:tc>
          <w:tcPr>
            <w:tcW w:w="3740" w:type="dxa"/>
            <w:vAlign w:val="bottom"/>
          </w:tcPr>
          <w:p>
            <w:pPr>
              <w:ind w:left="20"/>
              <w:spacing w:after="0"/>
              <w:rPr>
                <w:sz w:val="20"/>
                <w:szCs w:val="20"/>
                <w:color w:val="auto"/>
              </w:rPr>
            </w:pPr>
            <w:r>
              <w:rPr>
                <w:rFonts w:ascii="Arial" w:cs="Arial" w:eastAsia="Arial" w:hAnsi="Arial"/>
                <w:sz w:val="18"/>
                <w:szCs w:val="18"/>
                <w:color w:val="auto"/>
              </w:rPr>
              <w:t>U.S. (Delaware)</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Instructables, Inc.</w:t>
            </w:r>
          </w:p>
        </w:tc>
        <w:tc>
          <w:tcPr>
            <w:tcW w:w="3740" w:type="dxa"/>
            <w:vAlign w:val="bottom"/>
          </w:tcPr>
          <w:p>
            <w:pPr>
              <w:ind w:left="20"/>
              <w:spacing w:after="0"/>
              <w:rPr>
                <w:sz w:val="20"/>
                <w:szCs w:val="20"/>
                <w:color w:val="auto"/>
              </w:rPr>
            </w:pPr>
            <w:r>
              <w:rPr>
                <w:rFonts w:ascii="Arial" w:cs="Arial" w:eastAsia="Arial" w:hAnsi="Arial"/>
                <w:sz w:val="18"/>
                <w:szCs w:val="18"/>
                <w:color w:val="auto"/>
              </w:rPr>
              <w:t>U.S. (Delaware)</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Limited Liability Company Autodesk (CIS)</w:t>
            </w:r>
          </w:p>
        </w:tc>
        <w:tc>
          <w:tcPr>
            <w:tcW w:w="374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Micro Application Packages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(Europe) Ltd. *</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B.V.</w:t>
            </w:r>
          </w:p>
        </w:tc>
        <w:tc>
          <w:tcPr>
            <w:tcW w:w="374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Iberia S.L. *</w:t>
            </w:r>
          </w:p>
        </w:tc>
        <w:tc>
          <w:tcPr>
            <w:tcW w:w="374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International Pty Ltd. *</w:t>
            </w:r>
          </w:p>
        </w:tc>
        <w:tc>
          <w:tcPr>
            <w:tcW w:w="37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Netherlands Limited</w:t>
            </w:r>
          </w:p>
        </w:tc>
        <w:tc>
          <w:tcPr>
            <w:tcW w:w="374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Pty Ltd. *</w:t>
            </w:r>
          </w:p>
        </w:tc>
        <w:tc>
          <w:tcPr>
            <w:tcW w:w="37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Moldflow Singapore Pte Ltd*</w:t>
            </w:r>
          </w:p>
        </w:tc>
        <w:tc>
          <w:tcPr>
            <w:tcW w:w="37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NavisWorks Limited *</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NavisWorks (UK) Limited *</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Robobat (UK) Limited *</w:t>
            </w:r>
          </w:p>
        </w:tc>
        <w:tc>
          <w:tcPr>
            <w:tcW w:w="37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Scaleform Corporation *</w:t>
            </w:r>
          </w:p>
        </w:tc>
        <w:tc>
          <w:tcPr>
            <w:tcW w:w="3740" w:type="dxa"/>
            <w:vAlign w:val="bottom"/>
          </w:tcPr>
          <w:p>
            <w:pPr>
              <w:ind w:left="20"/>
              <w:spacing w:after="0"/>
              <w:rPr>
                <w:sz w:val="20"/>
                <w:szCs w:val="20"/>
                <w:color w:val="auto"/>
              </w:rPr>
            </w:pPr>
            <w:r>
              <w:rPr>
                <w:rFonts w:ascii="Arial" w:cs="Arial" w:eastAsia="Arial" w:hAnsi="Arial"/>
                <w:sz w:val="18"/>
                <w:szCs w:val="18"/>
                <w:color w:val="auto"/>
              </w:rPr>
              <w:t>U.S. (Delaware)</w:t>
            </w:r>
          </w:p>
        </w:tc>
      </w:tr>
      <w:tr>
        <w:trPr>
          <w:trHeight w:val="270"/>
        </w:trPr>
        <w:tc>
          <w:tcPr>
            <w:tcW w:w="136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SCI Topole</w:t>
            </w:r>
          </w:p>
        </w:tc>
        <w:tc>
          <w:tcPr>
            <w:tcW w:w="37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459"/>
        </w:trPr>
        <w:tc>
          <w:tcPr>
            <w:tcW w:w="6340" w:type="dxa"/>
            <w:vAlign w:val="bottom"/>
            <w:gridSpan w:val="3"/>
          </w:tcPr>
          <w:p>
            <w:pPr>
              <w:spacing w:after="0"/>
              <w:rPr>
                <w:sz w:val="20"/>
                <w:szCs w:val="20"/>
                <w:color w:val="auto"/>
              </w:rPr>
            </w:pPr>
            <w:r>
              <w:rPr>
                <w:rFonts w:ascii="Arial" w:cs="Arial" w:eastAsia="Arial" w:hAnsi="Arial"/>
                <w:sz w:val="18"/>
                <w:szCs w:val="18"/>
                <w:color w:val="auto"/>
              </w:rPr>
              <w:t>* inactive subsidiaries / subsidiaries scheduled to be wound up</w:t>
            </w:r>
          </w:p>
        </w:tc>
        <w:tc>
          <w:tcPr>
            <w:tcW w:w="3740" w:type="dxa"/>
            <w:vAlign w:val="bottom"/>
          </w:tcPr>
          <w:p>
            <w:pPr>
              <w:spacing w:after="0"/>
              <w:rPr>
                <w:sz w:val="24"/>
                <w:szCs w:val="24"/>
                <w:color w:val="auto"/>
              </w:rPr>
            </w:pPr>
          </w:p>
        </w:tc>
      </w:tr>
    </w:tbl>
    <w:p>
      <w:pPr>
        <w:sectPr>
          <w:pgSz w:w="11900" w:h="16838" w:orient="portrait"/>
          <w:cols w:equalWidth="0" w:num="1">
            <w:col w:w="10219"/>
          </w:cols>
          <w:pgMar w:left="240" w:top="742"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33-39458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33-51110</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w w:val="91"/>
              </w:rPr>
              <w:t>Stock Plan, 1990 Directors' Option Plan, 1998 Employee Qualified Stock Purchase Plan and Teleos Research</w:t>
            </w:r>
          </w:p>
        </w:tc>
      </w:tr>
      <w:tr>
        <w:trPr>
          <w:trHeight w:val="230"/>
        </w:trPr>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333-15037</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333-92539</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333-88682</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w w:val="90"/>
              </w:rPr>
              <w:t>Revit Technology Corporation 1998 Stock Plan, 1996 Stock Plan and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808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333-133015</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Emerging Solutions, Inc. 1999 Equity Ownership Plan</w:t>
            </w:r>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333-134560</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2006 Employee Stock Plan, Autodesk, Inc. 2000 Directors' Option Plan, Autodesk, Inc. 1998</w:t>
            </w:r>
          </w:p>
        </w:tc>
      </w:tr>
      <w:tr>
        <w:trPr>
          <w:trHeight w:val="230"/>
        </w:trPr>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333-149964</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Autodesk, Inc.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333-153372</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2000 Directors' Option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333-158131</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333-165561</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w w:val="90"/>
              </w:rPr>
              <w:t>Autodesk, Inc. 1998 Employee Qualified Stock Purchase Plan and Autodesk, Inc. 2010 Outside Directors' Stock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333-169137</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333-172936</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Form S-8</w:t>
            </w:r>
          </w:p>
        </w:tc>
        <w:tc>
          <w:tcPr>
            <w:tcW w:w="1540" w:type="dxa"/>
            <w:vAlign w:val="bottom"/>
          </w:tcPr>
          <w:p>
            <w:pPr>
              <w:ind w:left="360"/>
              <w:spacing w:after="0"/>
              <w:rPr>
                <w:sz w:val="20"/>
                <w:szCs w:val="20"/>
                <w:color w:val="auto"/>
              </w:rPr>
            </w:pPr>
            <w:r>
              <w:rPr>
                <w:rFonts w:ascii="Arial" w:cs="Arial" w:eastAsia="Arial" w:hAnsi="Arial"/>
                <w:sz w:val="18"/>
                <w:szCs w:val="18"/>
                <w:color w:val="auto"/>
              </w:rPr>
              <w:t>333-179514</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1998 Employee Qualified Stock Purchase Plan, Autodesk, Inc. 2012 Employee Stock Plan and</w:t>
            </w:r>
          </w:p>
        </w:tc>
      </w:tr>
      <w:tr>
        <w:trPr>
          <w:trHeight w:val="230"/>
        </w:trPr>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15, 2012, with respect to the consolidated financial statements and schedule of Autodesk, Inc., and the effectiveness of internal control over financial reporting of Autodesk, Inc., included in this Annual Report (Form 10-K) of Autodesk, Inc. for the year ended January 31, 2012.</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ectPr>
          <w:pgSz w:w="11900" w:h="16838" w:orient="portrait"/>
          <w:cols w:equalWidth="0" w:num="1">
            <w:col w:w="11420"/>
          </w:cols>
          <w:pgMar w:left="240" w:top="91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ectPr>
          <w:pgSz w:w="11900" w:h="16838" w:orient="portrait"/>
          <w:cols w:equalWidth="0" w:num="1">
            <w:col w:w="11420"/>
          </w:cols>
          <w:pgMar w:left="240" w:top="9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2012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10-K for the annual period ended January 31, 2012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lvl w:ilvl="1">
      <w:lvlJc w:val="left"/>
      <w:lvlText w:val="%2."/>
      <w:numFmt w:val="decimal"/>
      <w:start w:val="1"/>
    </w:lvl>
  </w:abstractNum>
  <w:abstractNum w:abstractNumId="40">
    <w:nsid w:val="4B588F54"/>
    <w:multiLevelType w:val="hybridMultilevel"/>
    <w:lvl w:ilvl="0">
      <w:lvlJc w:val="left"/>
      <w:lvlText w:val="%1"/>
      <w:numFmt w:val="lowerLetter"/>
      <w:start w:val="1"/>
    </w:lvl>
    <w:lvl w:ilvl="1">
      <w:lvlJc w:val="left"/>
      <w:lvlText w:val="%2."/>
      <w:numFmt w:val="decimal"/>
      <w:start w:val="3"/>
    </w:lvl>
  </w:abstractNum>
  <w:abstractNum w:abstractNumId="41">
    <w:nsid w:val="542289EC"/>
    <w:multiLevelType w:val="hybridMultilevel"/>
    <w:lvl w:ilvl="0">
      <w:lvlJc w:val="left"/>
      <w:lvlText w:val="(%1)"/>
      <w:numFmt w:val="lowerLetter"/>
      <w:start w:val="2"/>
    </w:lvl>
    <w:lvl w:ilvl="1">
      <w:lvlJc w:val="left"/>
      <w:lvlText w:val="%2"/>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5"/>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2019-12-09T09:36:13Z</dcterms:created>
  <dcterms:modified xsi:type="dcterms:W3CDTF">2019-12-09T09:36:13Z</dcterms:modified>
</cp:coreProperties>
</file>