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60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July 14, 2025</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Autodesk, Inc.</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000-14338</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One Market Street, Ste. 400</w:t>
            </w:r>
          </w:p>
        </w:tc>
        <w:tc>
          <w:tcPr>
            <w:tcW w:w="3600" w:type="dxa"/>
            <w:vAlign w:val="bottom"/>
          </w:tcPr>
          <w:p>
            <w:pPr>
              <w:spacing w:after="0"/>
              <w:rPr>
                <w:sz w:val="24"/>
                <w:szCs w:val="24"/>
                <w:color w:val="auto"/>
              </w:rPr>
            </w:pPr>
          </w:p>
        </w:tc>
      </w:tr>
      <w:tr>
        <w:trPr>
          <w:trHeight w:val="245"/>
        </w:trPr>
        <w:tc>
          <w:tcPr>
            <w:tcW w:w="764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234"/>
        </w:trPr>
        <w:tc>
          <w:tcPr>
            <w:tcW w:w="5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38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(415) 507-5000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ADSK</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14, 2025, Autodesk provided the following business update: We are confident in our plans to drive long-term shareholder value and remain focused on executing our established strategic priorities in cloud, platform, and AI; optimizing our sales and marketing to drive higher margins; and allocating capital to organic investment, targeted and tuck-in acquisitions, and continuing our share repurchase program as our free cash flow grows.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risks and uncertainties, including the statements in the first paragraph above. There are a significant number of factors that could cause actual results to differ materially from statements made in this current report on Form 8-K, including: our strategy to develop and introduce new products and services and to move to platforms and capabilities, exposing us to risks such as limited customer acceptance (both new and existing customers), costs related to product defects, and large expenditures; global economic and political conditions, including changes in monetary and fiscal policy, foreign exchange headwinds, recessionary fears, supply chain disruptions, resulting inflationary pressures and hiring conditions; geopolitical tension and armed conflicts, economic and regulatory uncertainty including tariffs and trade wars, and extreme weather events; costs and challenges associated with strategic acquisitions and investments; our ability to successfully implement and expand our transaction model and our sales and marketing optimization; dependency on international revenue and operations, exposing us to significant international regulatory, economic, intellectual property, collections, currency exchange rate, taxation, political, and other risks, including risks related to the war against Ukraine launched by Russia and our exit from Russia and the current conflict between Israel and Hamas; inability to predict subscription renewal rates and their impact on our future revenue and operating results; existing and increased competition and rapidly evolving technological changes; fluctuation of our financial results, key metrics and other operating metrics; our transition from up front to annual billings for multi-year contracts; deriving a substantial portion of our net revenue from a small number of solutions, including our AutoCAD-based software products and collections; any failure to successfully execute and manage initiatives to realign or introduce new business and sales initiatives, including our new transaction model for Flex; net revenue, billings, earnings, cash flow, or new or existing subscriptions shortfalls; social and ethical issues relating to the use of artificial intelligence in our offerings; our ability to maintain security levels and service performance meeting the expectations of our customers, and the resources and costs required to avoid unanticipated downtime and prevent, detect and remediate performance degradation and security breaches; security incidents or other incidents compromising the integrity of our or our customers’ offerings, services, data, or intellectual property; reliance on third parties to provide us with a number of operational and technical services as well as software; our highly complex software, which may contain undetected errors, defects, or vulnerabilities; increasing regulatory focus on privacy issues and expanding laws; governmental export and import controls that could impair our ability to compete in international markets or subject us to liability if we violate the controls; protection of our intellectual property rights and intellectual property infringement claims from others; the government procurement process; fluctuations in currency exchange rates; our debt service obligations; and our investment portfolio consisting of a variety of investment vehicles that are subject to interest rate trends, market volatility, and other economic factors. Our estimates as to tax rate are based on current interpretations of existing tax law and could be affected by changing interpretations, further guidance, and additional tax legislation. Further information on potential factors that could affect the financial results of Autodesk are included in Autodesk’s Form 10-K and subsequent Forms 10-Q, which are on file with the U.S. Securities and Exchange Commission. Autodesk disclaims any obligation to update the forward-looking statements provided to reflect events that occur or circumstances that exist after the date on which they were made.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Janesh Moorjani</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2025-07-14T05:18:24Z</dcterms:created>
  <dcterms:modified xsi:type="dcterms:W3CDTF">2025-07-14T05:18:24Z</dcterms:modified>
</cp:coreProperties>
</file>