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0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Blum Steven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80"/>
        <w:spacing w:after="0" w:line="365" w:lineRule="auto"/>
        <w:rPr>
          <w:sz w:val="20"/>
          <w:szCs w:val="20"/>
          <w:color w:val="auto"/>
        </w:rPr>
      </w:pPr>
      <w:r>
        <w:rPr>
          <w:rFonts w:ascii="Times New Roman" w:cs="Times New Roman" w:eastAsia="Times New Roman" w:hAnsi="Times New Roman"/>
          <w:sz w:val="17"/>
          <w:szCs w:val="17"/>
          <w:color w:val="0000FF"/>
        </w:rPr>
        <w:t>ONE MARKET, SUITE 400 AUTODESK,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Autodesk,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ADSK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EVP, Chief Operating Officer</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09/05/2025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5,270</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322.51</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30,249</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09/05/2025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5,264</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323.44</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24,985</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09/05/2025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11,366</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324.41</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13,619</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40" w:type="dxa"/>
            <w:vAlign w:val="bottom"/>
            <w:gridSpan w:val="3"/>
            <w:vMerge w:val="restart"/>
          </w:tcPr>
          <w:p>
            <w:pPr>
              <w:jc w:val="right"/>
              <w:ind w:right="158"/>
              <w:spacing w:after="0"/>
              <w:rPr>
                <w:sz w:val="20"/>
                <w:szCs w:val="20"/>
                <w:color w:val="auto"/>
              </w:rPr>
            </w:pPr>
            <w:r>
              <w:rPr>
                <w:rFonts w:ascii="Times New Roman" w:cs="Times New Roman" w:eastAsia="Times New Roman" w:hAnsi="Times New Roman"/>
                <w:sz w:val="17"/>
                <w:szCs w:val="17"/>
                <w:color w:val="0000FF"/>
              </w:rPr>
              <w:t>09/05/2025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520</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325.03</w:t>
            </w:r>
            <w:r>
              <w:rPr>
                <w:rFonts w:ascii="Times New Roman" w:cs="Times New Roman" w:eastAsia="Times New Roman" w:hAnsi="Times New Roman"/>
                <w:sz w:val="22"/>
                <w:szCs w:val="22"/>
                <w:color w:val="008000"/>
                <w:vertAlign w:val="superscript"/>
              </w:rPr>
              <w:t>(6)</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13,099</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27,249</w:t>
            </w:r>
            <w:r>
              <w:rPr>
                <w:rFonts w:ascii="Times New Roman" w:cs="Times New Roman" w:eastAsia="Times New Roman" w:hAnsi="Times New Roman"/>
                <w:sz w:val="22"/>
                <w:szCs w:val="22"/>
                <w:color w:val="008000"/>
                <w:w w:val="93"/>
                <w:vertAlign w:val="superscript"/>
              </w:rPr>
              <w:t>(7)</w:t>
            </w:r>
          </w:p>
        </w:tc>
        <w:tc>
          <w:tcPr>
            <w:tcW w:w="920" w:type="dxa"/>
            <w:vAlign w:val="bottom"/>
            <w:tcBorders>
              <w:top w:val="single" w:sz="8" w:color="2C2C2C"/>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were effected pursuant to a Rule 105b-1 trading plan adopted by the reporting person on 06/05/2025.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in various amounts from $321.905 to $322.88 inclusive. The price listed here reflects the average weighted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BLUM FAMILY DECL. TR U/A/D 4/20/06 (the "Family Trust"). The reporting person is a trustee of the Family Trust. The reporting person disclaims beneficial ownership of the shares held by the Family Trust except to the extent of his proportionate pecuniary interest therein.</w:t>
      </w:r>
    </w:p>
    <w:p>
      <w:pPr>
        <w:spacing w:after="0" w:line="7" w:lineRule="exact"/>
        <w:rPr>
          <w:rFonts w:ascii="Times New Roman" w:cs="Times New Roman" w:eastAsia="Times New Roman" w:hAnsi="Times New Roman"/>
          <w:sz w:val="13"/>
          <w:szCs w:val="13"/>
          <w:color w:val="008000"/>
        </w:rPr>
      </w:pPr>
    </w:p>
    <w:p>
      <w:pPr>
        <w:ind w:left="40" w:right="20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in various amounts from $322.90 to $323.84 inclusive. The price listed here reflects the average weighted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1" w:lineRule="exact"/>
        <w:rPr>
          <w:rFonts w:ascii="Times New Roman" w:cs="Times New Roman" w:eastAsia="Times New Roman" w:hAnsi="Times New Roman"/>
          <w:sz w:val="13"/>
          <w:szCs w:val="13"/>
          <w:color w:val="008000"/>
        </w:rPr>
      </w:pPr>
    </w:p>
    <w:p>
      <w:pPr>
        <w:ind w:left="40" w:right="20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in various amounts from $323.94 to $324.92 inclusive. The price listed here reflects the average weighted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1" w:lineRule="exact"/>
        <w:rPr>
          <w:rFonts w:ascii="Times New Roman" w:cs="Times New Roman" w:eastAsia="Times New Roman" w:hAnsi="Times New Roman"/>
          <w:sz w:val="13"/>
          <w:szCs w:val="13"/>
          <w:color w:val="008000"/>
        </w:rPr>
      </w:pPr>
    </w:p>
    <w:p>
      <w:pPr>
        <w:ind w:left="40" w:right="20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in various amounts from $325.00 to $325.16 inclusive. The price listed here reflects the average weighted price.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total securities beneficially owned includes 26,601 shares of unvested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Melissa Hoge, Attorney-in-</w:t>
            </w:r>
          </w:p>
        </w:tc>
        <w:tc>
          <w:tcPr>
            <w:tcW w:w="28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09/09/2025</w:t>
            </w: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Fact for Steven 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44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15843" TargetMode="External"/><Relationship Id="rId14" Type="http://schemas.openxmlformats.org/officeDocument/2006/relationships/hyperlink" Target="http://www.sec.gov/cgi-bin/browse-edgar?action=getcompany&amp;CIK=0000769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2025-09-09T19:11:05Z</dcterms:created>
  <dcterms:modified xsi:type="dcterms:W3CDTF">2025-09-09T19:11:05Z</dcterms:modified>
</cp:coreProperties>
</file>