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July 31,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1740" w:type="dxa"/>
        <w:tblCellMar>
          <w:top w:w="0" w:type="dxa"/>
          <w:left w:w="0" w:type="dxa"/>
          <w:bottom w:w="0" w:type="dxa"/>
          <w:right w:w="0" w:type="dxa"/>
        </w:tblCellMar>
      </w:tblPr>
      <w:tr>
        <w:trPr>
          <w:trHeight w:val="222"/>
        </w:trPr>
        <w:tc>
          <w:tcPr>
            <w:tcW w:w="6080" w:type="dxa"/>
            <w:vAlign w:val="bottom"/>
          </w:tcPr>
          <w:p>
            <w:pPr>
              <w:jc w:val="center"/>
              <w:ind w:left="1770"/>
              <w:spacing w:after="0"/>
              <w:rPr>
                <w:sz w:val="20"/>
                <w:szCs w:val="20"/>
                <w:color w:val="auto"/>
              </w:rPr>
            </w:pPr>
            <w:r>
              <w:rPr>
                <w:rFonts w:ascii="Arial" w:cs="Arial" w:eastAsia="Arial" w:hAnsi="Arial"/>
                <w:sz w:val="18"/>
                <w:szCs w:val="18"/>
                <w:color w:val="auto"/>
                <w:w w:val="89"/>
              </w:rPr>
              <w:t>Commission File Number: 0-14338</w:t>
            </w:r>
          </w:p>
        </w:tc>
        <w:tc>
          <w:tcPr>
            <w:tcW w:w="1400" w:type="dxa"/>
            <w:vAlign w:val="bottom"/>
          </w:tcPr>
          <w:p>
            <w:pPr>
              <w:spacing w:after="0"/>
              <w:rPr>
                <w:sz w:val="19"/>
                <w:szCs w:val="19"/>
                <w:color w:val="auto"/>
              </w:rPr>
            </w:pPr>
          </w:p>
        </w:tc>
      </w:tr>
      <w:tr>
        <w:trPr>
          <w:trHeight w:val="651"/>
        </w:trPr>
        <w:tc>
          <w:tcPr>
            <w:tcW w:w="6080" w:type="dxa"/>
            <w:vAlign w:val="bottom"/>
          </w:tcPr>
          <w:p>
            <w:pPr>
              <w:jc w:val="center"/>
              <w:ind w:left="1770"/>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400" w:type="dxa"/>
            <w:vAlign w:val="bottom"/>
          </w:tcPr>
          <w:p>
            <w:pPr>
              <w:spacing w:after="0"/>
              <w:rPr>
                <w:sz w:val="15"/>
                <w:szCs w:val="15"/>
                <w:color w:val="auto"/>
              </w:rPr>
            </w:pPr>
          </w:p>
        </w:tc>
      </w:tr>
      <w:tr>
        <w:trPr>
          <w:trHeight w:val="393"/>
        </w:trPr>
        <w:tc>
          <w:tcPr>
            <w:tcW w:w="6080" w:type="dxa"/>
            <w:vAlign w:val="bottom"/>
          </w:tcPr>
          <w:p>
            <w:pPr>
              <w:jc w:val="center"/>
              <w:ind w:right="3730"/>
              <w:spacing w:after="0"/>
              <w:rPr>
                <w:sz w:val="20"/>
                <w:szCs w:val="20"/>
                <w:color w:val="auto"/>
              </w:rPr>
            </w:pPr>
            <w:r>
              <w:rPr>
                <w:rFonts w:ascii="Arial" w:cs="Arial" w:eastAsia="Arial" w:hAnsi="Arial"/>
                <w:sz w:val="18"/>
                <w:szCs w:val="18"/>
                <w:b w:val="1"/>
                <w:bCs w:val="1"/>
                <w:color w:val="auto"/>
                <w:w w:val="88"/>
              </w:rPr>
              <w:t>Delaware</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6080" w:type="dxa"/>
            <w:vAlign w:val="bottom"/>
          </w:tcPr>
          <w:p>
            <w:pPr>
              <w:jc w:val="center"/>
              <w:ind w:right="375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080" w:type="dxa"/>
            <w:vAlign w:val="bottom"/>
          </w:tcPr>
          <w:p>
            <w:pPr>
              <w:jc w:val="center"/>
              <w:ind w:right="3750"/>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080" w:type="dxa"/>
            <w:vAlign w:val="bottom"/>
          </w:tcPr>
          <w:p>
            <w:pPr>
              <w:jc w:val="center"/>
              <w:ind w:right="3750"/>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1"/>
        </w:trPr>
        <w:tc>
          <w:tcPr>
            <w:tcW w:w="6080" w:type="dxa"/>
            <w:vAlign w:val="bottom"/>
          </w:tcPr>
          <w:p>
            <w:pPr>
              <w:jc w:val="center"/>
              <w:ind w:right="3750"/>
              <w:spacing w:after="0"/>
              <w:rPr>
                <w:sz w:val="20"/>
                <w:szCs w:val="20"/>
                <w:color w:val="auto"/>
              </w:rPr>
            </w:pPr>
            <w:r>
              <w:rPr>
                <w:rFonts w:ascii="Arial" w:cs="Arial" w:eastAsia="Arial" w:hAnsi="Arial"/>
                <w:sz w:val="18"/>
                <w:szCs w:val="18"/>
                <w:b w:val="1"/>
                <w:bCs w:val="1"/>
                <w:color w:val="auto"/>
                <w:w w:val="90"/>
              </w:rPr>
              <w:t>San Rafael, California</w:t>
            </w:r>
          </w:p>
        </w:tc>
        <w:tc>
          <w:tcPr>
            <w:tcW w:w="1400" w:type="dxa"/>
            <w:vAlign w:val="bottom"/>
          </w:tcPr>
          <w:p>
            <w:pPr>
              <w:jc w:val="right"/>
              <w:ind w:right="244"/>
              <w:spacing w:after="0"/>
              <w:rPr>
                <w:sz w:val="20"/>
                <w:szCs w:val="20"/>
                <w:color w:val="auto"/>
              </w:rPr>
            </w:pPr>
            <w:r>
              <w:rPr>
                <w:rFonts w:ascii="Arial" w:cs="Arial" w:eastAsia="Arial" w:hAnsi="Arial"/>
                <w:sz w:val="18"/>
                <w:szCs w:val="18"/>
                <w:b w:val="1"/>
                <w:bCs w:val="1"/>
                <w:color w:val="auto"/>
              </w:rPr>
              <w:t>94903</w:t>
            </w:r>
          </w:p>
        </w:tc>
      </w:tr>
      <w:tr>
        <w:trPr>
          <w:trHeight w:val="174"/>
        </w:trPr>
        <w:tc>
          <w:tcPr>
            <w:tcW w:w="6080" w:type="dxa"/>
            <w:vAlign w:val="bottom"/>
          </w:tcPr>
          <w:p>
            <w:pPr>
              <w:jc w:val="center"/>
              <w:ind w:right="375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08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(415) 507-5000</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7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400" w:type="dxa"/>
            <w:vAlign w:val="bottom"/>
          </w:tcPr>
          <w:p>
            <w:pPr>
              <w:spacing w:after="0"/>
              <w:rPr>
                <w:sz w:val="15"/>
                <w:szCs w:val="15"/>
                <w:color w:val="auto"/>
              </w:rPr>
            </w:pPr>
          </w:p>
        </w:tc>
      </w:tr>
    </w:tbl>
    <w:p>
      <w:pPr>
        <w:spacing w:after="0" w:line="141"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47"/>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3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30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140" w:type="dxa"/>
            <w:vAlign w:val="bottom"/>
          </w:tcPr>
          <w:p>
            <w:pPr>
              <w:jc w:val="right"/>
              <w:spacing w:after="0"/>
              <w:rPr>
                <w:sz w:val="20"/>
                <w:szCs w:val="20"/>
                <w:color w:val="auto"/>
              </w:rPr>
            </w:pPr>
            <w:r>
              <w:rPr>
                <w:rFonts w:ascii="Arial" w:cs="Arial" w:eastAsia="Arial" w:hAnsi="Arial"/>
                <w:sz w:val="18"/>
                <w:szCs w:val="18"/>
                <w:color w:val="auto"/>
                <w:w w:val="96"/>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906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89"/>
              </w:rPr>
              <w:t xml:space="preserve">Indicate by check mark whether the registrant is a shell company (as defined in Rule 12b-2 of the Exchange Act). Yes </w:t>
            </w:r>
            <w:r>
              <w:rPr>
                <w:rFonts w:ascii="MS PGothic" w:cs="MS PGothic" w:eastAsia="MS PGothic" w:hAnsi="MS PGothic"/>
                <w:sz w:val="18"/>
                <w:szCs w:val="18"/>
                <w:color w:val="auto"/>
                <w:w w:val="89"/>
              </w:rPr>
              <w:t>☐</w:t>
            </w:r>
          </w:p>
        </w:tc>
        <w:tc>
          <w:tcPr>
            <w:tcW w:w="2140" w:type="dxa"/>
            <w:vAlign w:val="bottom"/>
          </w:tcPr>
          <w:p>
            <w:pPr>
              <w:jc w:val="right"/>
              <w:ind w:right="1512"/>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r>
      <w:tr>
        <w:trPr>
          <w:trHeight w:val="358"/>
        </w:trPr>
        <w:tc>
          <w:tcPr>
            <w:tcW w:w="9060" w:type="dxa"/>
            <w:vAlign w:val="bottom"/>
            <w:gridSpan w:val="2"/>
          </w:tcPr>
          <w:p>
            <w:pPr>
              <w:ind w:left="460"/>
              <w:spacing w:after="0"/>
              <w:rPr>
                <w:sz w:val="20"/>
                <w:szCs w:val="20"/>
                <w:color w:val="auto"/>
              </w:rPr>
            </w:pPr>
            <w:r>
              <w:rPr>
                <w:rFonts w:ascii="Arial" w:cs="Arial" w:eastAsia="Arial" w:hAnsi="Arial"/>
                <w:sz w:val="18"/>
                <w:szCs w:val="18"/>
                <w:color w:val="auto"/>
              </w:rPr>
              <w:t>As of August 24, 2010, there were 227,283,469 shares of the registrant’s Common Stock outstanding.</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5"/>
        </w:trPr>
        <w:tc>
          <w:tcPr>
            <w:tcW w:w="1760" w:type="dxa"/>
            <w:vAlign w:val="bottom"/>
            <w:tcBorders>
              <w:bottom w:val="single" w:sz="8" w:color="auto"/>
            </w:tcBorders>
          </w:tcPr>
          <w:p>
            <w:pPr>
              <w:spacing w:after="0"/>
              <w:rPr>
                <w:sz w:val="17"/>
                <w:szCs w:val="17"/>
                <w:color w:val="auto"/>
              </w:rPr>
            </w:pPr>
          </w:p>
        </w:tc>
        <w:tc>
          <w:tcPr>
            <w:tcW w:w="73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34"/>
        </w:trPr>
        <w:tc>
          <w:tcPr>
            <w:tcW w:w="176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0" w:type="dxa"/>
            <w:vAlign w:val="bottom"/>
            <w:gridSpan w:val="11"/>
            <w:vMerge w:val="restart"/>
          </w:tcPr>
          <w:p>
            <w:pPr>
              <w:jc w:val="center"/>
              <w:ind w:right="362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0" w:type="dxa"/>
            <w:vAlign w:val="bottom"/>
            <w:gridSpan w:val="11"/>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40" w:type="dxa"/>
            <w:vAlign w:val="bottom"/>
            <w:tcBorders>
              <w:bottom w:val="single" w:sz="8" w:color="0000EE"/>
            </w:tcBorders>
            <w:gridSpan w:val="7"/>
          </w:tcPr>
          <w:p>
            <w:pPr>
              <w:spacing w:after="0"/>
              <w:rPr>
                <w:rFonts w:ascii="Arial" w:cs="Arial" w:eastAsia="Arial" w:hAnsi="Arial"/>
                <w:sz w:val="18"/>
                <w:szCs w:val="18"/>
                <w:b w:val="1"/>
                <w:bCs w:val="1"/>
                <w:color w:val="0000EE"/>
                <w:w w:val="87"/>
              </w:rPr>
            </w:pPr>
            <w:hyperlink w:anchor="page3">
              <w:r>
                <w:rPr>
                  <w:rFonts w:ascii="Arial" w:cs="Arial" w:eastAsia="Arial" w:hAnsi="Arial"/>
                  <w:sz w:val="18"/>
                  <w:szCs w:val="18"/>
                  <w:b w:val="1"/>
                  <w:bCs w:val="1"/>
                  <w:color w:val="0000EE"/>
                  <w:w w:val="87"/>
                </w:rPr>
                <w:t>Financial Statements:</w:t>
              </w:r>
            </w:hyperlink>
          </w:p>
        </w:tc>
        <w:tc>
          <w:tcPr>
            <w:tcW w:w="1560" w:type="dxa"/>
            <w:vAlign w:val="bottom"/>
            <w:gridSpan w:val="6"/>
          </w:tcPr>
          <w:p>
            <w:pPr>
              <w:spacing w:after="0"/>
              <w:rPr>
                <w:sz w:val="24"/>
                <w:szCs w:val="24"/>
                <w:color w:val="auto"/>
              </w:rPr>
            </w:pPr>
          </w:p>
        </w:tc>
        <w:tc>
          <w:tcPr>
            <w:tcW w:w="2980" w:type="dxa"/>
            <w:vAlign w:val="bottom"/>
            <w:tcBorders>
              <w:top w:val="single" w:sz="8" w:color="0000EE"/>
            </w:tcBorders>
            <w:gridSpan w:val="9"/>
          </w:tcPr>
          <w:p>
            <w:pPr>
              <w:spacing w:after="0"/>
              <w:rPr>
                <w:sz w:val="24"/>
                <w:szCs w:val="24"/>
                <w:color w:val="auto"/>
              </w:rPr>
            </w:pPr>
          </w:p>
        </w:tc>
        <w:tc>
          <w:tcPr>
            <w:tcW w:w="36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58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2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Six Months Ended July 31, 2010 and 2009</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July 31, 2010 and January 31, 2010</w:t>
              </w:r>
            </w:hyperlink>
          </w:p>
        </w:tc>
        <w:tc>
          <w:tcPr>
            <w:tcW w:w="140" w:type="dxa"/>
            <w:vAlign w:val="bottom"/>
            <w:tcBorders>
              <w:top w:val="single" w:sz="8" w:color="0000EE"/>
            </w:tcBorders>
          </w:tcPr>
          <w:p>
            <w:pPr>
              <w:spacing w:after="0"/>
              <w:rPr>
                <w:sz w:val="17"/>
                <w:szCs w:val="17"/>
                <w:color w:val="auto"/>
              </w:rPr>
            </w:pPr>
          </w:p>
        </w:tc>
        <w:tc>
          <w:tcPr>
            <w:tcW w:w="6940" w:type="dxa"/>
            <w:vAlign w:val="bottom"/>
            <w:gridSpan w:val="1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Six Months Ended July 31, 2010 and 2009</w:t>
              </w:r>
            </w:hyperlink>
          </w:p>
        </w:tc>
        <w:tc>
          <w:tcPr>
            <w:tcW w:w="400" w:type="dxa"/>
            <w:vAlign w:val="bottom"/>
            <w:tcBorders>
              <w:top w:val="single" w:sz="8" w:color="0000EE"/>
            </w:tcBorders>
            <w:gridSpan w:val="3"/>
          </w:tcPr>
          <w:p>
            <w:pPr>
              <w:spacing w:after="0"/>
              <w:rPr>
                <w:sz w:val="17"/>
                <w:szCs w:val="17"/>
                <w:color w:val="auto"/>
              </w:rPr>
            </w:pPr>
          </w:p>
        </w:tc>
        <w:tc>
          <w:tcPr>
            <w:tcW w:w="618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96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w:t>
              </w:r>
            </w:hyperlink>
          </w:p>
        </w:tc>
        <w:tc>
          <w:tcPr>
            <w:tcW w:w="584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800" w:type="dxa"/>
            <w:vAlign w:val="bottom"/>
            <w:gridSpan w:val="24"/>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20"/>
          </w:tcPr>
          <w:p>
            <w:pPr>
              <w:spacing w:after="0"/>
              <w:rPr>
                <w:rFonts w:ascii="Arial" w:cs="Arial" w:eastAsia="Arial" w:hAnsi="Arial"/>
                <w:sz w:val="18"/>
                <w:szCs w:val="18"/>
                <w:b w:val="1"/>
                <w:bCs w:val="1"/>
                <w:color w:val="0000EE"/>
                <w:w w:val="89"/>
              </w:rPr>
            </w:pPr>
            <w:hyperlink w:anchor="page42">
              <w:r>
                <w:rPr>
                  <w:rFonts w:ascii="Arial" w:cs="Arial" w:eastAsia="Arial" w:hAnsi="Arial"/>
                  <w:sz w:val="18"/>
                  <w:szCs w:val="18"/>
                  <w:b w:val="1"/>
                  <w:bCs w:val="1"/>
                  <w:color w:val="0000EE"/>
                  <w:w w:val="89"/>
                </w:rPr>
                <w:t>Quantitative and Qualitative Disclosures About Market Risk</w:t>
              </w:r>
            </w:hyperlink>
          </w:p>
        </w:tc>
        <w:tc>
          <w:tcPr>
            <w:tcW w:w="2100" w:type="dxa"/>
            <w:vAlign w:val="bottom"/>
            <w:tcBorders>
              <w:top w:val="single" w:sz="8" w:color="0000EE"/>
            </w:tcBorders>
            <w:gridSpan w:val="3"/>
          </w:tcPr>
          <w:p>
            <w:pPr>
              <w:spacing w:after="0"/>
              <w:rPr>
                <w:sz w:val="24"/>
                <w:szCs w:val="24"/>
                <w:color w:val="auto"/>
              </w:rPr>
            </w:pPr>
          </w:p>
        </w:tc>
        <w:tc>
          <w:tcPr>
            <w:tcW w:w="3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800" w:type="dxa"/>
            <w:vAlign w:val="bottom"/>
            <w:gridSpan w:val="24"/>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10"/>
          </w:tcPr>
          <w:p>
            <w:pPr>
              <w:jc w:val="center"/>
              <w:ind w:right="3640"/>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OTHER INFORMATION</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340" w:type="dxa"/>
            <w:vAlign w:val="bottom"/>
            <w:gridSpan w:val="15"/>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Legal Proceedings</w:t>
              </w:r>
            </w:hyperlink>
          </w:p>
        </w:tc>
        <w:tc>
          <w:tcPr>
            <w:tcW w:w="2700" w:type="dxa"/>
            <w:vAlign w:val="bottom"/>
            <w:tcBorders>
              <w:top w:val="single" w:sz="8" w:color="0000EE"/>
            </w:tcBorders>
            <w:gridSpan w:val="6"/>
          </w:tcPr>
          <w:p>
            <w:pPr>
              <w:spacing w:after="0"/>
              <w:rPr>
                <w:sz w:val="24"/>
                <w:szCs w:val="24"/>
                <w:color w:val="auto"/>
              </w:rPr>
            </w:pPr>
          </w:p>
        </w:tc>
        <w:tc>
          <w:tcPr>
            <w:tcW w:w="376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6"/>
              </w:rPr>
            </w:pPr>
            <w:hyperlink w:anchor="page43">
              <w:r>
                <w:rPr>
                  <w:rFonts w:ascii="Arial" w:cs="Arial" w:eastAsia="Arial" w:hAnsi="Arial"/>
                  <w:sz w:val="18"/>
                  <w:szCs w:val="18"/>
                  <w:b w:val="1"/>
                  <w:bCs w:val="1"/>
                  <w:color w:val="0000EE"/>
                  <w:w w:val="86"/>
                </w:rPr>
                <w:t>Risk Factors</w:t>
              </w:r>
            </w:hyperlink>
          </w:p>
        </w:tc>
        <w:tc>
          <w:tcPr>
            <w:tcW w:w="400" w:type="dxa"/>
            <w:vAlign w:val="bottom"/>
            <w:tcBorders>
              <w:top w:val="single" w:sz="8" w:color="0000EE"/>
            </w:tcBorders>
          </w:tcPr>
          <w:p>
            <w:pPr>
              <w:spacing w:after="0"/>
              <w:rPr>
                <w:sz w:val="24"/>
                <w:szCs w:val="24"/>
                <w:color w:val="auto"/>
              </w:rPr>
            </w:pPr>
          </w:p>
        </w:tc>
        <w:tc>
          <w:tcPr>
            <w:tcW w:w="8440" w:type="dxa"/>
            <w:vAlign w:val="bottom"/>
            <w:gridSpan w:val="1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60" w:type="dxa"/>
            <w:vAlign w:val="bottom"/>
            <w:tcBorders>
              <w:bottom w:val="single" w:sz="8" w:color="0000EE"/>
            </w:tcBorders>
            <w:gridSpan w:val="19"/>
          </w:tcPr>
          <w:p>
            <w:pPr>
              <w:spacing w:after="0"/>
              <w:rPr>
                <w:rFonts w:ascii="Arial" w:cs="Arial" w:eastAsia="Arial" w:hAnsi="Arial"/>
                <w:sz w:val="18"/>
                <w:szCs w:val="18"/>
                <w:b w:val="1"/>
                <w:bCs w:val="1"/>
                <w:color w:val="0000EE"/>
                <w:w w:val="85"/>
              </w:rPr>
            </w:pPr>
            <w:hyperlink w:anchor="page53">
              <w:r>
                <w:rPr>
                  <w:rFonts w:ascii="Arial" w:cs="Arial" w:eastAsia="Arial" w:hAnsi="Arial"/>
                  <w:sz w:val="18"/>
                  <w:szCs w:val="18"/>
                  <w:b w:val="1"/>
                  <w:bCs w:val="1"/>
                  <w:color w:val="0000EE"/>
                  <w:w w:val="85"/>
                </w:rPr>
                <w:t>Unregistered Sales of Equity Securities and Use of Proceeds</w:t>
              </w:r>
            </w:hyperlink>
          </w:p>
        </w:tc>
        <w:tc>
          <w:tcPr>
            <w:tcW w:w="534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800" w:type="dxa"/>
            <w:vAlign w:val="bottom"/>
            <w:gridSpan w:val="24"/>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Defaults Upon Senior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38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Removed and Reserved</w:t>
              </w:r>
            </w:hyperlink>
          </w:p>
        </w:tc>
        <w:tc>
          <w:tcPr>
            <w:tcW w:w="742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2"/>
              </w:rPr>
            </w:pPr>
            <w:hyperlink w:anchor="page53">
              <w:r>
                <w:rPr>
                  <w:rFonts w:ascii="Arial" w:cs="Arial" w:eastAsia="Arial" w:hAnsi="Arial"/>
                  <w:sz w:val="18"/>
                  <w:szCs w:val="18"/>
                  <w:b w:val="1"/>
                  <w:bCs w:val="1"/>
                  <w:color w:val="0000EE"/>
                  <w:w w:val="92"/>
                </w:rPr>
                <w:t>Other Information</w:t>
              </w:r>
            </w:hyperlink>
          </w:p>
        </w:tc>
        <w:tc>
          <w:tcPr>
            <w:tcW w:w="340" w:type="dxa"/>
            <w:vAlign w:val="bottom"/>
            <w:tcBorders>
              <w:top w:val="single" w:sz="8" w:color="0000EE"/>
            </w:tcBorders>
            <w:gridSpan w:val="2"/>
          </w:tcPr>
          <w:p>
            <w:pPr>
              <w:spacing w:after="0"/>
              <w:rPr>
                <w:sz w:val="24"/>
                <w:szCs w:val="24"/>
                <w:color w:val="auto"/>
              </w:rPr>
            </w:pPr>
          </w:p>
        </w:tc>
        <w:tc>
          <w:tcPr>
            <w:tcW w:w="8040" w:type="dxa"/>
            <w:vAlign w:val="bottom"/>
            <w:gridSpan w:val="1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24"/>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0" w:type="dxa"/>
            <w:vAlign w:val="bottom"/>
            <w:gridSpan w:val="2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800" w:type="dxa"/>
            <w:vAlign w:val="bottom"/>
            <w:tcBorders>
              <w:bottom w:val="single" w:sz="8" w:color="0000EE"/>
            </w:tcBorders>
            <w:gridSpan w:val="3"/>
          </w:tcPr>
          <w:p>
            <w:pPr>
              <w:spacing w:after="0"/>
              <w:rPr>
                <w:rFonts w:ascii="Arial" w:cs="Arial" w:eastAsia="Arial" w:hAnsi="Arial"/>
                <w:sz w:val="18"/>
                <w:szCs w:val="18"/>
                <w:b w:val="1"/>
                <w:bCs w:val="1"/>
                <w:color w:val="0000EE"/>
                <w:w w:val="83"/>
              </w:rPr>
            </w:pPr>
            <w:hyperlink w:anchor="page54">
              <w:r>
                <w:rPr>
                  <w:rFonts w:ascii="Arial" w:cs="Arial" w:eastAsia="Arial" w:hAnsi="Arial"/>
                  <w:sz w:val="18"/>
                  <w:szCs w:val="18"/>
                  <w:b w:val="1"/>
                  <w:bCs w:val="1"/>
                  <w:color w:val="0000EE"/>
                  <w:w w:val="83"/>
                </w:rPr>
                <w:t>Signatures</w:t>
              </w:r>
            </w:hyperlink>
          </w:p>
        </w:tc>
        <w:tc>
          <w:tcPr>
            <w:tcW w:w="9000" w:type="dxa"/>
            <w:vAlign w:val="bottom"/>
            <w:gridSpan w:val="2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83"/>
        </w:trPr>
        <w:tc>
          <w:tcPr>
            <w:tcW w:w="1100" w:type="dxa"/>
            <w:vAlign w:val="bottom"/>
          </w:tcPr>
          <w:p>
            <w:pPr>
              <w:spacing w:after="0"/>
              <w:rPr>
                <w:sz w:val="24"/>
                <w:szCs w:val="24"/>
                <w:color w:val="auto"/>
              </w:rPr>
            </w:pPr>
          </w:p>
        </w:tc>
        <w:tc>
          <w:tcPr>
            <w:tcW w:w="6040" w:type="dxa"/>
            <w:vAlign w:val="bottom"/>
            <w:gridSpan w:val="21"/>
          </w:tcPr>
          <w:p>
            <w:pPr>
              <w:ind w:left="45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3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License and other</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280.7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231.0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560.5</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192.1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386.9</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860"/>
              <w:spacing w:after="0"/>
              <w:rPr>
                <w:sz w:val="20"/>
                <w:szCs w:val="20"/>
                <w:color w:val="auto"/>
              </w:rPr>
            </w:pPr>
            <w:r>
              <w:rPr>
                <w:rFonts w:ascii="Arial" w:cs="Arial" w:eastAsia="Arial" w:hAnsi="Arial"/>
                <w:sz w:val="18"/>
                <w:szCs w:val="18"/>
                <w:color w:val="auto"/>
              </w:rPr>
              <w:t>Total net revenue</w:t>
            </w: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472.8</w:t>
            </w: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414.9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947.4</w:t>
            </w:r>
          </w:p>
        </w:tc>
        <w:tc>
          <w:tcPr>
            <w:tcW w:w="18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840.7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Cost of license and other revenue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424.4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847.7</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177.5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364.0</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119.3</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246.5</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344.6</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362.1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717.1</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(20.0)</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(30.5)</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(21.7)</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gridSpan w:val="2"/>
            <w:vMerge w:val="continue"/>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 (0.09)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(0.09)</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basic net income (loss) per share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228.0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228.5</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(loss) per share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233.8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234.5</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ind w:left="426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1,417.4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1,379.6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545.7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268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79.0</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Long term income taxes payable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Common stock and additional paid-in capital</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1,225.1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1,525.8</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2,525.0</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July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96.8</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Restructuring charges, net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goodwill</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Gain on disposition of assets</w:t>
            </w: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marketable securities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Maturities of marketable securities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 of equity investment</w:t>
            </w: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Other investing activities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(316.8)</w:t>
            </w: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Draws on line of credit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Repayments of line of credit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838.7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8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or the “Company”) as of July 31, 2010, and for the three and six months ended July 31, 2010,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2010 are not necessarily indicative of the results for the entire fiscal year ending January 31, 2011,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2010 (the “2010 Form 10-K”) filed on March 19, 2010.</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jc w:val="both"/>
        <w:ind w:right="420" w:firstLine="456"/>
        <w:spacing w:after="0" w:line="256" w:lineRule="auto"/>
        <w:rPr>
          <w:sz w:val="20"/>
          <w:szCs w:val="20"/>
          <w:color w:val="auto"/>
        </w:rPr>
      </w:pPr>
      <w:r>
        <w:rPr>
          <w:rFonts w:ascii="Arial" w:cs="Arial" w:eastAsia="Arial" w:hAnsi="Arial"/>
          <w:sz w:val="18"/>
          <w:szCs w:val="18"/>
          <w:color w:val="auto"/>
        </w:rPr>
        <w:t>During the first quarter of fiscal 2011, Autodesk reclassified certain costs of revenue, which primarily included reclassifying shipping and fulfillment expenses from “Cost of license and other revenue” to “Cost of maintenance revenue,” due to a change in the Company’s cost allocation methodology. These expenses have been reclassified in the Condensed Consolidated Statement of Operations for the three and six months ended July 31, 2009 to conform to the current period presentation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Three Months</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892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Ended</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920" w:type="dxa"/>
            <w:vAlign w:val="bottom"/>
          </w:tcPr>
          <w:p>
            <w:pPr>
              <w:spacing w:after="0"/>
              <w:rPr>
                <w:sz w:val="20"/>
                <w:szCs w:val="20"/>
                <w:color w:val="auto"/>
              </w:rPr>
            </w:pPr>
            <w:r>
              <w:rPr>
                <w:rFonts w:ascii="Arial" w:cs="Arial" w:eastAsia="Arial" w:hAnsi="Arial"/>
                <w:sz w:val="14"/>
                <w:szCs w:val="14"/>
                <w:b w:val="1"/>
                <w:bCs w:val="1"/>
                <w:color w:val="auto"/>
              </w:rPr>
              <w:t>Increase (Decrease) to Expense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July 31, 2009</w:t>
            </w:r>
          </w:p>
        </w:tc>
        <w:tc>
          <w:tcPr>
            <w:tcW w:w="8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July 31, 2009</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license and other revenue</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Cost of maintenance revenue</w:t>
            </w: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2.3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bl>
    <w:p>
      <w:pPr>
        <w:spacing w:after="0" w:line="26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With the exception of those discussed below, there have been no recent accounting pronouncements or changes in accounting pronouncements during the three months ended July 31, 2010, as compared to the accounting pronouncements described in Autodesk’s Annual Report on Form 10-K for the fiscal year ended January 31, 2010, that are of significance, or potential significance, to the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In October 2009, the Financial Accounting Standards Board (“FASB”) issued Accounting Standards Update (“ASU”) 2009-13 regarding Accounting Standards Codification (“ASC”) Subtopic 605-25 “Revenue Recognition—Multiple-element Arrangements.” This ASU addresses criteria for separating the consideration in multiple-element arrangements. ASU 2009-13 will require companies to allocate the overall consideration to each deliverable by using a best estimate of the selling price of individual deliverables in the arrangement in the absence of vendor-specific objective evidence or other third-party evidence of the selling price. In October 2009, the FASB also issued ASU 2009-14 regarding ASC Topic 985 “Software: Certain Revenue Arrangements That Include Software Elements.” This ASU modifies the scope of ASC Subtopic 985-605, “Software Revenue Recognition,” to exclude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 changes under ASU 2009-13 and</w:t>
      </w:r>
    </w:p>
    <w:p>
      <w:pPr>
        <w:spacing w:after="0" w:line="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2009-14 will be effective prospectively for revenue arrangements entered into or materially modified in fiscal years beginning on or after June 15, 2010, and early adoption is permitted. Autodesk currently plans to adopt the changes under ASU 2009-13 and 2009-14 effective February 1, 2011. Autodesk is currently assessing the impact that the adoption of these new accounting pronouncements will have on its consolidated financial position, results of operations and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January 2010, the FASB issued ASU 2010-06 regarding ASC Topic 820 “Fair Value Measurements and Disclosures.” This ASU requires additional disclosure regarding significant transfers in and out of Levels 1 and 2 fair value measurements and the reasons for the transfers. In addition, this ASU requires the Company to present separately information about purchases, sales, issuances, and settlements, (on a gross basis rather than as one net number), in the reconciliation for fair value measurements using significant unobservable inputs (Level 3). ASU 2010-06 clarifies existing disclosures regarding fair value measurement for each class of assets and liabilities and the valuation techniques and inputs used to measure fair value for recurring and nonrecurring fair value measurements that fall in either Level 2 or Level 3. This update also includes conforming amendments to the guidance on employers’ disclosures about postretirement benefit plan asset (Subtopic 715-20). The changes under ASU 2010-06 were effective for Autodesk’s fiscal year beginning February 1, 2010, except for the disclosures about purchases, sales, issuances and settlements in the roll forward of activity in Level 3 fair value measurements, which are effective for Autodesk’s fiscal year beginning February 1, 2011. The adoption of the portion of this ASU that was effective as of February 1, 2010 did not have a material impact on Autodesk’s consolidated financial position, results of operations or cash flows. Autodesk believes that the adoption of the remaining portion of the ASU that is effective for Autodesk’s fiscal year beginning February 1, 2011 will not have a material impact on its consolidated financial position, results of operations or cash flows.</w:t>
      </w:r>
    </w:p>
    <w:p>
      <w:pPr>
        <w:spacing w:after="0" w:line="24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 of Credit Risks and Significant Customers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It is Autodesk’s policy that its cash, cash equivalents and marketable securities are held with, and in the custody of, financial institutions with high credit standing. Autodesk’s cash and cash equivalents are held by diversified institutions globally. Autodesk’s primary commercial banking relationship is with Citibank and its global affiliates (“Citibank”). In addition, Citicorp USA, Inc., an affiliate of Citibank, is the lead lender and agent in the syndicate of the Company’s $250.0 million U.S. line of credit. It is Autodesk’s policy to limit the amounts invested with any one institution by type of security and issuer.</w:t>
      </w:r>
    </w:p>
    <w:p>
      <w:pPr>
        <w:spacing w:after="0" w:line="11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Total sales to the distributors Tech Data Corporation and its global affiliates (“Tech Data”) accounted for 15% and 16% of Autodesk’s consolidated net revenue for the three and six months ended July 31, 2010 and 14% of Autodesk’s consolidated net revenue for each of the three and six month periods ended July 31, 2009, respectively. The majority of the net revenue from sales to Tech Data relates to Autodesk’s Platform Solutions and Emerging Business segment and comes from outside the U.S. In addition, Tech Data accounted for 17% and 15% of gross accounts receivable at July 31, 2010 and January 31, 2010, respectively.</w:t>
      </w:r>
    </w:p>
    <w:p>
      <w:pPr>
        <w:spacing w:after="0" w:line="219" w:lineRule="exact"/>
        <w:rPr>
          <w:sz w:val="20"/>
          <w:szCs w:val="20"/>
          <w:color w:val="auto"/>
        </w:rPr>
      </w:pPr>
    </w:p>
    <w:p>
      <w:pPr>
        <w:ind w:left="240" w:right="7640" w:hanging="232"/>
        <w:spacing w:after="0" w:line="344" w:lineRule="auto"/>
        <w:tabs>
          <w:tab w:leader="none" w:pos="45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Instruments and Hedging Activities </w:t>
      </w:r>
      <w:r>
        <w:rPr>
          <w:rFonts w:ascii="Arial" w:cs="Arial" w:eastAsia="Arial" w:hAnsi="Arial"/>
          <w:sz w:val="18"/>
          <w:szCs w:val="18"/>
          <w:i w:val="1"/>
          <w:iCs w:val="1"/>
          <w:color w:val="auto"/>
        </w:rPr>
        <w:t>Financial Instruments</w:t>
      </w:r>
    </w:p>
    <w:p>
      <w:pPr>
        <w:spacing w:after="0" w:line="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w w:val="87"/>
              </w:rPr>
              <w:t>July 31, 2010</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5"/>
          </w:tcPr>
          <w:p>
            <w:pPr>
              <w:ind w:left="220"/>
              <w:spacing w:after="0"/>
              <w:rPr>
                <w:sz w:val="20"/>
                <w:szCs w:val="20"/>
                <w:color w:val="auto"/>
              </w:rPr>
            </w:pPr>
            <w:r>
              <w:rPr>
                <w:rFonts w:ascii="Arial" w:cs="Arial" w:eastAsia="Arial" w:hAnsi="Arial"/>
                <w:sz w:val="14"/>
                <w:szCs w:val="14"/>
                <w:b w:val="1"/>
                <w:bCs w:val="1"/>
                <w:color w:val="auto"/>
              </w:rPr>
              <w:t>January 31, 2010</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Amortized Cost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500" w:type="dxa"/>
            <w:vAlign w:val="bottom"/>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850.0</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Marketable securities - short-term</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237.8</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long-term</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Foreign currency forward and option contracts</w:t>
            </w: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Autodesk classifies its marketable securities as either short-term or long-term based on each instrument’s underlying contractual maturity date. Marketable securities with maturities of less than 12 months are classified as short-term and marketable securities with maturities greater than 12 months are classified as long-term. Autodesk may sell certain of its marketable securities prior to their stated maturities for strategic purposes and in anticipation of credit deterioration.</w:t>
      </w:r>
    </w:p>
    <w:p>
      <w:pPr>
        <w:spacing w:after="0" w:line="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Autodesk has marketable securities that are classified as either “available-for-sale securities” or “trading securities.” At July 31, 2010 and January 31, 2010, Autodesk’s short-term investment portfolio included $28.7 million and $26.3 million, respectively, of trading securities invested in a defined set of mutual funds as directed by the participants in the Company’s Deferred Compensation Plan. At July 31, 2010, these securities had net unrealized losses of $1.3 million and a cost basis of $30.0 million, and at January 31, 2010, these securities had net unrealized losses of $3.1 million and a cost basis of $29.4 million (see Note 8, “Deferred Compensation”).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classified as “available-for-sale securities” include the following securities at July 31, 2010 and January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July 31, 2010</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4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r>
      <w:tr>
        <w:trPr>
          <w:trHeight w:val="161"/>
        </w:trPr>
        <w:tc>
          <w:tcPr>
            <w:tcW w:w="5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2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84.3</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30"/>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Sovereign debt</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22"/>
        </w:trPr>
        <w:tc>
          <w:tcPr>
            <w:tcW w:w="5580" w:type="dxa"/>
            <w:vAlign w:val="bottom"/>
          </w:tcPr>
          <w:p>
            <w:pPr>
              <w:spacing w:after="0"/>
              <w:rPr>
                <w:sz w:val="19"/>
                <w:szCs w:val="19"/>
                <w:color w:val="auto"/>
              </w:rPr>
            </w:pP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207.8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207.9</w:t>
            </w:r>
          </w:p>
        </w:tc>
      </w:tr>
      <w:tr>
        <w:trPr>
          <w:trHeight w:val="20"/>
        </w:trPr>
        <w:tc>
          <w:tcPr>
            <w:tcW w:w="5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144.0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145.7</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auction-rate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29"/>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Sovereign debt</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181.9</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184.1</w:t>
            </w:r>
          </w:p>
        </w:tc>
      </w:tr>
      <w:tr>
        <w:trPr>
          <w:trHeight w:val="20"/>
        </w:trPr>
        <w:tc>
          <w:tcPr>
            <w:tcW w:w="5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5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January 31, 2010</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5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4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r>
      <w:tr>
        <w:trPr>
          <w:trHeight w:val="161"/>
        </w:trPr>
        <w:tc>
          <w:tcPr>
            <w:tcW w:w="5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2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22"/>
        </w:trPr>
        <w:tc>
          <w:tcPr>
            <w:tcW w:w="5580" w:type="dxa"/>
            <w:vAlign w:val="bottom"/>
          </w:tcPr>
          <w:p>
            <w:pPr>
              <w:spacing w:after="0"/>
              <w:rPr>
                <w:sz w:val="19"/>
                <w:szCs w:val="19"/>
                <w:color w:val="auto"/>
              </w:rPr>
            </w:pP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135.4</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135.6</w:t>
            </w:r>
          </w:p>
        </w:tc>
      </w:tr>
      <w:tr>
        <w:trPr>
          <w:trHeight w:val="20"/>
        </w:trPr>
        <w:tc>
          <w:tcPr>
            <w:tcW w:w="5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Corporate securities</w:t>
            </w: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94.9</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r>
      <w:tr>
        <w:trPr>
          <w:trHeight w:val="223"/>
        </w:trPr>
        <w:tc>
          <w:tcPr>
            <w:tcW w:w="558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2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r>
      <w:tr>
        <w:trPr>
          <w:trHeight w:val="216"/>
        </w:trPr>
        <w:tc>
          <w:tcPr>
            <w:tcW w:w="55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r>
              <w:rPr>
                <w:rFonts w:ascii="Arial" w:cs="Arial" w:eastAsia="Arial" w:hAnsi="Arial"/>
                <w:sz w:val="18"/>
                <w:szCs w:val="18"/>
                <w:u w:val="single" w:color="auto"/>
                <w:color w:val="auto"/>
              </w:rPr>
              <w:t>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125.6</w:t>
            </w:r>
          </w:p>
        </w:tc>
        <w:tc>
          <w:tcPr>
            <w:tcW w:w="2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sales of “available-for-sale securities” resulted in no gross gains or losses during the three and six month periods ended July 31, 2010 and 2009. The cost of securities sold is based on the specific identification method.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July 31, 2010 and January 31, 2010, Autodesk was invested in The Reserve International Liquidity Fund (the “International Fund”) with an estimated fair value of $10.0 million. In mid-September of 2008, the International Fund ceased redemptions after net asset values of the funds decreased below $1 per share. This occurred as a result of the International Fund revaluing their holdings of debt securities issued by Lehman Brothers Holdings, Inc. (“Lehman Brothers”), which filed for Chapter 11 bankruptcy on September 15, 2008, and the resulting unusually high redemption requests on the International Fund.</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third party court appointed supervisor is overseeing, but not managing, the accounting and payment administration of the International Fund. At this time, the amount and timing of the distribution of our investment in the International Fund is subject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litigation, and in the event Autodesk needs to access these funds, the Company will not be able to do so. However, based on currently available information, Autodesk expects to recover substantially all of its current holdings, net of reserves, from the International Fund within the next 12 months. Accordingly, the International Fund is classified in current “Marketable securities” in the Condensed Consolidated Balance Sheets.</w:t>
      </w:r>
    </w:p>
    <w:p>
      <w:pPr>
        <w:spacing w:after="0" w:line="8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July 31, 2010 and January 31, 2010, Autodesk owned two auction rate securities with an estimated fair value of $7.6 million. Autodesk’s auction rate securities are variable rate debt instruments that have underlying securities with contractual maturities greater than ten years and interest rates that were structured to reset at auction every 28 days. The securities, which met Autodesk’s investment guidelines at the time the investments were made, have failed to settle in auctions since August 2007 and have earned a premium interest rate since that time. While Autodesk expects to recover substantially all of its current holdings, net of reserves, in the auction rate securities, it cannot predict when this will occur or the amount the Company will receive. Due to the lack of liquidity of these investments in an active market, they are included in non-current “Marketable securities” on the accompanying Condensed Consolidated Balance Sheets. The Company will continue to evaluate its accounting for these investments quarterly.</w:t>
      </w:r>
    </w:p>
    <w:p>
      <w:pPr>
        <w:spacing w:after="0" w:line="9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the estimated fair value of our available-for-sale marketable securities, classified by the contractual maturity date of the security as of July 31, 2010:</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maturities of types of securities</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540" w:type="dxa"/>
            <w:vAlign w:val="bottom"/>
            <w:gridSpan w:val="6"/>
          </w:tcPr>
          <w:p>
            <w:pPr>
              <w:ind w:left="380"/>
              <w:spacing w:after="0"/>
              <w:rPr>
                <w:sz w:val="20"/>
                <w:szCs w:val="20"/>
                <w:color w:val="auto"/>
              </w:rPr>
            </w:pPr>
            <w:r>
              <w:rPr>
                <w:rFonts w:ascii="Arial" w:cs="Arial" w:eastAsia="Arial" w:hAnsi="Arial"/>
                <w:sz w:val="14"/>
                <w:szCs w:val="14"/>
                <w:b w:val="1"/>
                <w:bCs w:val="1"/>
                <w:color w:val="auto"/>
              </w:rPr>
              <w:t>July 31, 2010</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Due in 1 year</w:t>
            </w:r>
          </w:p>
        </w:tc>
        <w:tc>
          <w:tcPr>
            <w:tcW w:w="4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in 1 year through 5 years</w:t>
            </w:r>
          </w:p>
        </w:tc>
        <w:tc>
          <w:tcPr>
            <w:tcW w:w="4060" w:type="dxa"/>
            <w:vAlign w:val="bottom"/>
            <w:gridSpan w:val="3"/>
          </w:tcPr>
          <w:p>
            <w:pPr>
              <w:jc w:val="right"/>
              <w:ind w:right="200"/>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Due in 5 years through 10 years</w:t>
            </w:r>
          </w:p>
        </w:tc>
        <w:tc>
          <w:tcPr>
            <w:tcW w:w="3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after 10 years</w:t>
            </w:r>
          </w:p>
        </w:tc>
        <w:tc>
          <w:tcPr>
            <w:tcW w:w="3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392.0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31, 2010 and January 31, 2010, Autodesk did not have any securities in a continuous unrealized loss position for greater than 12 months.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5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Under its risk management strategy, Autodesk uses derivative instruments to manage its short-term exposures to fluctuations in foreign currency exchange rates, which exist as part of ongoing international business operations. Autodesk’s general practice is to use two types of derivative instruments, option collars and forward contracts, to hedge a majority of transaction exposures denominated in euros, Japanese yen, Swiss francs, British pounds and Canadian dollars. These instruments have maturities between 1 to 12 months in the future. Autodesk does not enter into any derivative instruments for trading or speculative purposes.</w:t>
      </w:r>
    </w:p>
    <w:p>
      <w:pPr>
        <w:spacing w:after="0" w:line="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does not have any master netting arrangements in place with collateral features.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w:t>
      </w:r>
    </w:p>
    <w:p>
      <w:pPr>
        <w:spacing w:after="0" w:line="5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Autodesk utilizes foreign currency contracts to reduce the exchange rate impact on a portion of the net revenue or operating expense of certain anticipated transactions. These contracts, which are designated and documented as cash flow hedges, qualify for special hedge accounting treatment. The effectiveness of the cash flow hedge contracts is assessed quarterly using regression analysis as well as other timing and probability criteria. To receive special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(expense), net” in the Company’s Condensed Consolidated Financial Statements at that time.</w:t>
      </w:r>
    </w:p>
    <w:p>
      <w:pPr>
        <w:spacing w:after="0" w:line="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notional amount of these contracts was $266.3 million at July 31, 2010 and $239.1 million at January 31, 2010. Outstanding contracts are recognized as either assets or liabilities on the balance sheet at fair value. The entire net gain of $5.3 million remaining in “Accumulated other comprehensive income (loss)” as of July 31, 2010 is expected to be recognized into earnings within the next 12 months.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 Hedges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cash flow hedges described above, contracts which are not designated as hedging instruments are used to reduce the exchange rate risk associated primarily with receivables and payables.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notional amounts of foreign currency contracts were $8.9 million at July 31, 2010 and $19.6 million at January 31, 2010.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derivative instruments in Autodesk’s Condensed Consolidated Balance Sheets were as follows as of July 31, 2010 and January 31, 2010.</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 in Condensed Consolidated Balance Sheet as of July 31, 2010</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6"/>
          </w:tcPr>
          <w:p>
            <w:pPr>
              <w:ind w:left="300"/>
              <w:spacing w:after="0"/>
              <w:rPr>
                <w:sz w:val="20"/>
                <w:szCs w:val="20"/>
                <w:color w:val="auto"/>
              </w:rPr>
            </w:pPr>
            <w:r>
              <w:rPr>
                <w:rFonts w:ascii="Arial" w:cs="Arial" w:eastAsia="Arial" w:hAnsi="Arial"/>
                <w:sz w:val="14"/>
                <w:szCs w:val="14"/>
                <w:b w:val="1"/>
                <w:bCs w:val="1"/>
                <w:color w:val="auto"/>
              </w:rPr>
              <w:t>Derivative Assets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ind w:left="180"/>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Balance Sheet</w:t>
            </w: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Balance Sheet</w:t>
            </w:r>
          </w:p>
        </w:tc>
        <w:tc>
          <w:tcPr>
            <w:tcW w:w="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Location</w:t>
            </w:r>
          </w:p>
        </w:tc>
        <w:tc>
          <w:tcPr>
            <w:tcW w:w="400" w:type="dxa"/>
            <w:vAlign w:val="bottom"/>
            <w:gridSpan w:val="2"/>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contracts designated as cash flow hedges</w:t>
            </w:r>
          </w:p>
        </w:tc>
        <w:tc>
          <w:tcPr>
            <w:tcW w:w="2420" w:type="dxa"/>
            <w:vAlign w:val="bottom"/>
            <w:gridSpan w:val="4"/>
            <w:shd w:val="clear" w:color="auto" w:fill="CCEEFF"/>
          </w:tcPr>
          <w:p>
            <w:pPr>
              <w:ind w:left="1340"/>
              <w:spacing w:after="0" w:line="201" w:lineRule="exact"/>
              <w:rPr>
                <w:sz w:val="20"/>
                <w:szCs w:val="20"/>
                <w:color w:val="auto"/>
              </w:rPr>
            </w:pPr>
            <w:r>
              <w:rPr>
                <w:rFonts w:ascii="Arial" w:cs="Arial" w:eastAsia="Arial" w:hAnsi="Arial"/>
                <w:sz w:val="18"/>
                <w:szCs w:val="18"/>
                <w:color w:val="auto"/>
              </w:rPr>
              <w:t>Prepaid</w:t>
            </w:r>
          </w:p>
        </w:tc>
        <w:tc>
          <w:tcPr>
            <w:tcW w:w="680" w:type="dxa"/>
            <w:vAlign w:val="bottom"/>
            <w:gridSpan w:val="4"/>
            <w:shd w:val="clear" w:color="auto" w:fill="CCEEFF"/>
          </w:tcPr>
          <w:p>
            <w:pPr>
              <w:jc w:val="center"/>
              <w:ind w:left="112"/>
              <w:spacing w:after="0" w:line="201" w:lineRule="exact"/>
              <w:rPr>
                <w:sz w:val="20"/>
                <w:szCs w:val="20"/>
                <w:color w:val="auto"/>
              </w:rPr>
            </w:pPr>
            <w:r>
              <w:rPr>
                <w:rFonts w:ascii="Arial" w:cs="Arial" w:eastAsia="Arial" w:hAnsi="Arial"/>
                <w:sz w:val="18"/>
                <w:szCs w:val="18"/>
                <w:color w:val="auto"/>
                <w:w w:val="89"/>
              </w:rPr>
              <w:t>$ 5.6</w:t>
            </w:r>
          </w:p>
        </w:tc>
        <w:tc>
          <w:tcPr>
            <w:tcW w:w="32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$ 0.9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ind w:left="1340"/>
              <w:spacing w:after="0"/>
              <w:rPr>
                <w:sz w:val="20"/>
                <w:szCs w:val="20"/>
                <w:color w:val="auto"/>
              </w:rPr>
            </w:pPr>
            <w:r>
              <w:rPr>
                <w:rFonts w:ascii="Arial" w:cs="Arial" w:eastAsia="Arial" w:hAnsi="Arial"/>
                <w:sz w:val="18"/>
                <w:szCs w:val="18"/>
                <w:color w:val="auto"/>
                <w:w w:val="94"/>
              </w:rPr>
              <w:t>expenses and</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accrued</w:t>
            </w: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ind w:left="1340"/>
              <w:spacing w:after="0"/>
              <w:rPr>
                <w:sz w:val="20"/>
                <w:szCs w:val="20"/>
                <w:color w:val="auto"/>
              </w:rPr>
            </w:pPr>
            <w:r>
              <w:rPr>
                <w:rFonts w:ascii="Arial" w:cs="Arial" w:eastAsia="Arial" w:hAnsi="Arial"/>
                <w:sz w:val="18"/>
                <w:szCs w:val="18"/>
                <w:color w:val="auto"/>
              </w:rPr>
              <w:t>other current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2420" w:type="dxa"/>
            <w:vAlign w:val="bottom"/>
            <w:gridSpan w:val="4"/>
            <w:shd w:val="clear" w:color="auto" w:fill="CCEEFF"/>
          </w:tcPr>
          <w:p>
            <w:pPr>
              <w:ind w:left="13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derivatives</w:t>
            </w: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left="112"/>
              <w:spacing w:after="0"/>
              <w:rPr>
                <w:sz w:val="20"/>
                <w:szCs w:val="20"/>
                <w:color w:val="auto"/>
              </w:rPr>
            </w:pPr>
            <w:r>
              <w:rPr>
                <w:rFonts w:ascii="Arial" w:cs="Arial" w:eastAsia="Arial" w:hAnsi="Arial"/>
                <w:sz w:val="18"/>
                <w:szCs w:val="18"/>
                <w:color w:val="auto"/>
                <w:w w:val="89"/>
              </w:rPr>
              <w:t>$ 5.6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0"/>
              </w:rPr>
              <w:t>Fair Value of Derivative Instruments in Condensed Consolidated Balance Sheet as of January 31, 2010</w:t>
            </w: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0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Derivative Assets</w:t>
            </w:r>
          </w:p>
        </w:tc>
        <w:tc>
          <w:tcPr>
            <w:tcW w:w="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Derivative Liabilities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5"/>
              </w:rPr>
              <w:t>Balance Sheet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4"/>
                <w:szCs w:val="14"/>
                <w:b w:val="1"/>
                <w:bCs w:val="1"/>
                <w:color w:val="auto"/>
              </w:rPr>
              <w:t>Balance Sheet</w:t>
            </w:r>
          </w:p>
        </w:tc>
        <w:tc>
          <w:tcPr>
            <w:tcW w:w="380" w:type="dxa"/>
            <w:vAlign w:val="bottom"/>
            <w:gridSpan w:val="2"/>
          </w:tcPr>
          <w:p>
            <w:pPr>
              <w:jc w:val="center"/>
              <w:ind w:right="20"/>
              <w:spacing w:after="0" w:line="130"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Location</w:t>
            </w:r>
          </w:p>
        </w:tc>
        <w:tc>
          <w:tcPr>
            <w:tcW w:w="32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contracts designated as cash flow hedges</w:t>
            </w:r>
          </w:p>
        </w:tc>
        <w:tc>
          <w:tcPr>
            <w:tcW w:w="13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Prepaid</w:t>
            </w:r>
          </w:p>
        </w:tc>
        <w:tc>
          <w:tcPr>
            <w:tcW w:w="680" w:type="dxa"/>
            <w:vAlign w:val="bottom"/>
            <w:gridSpan w:val="4"/>
            <w:shd w:val="clear" w:color="auto" w:fill="CCEEFF"/>
          </w:tcPr>
          <w:p>
            <w:pPr>
              <w:jc w:val="center"/>
              <w:ind w:left="232"/>
              <w:spacing w:after="0" w:line="201" w:lineRule="exact"/>
              <w:rPr>
                <w:sz w:val="20"/>
                <w:szCs w:val="20"/>
                <w:color w:val="auto"/>
              </w:rPr>
            </w:pPr>
            <w:r>
              <w:rPr>
                <w:rFonts w:ascii="Arial" w:cs="Arial" w:eastAsia="Arial" w:hAnsi="Arial"/>
                <w:sz w:val="18"/>
                <w:szCs w:val="18"/>
                <w:color w:val="auto"/>
                <w:w w:val="89"/>
              </w:rPr>
              <w:t>$ 4.3</w:t>
            </w:r>
          </w:p>
        </w:tc>
        <w:tc>
          <w:tcPr>
            <w:tcW w:w="1560" w:type="dxa"/>
            <w:vAlign w:val="bottom"/>
            <w:gridSpan w:val="5"/>
            <w:shd w:val="clear" w:color="auto" w:fill="CCEEFF"/>
          </w:tcPr>
          <w:p>
            <w:pPr>
              <w:ind w:left="320"/>
              <w:spacing w:after="0" w:line="201" w:lineRule="exact"/>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$ 0.4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0"/>
              </w:rPr>
              <w:t>expenses and</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accrued</w:t>
            </w: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other current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derivatives</w:t>
            </w: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left="232"/>
              <w:spacing w:after="0"/>
              <w:rPr>
                <w:sz w:val="20"/>
                <w:szCs w:val="20"/>
                <w:color w:val="auto"/>
              </w:rPr>
            </w:pPr>
            <w:r>
              <w:rPr>
                <w:rFonts w:ascii="Arial" w:cs="Arial" w:eastAsia="Arial" w:hAnsi="Arial"/>
                <w:sz w:val="18"/>
                <w:szCs w:val="18"/>
                <w:color w:val="auto"/>
                <w:w w:val="89"/>
              </w:rPr>
              <w:t>$ 4.3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effects of derivative instruments on Autodesk’s Condensed Consolidated Statements of Operations were as follows for the three and six months ended July 31, 2010 and 2009, respectively (amounts presented include any income tax effects).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Effects of Derivative Instruments on Income and Other Comprehensive Income (“OCI”) Derivatives Designated as Hedging Instruments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88"/>
              </w:rPr>
              <w:t>Amount and Location of Gain</w:t>
            </w: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200" w:type="dxa"/>
            <w:vAlign w:val="bottom"/>
          </w:tcPr>
          <w:p>
            <w:pPr>
              <w:spacing w:after="0"/>
              <w:rPr>
                <w:sz w:val="12"/>
                <w:szCs w:val="12"/>
                <w:color w:val="auto"/>
              </w:rPr>
            </w:pPr>
          </w:p>
        </w:tc>
        <w:tc>
          <w:tcPr>
            <w:tcW w:w="2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 and Location of Gain</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ind w:right="192"/>
              <w:spacing w:after="0" w:line="149" w:lineRule="exact"/>
              <w:rPr>
                <w:sz w:val="20"/>
                <w:szCs w:val="20"/>
                <w:color w:val="auto"/>
              </w:rPr>
            </w:pPr>
            <w:r>
              <w:rPr>
                <w:rFonts w:ascii="Arial" w:cs="Arial" w:eastAsia="Arial" w:hAnsi="Arial"/>
                <w:sz w:val="14"/>
                <w:szCs w:val="14"/>
                <w:b w:val="1"/>
                <w:bCs w:val="1"/>
                <w:color w:val="auto"/>
                <w:w w:val="86"/>
              </w:rPr>
              <w:t>(Loss) Recognized in Income on</w:t>
            </w: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Derivatives (Ineffective Portion</w:t>
            </w: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Accumulated OCI on</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0"/>
              </w:rPr>
              <w:t>Accumulated OCI into</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and Amount Excluded from</w:t>
            </w:r>
          </w:p>
        </w:tc>
      </w:tr>
      <w:tr>
        <w:trPr>
          <w:trHeight w:val="16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July 31, 2010</w:t>
            </w: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Derivatives (Effective Portion)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Income (Effective Portion)</w:t>
            </w:r>
          </w:p>
        </w:tc>
        <w:tc>
          <w:tcPr>
            <w:tcW w:w="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center"/>
              <w:ind w:right="192"/>
              <w:spacing w:after="0"/>
              <w:rPr>
                <w:sz w:val="20"/>
                <w:szCs w:val="20"/>
                <w:color w:val="auto"/>
              </w:rPr>
            </w:pPr>
            <w:r>
              <w:rPr>
                <w:rFonts w:ascii="Arial" w:cs="Arial" w:eastAsia="Arial" w:hAnsi="Arial"/>
                <w:sz w:val="14"/>
                <w:szCs w:val="14"/>
                <w:b w:val="1"/>
                <w:bCs w:val="1"/>
                <w:color w:val="auto"/>
                <w:w w:val="84"/>
              </w:rPr>
              <w:t>Effectiveness Testing)</w:t>
            </w:r>
          </w:p>
        </w:tc>
      </w:tr>
      <w:tr>
        <w:trPr>
          <w:trHeight w:val="201"/>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center"/>
              <w:ind w:left="112"/>
              <w:spacing w:after="0" w:line="201" w:lineRule="exact"/>
              <w:rPr>
                <w:sz w:val="20"/>
                <w:szCs w:val="20"/>
                <w:color w:val="auto"/>
              </w:rPr>
            </w:pPr>
            <w:r>
              <w:rPr>
                <w:rFonts w:ascii="Arial" w:cs="Arial" w:eastAsia="Arial" w:hAnsi="Arial"/>
                <w:sz w:val="18"/>
                <w:szCs w:val="18"/>
                <w:color w:val="auto"/>
                <w:w w:val="89"/>
              </w:rPr>
              <w:t>$ 6.1</w:t>
            </w:r>
          </w:p>
        </w:tc>
        <w:tc>
          <w:tcPr>
            <w:tcW w:w="1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revenue</w:t>
            </w:r>
          </w:p>
        </w:tc>
        <w:tc>
          <w:tcPr>
            <w:tcW w:w="6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0.3</w:t>
            </w:r>
          </w:p>
        </w:tc>
        <w:tc>
          <w:tcPr>
            <w:tcW w:w="1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Interest and other</w:t>
            </w: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income (expense), net</w:t>
            </w: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360"/>
              <w:spacing w:after="0"/>
              <w:rPr>
                <w:sz w:val="20"/>
                <w:szCs w:val="20"/>
                <w:color w:val="auto"/>
              </w:rPr>
            </w:pPr>
            <w:r>
              <w:rPr>
                <w:rFonts w:ascii="Arial" w:cs="Arial" w:eastAsia="Arial" w:hAnsi="Arial"/>
                <w:sz w:val="18"/>
                <w:szCs w:val="18"/>
                <w:color w:val="auto"/>
                <w:w w:val="85"/>
              </w:rPr>
              <w:t>Operating expenses</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$ 6.1</w:t>
            </w:r>
          </w:p>
        </w:tc>
        <w:tc>
          <w:tcPr>
            <w:tcW w:w="1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7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62"/>
              <w:spacing w:after="0"/>
              <w:rPr>
                <w:sz w:val="20"/>
                <w:szCs w:val="20"/>
                <w:color w:val="auto"/>
              </w:rPr>
            </w:pPr>
            <w:r>
              <w:rPr>
                <w:rFonts w:ascii="Arial" w:cs="Arial" w:eastAsia="Arial" w:hAnsi="Arial"/>
                <w:sz w:val="18"/>
                <w:szCs w:val="18"/>
                <w:color w:val="auto"/>
              </w:rPr>
              <w:t>10</w:t>
            </w: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Amount of Gain</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8"/>
              </w:rPr>
              <w:t>Amount and Location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7"/>
              </w:rPr>
              <w:t>Amount and Location of Gain (Loss)</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80" w:type="dxa"/>
            <w:vAlign w:val="bottom"/>
          </w:tcPr>
          <w:p>
            <w:pPr>
              <w:spacing w:after="0"/>
              <w:rPr>
                <w:sz w:val="12"/>
                <w:szCs w:val="12"/>
                <w:color w:val="auto"/>
              </w:rPr>
            </w:pPr>
          </w:p>
        </w:tc>
        <w:tc>
          <w:tcPr>
            <w:tcW w:w="2220" w:type="dxa"/>
            <w:vAlign w:val="bottom"/>
            <w:gridSpan w:val="3"/>
          </w:tcPr>
          <w:p>
            <w:pPr>
              <w:jc w:val="center"/>
              <w:ind w:right="1"/>
              <w:spacing w:after="0" w:line="149" w:lineRule="exact"/>
              <w:rPr>
                <w:sz w:val="20"/>
                <w:szCs w:val="20"/>
                <w:color w:val="auto"/>
              </w:rPr>
            </w:pPr>
            <w:r>
              <w:rPr>
                <w:rFonts w:ascii="Arial" w:cs="Arial" w:eastAsia="Arial" w:hAnsi="Arial"/>
                <w:sz w:val="14"/>
                <w:szCs w:val="14"/>
                <w:b w:val="1"/>
                <w:bCs w:val="1"/>
                <w:color w:val="auto"/>
                <w:w w:val="86"/>
              </w:rPr>
              <w:t>Gain (Loss) Reclassified from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Recognized in Income on Derivatives</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Accumulated OCI on</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center"/>
              <w:ind w:right="381"/>
              <w:spacing w:after="0" w:line="149" w:lineRule="exact"/>
              <w:rPr>
                <w:sz w:val="20"/>
                <w:szCs w:val="20"/>
                <w:color w:val="auto"/>
              </w:rPr>
            </w:pPr>
            <w:r>
              <w:rPr>
                <w:rFonts w:ascii="Arial" w:cs="Arial" w:eastAsia="Arial" w:hAnsi="Arial"/>
                <w:sz w:val="14"/>
                <w:szCs w:val="14"/>
                <w:b w:val="1"/>
                <w:bCs w:val="1"/>
                <w:color w:val="auto"/>
                <w:w w:val="88"/>
              </w:rPr>
              <w:t>Accumulated OCI into</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(Ineffective Portion and Amount Excluded</w:t>
            </w:r>
          </w:p>
        </w:tc>
      </w:tr>
      <w:tr>
        <w:trPr>
          <w:trHeight w:val="16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For the Six Months Ended July 31, 2010</w:t>
            </w:r>
          </w:p>
        </w:tc>
        <w:tc>
          <w:tcPr>
            <w:tcW w:w="280" w:type="dxa"/>
            <w:vAlign w:val="bottom"/>
          </w:tcPr>
          <w:p>
            <w:pPr>
              <w:spacing w:after="0"/>
              <w:rPr>
                <w:sz w:val="14"/>
                <w:szCs w:val="1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Derivatives (Effective Portion)</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1"/>
              <w:spacing w:after="0"/>
              <w:rPr>
                <w:sz w:val="20"/>
                <w:szCs w:val="20"/>
                <w:color w:val="auto"/>
              </w:rPr>
            </w:pPr>
            <w:r>
              <w:rPr>
                <w:rFonts w:ascii="Arial" w:cs="Arial" w:eastAsia="Arial" w:hAnsi="Arial"/>
                <w:sz w:val="14"/>
                <w:szCs w:val="14"/>
                <w:b w:val="1"/>
                <w:bCs w:val="1"/>
                <w:color w:val="auto"/>
                <w:w w:val="88"/>
              </w:rPr>
              <w:t>Income (Effective Portion)</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w w:val="84"/>
              </w:rPr>
              <w:t>from Effectiveness Testing)</w:t>
            </w:r>
          </w:p>
        </w:tc>
      </w:tr>
      <w:tr>
        <w:trPr>
          <w:trHeight w:val="201"/>
        </w:trPr>
        <w:tc>
          <w:tcPr>
            <w:tcW w:w="2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4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7"/>
                <w:szCs w:val="17"/>
                <w:color w:val="auto"/>
              </w:rPr>
            </w:pPr>
          </w:p>
        </w:tc>
        <w:tc>
          <w:tcPr>
            <w:tcW w:w="1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Net revenue</w:t>
            </w:r>
          </w:p>
        </w:tc>
        <w:tc>
          <w:tcPr>
            <w:tcW w:w="4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0.2</w:t>
            </w:r>
          </w:p>
        </w:tc>
        <w:tc>
          <w:tcPr>
            <w:tcW w:w="17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Interest and other</w:t>
            </w: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income (expense), net</w:t>
            </w: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1840" w:type="dxa"/>
            <w:vAlign w:val="bottom"/>
          </w:tcPr>
          <w:p>
            <w:pPr>
              <w:ind w:left="320"/>
              <w:spacing w:after="0"/>
              <w:rPr>
                <w:sz w:val="20"/>
                <w:szCs w:val="20"/>
                <w:color w:val="auto"/>
              </w:rPr>
            </w:pPr>
            <w:r>
              <w:rPr>
                <w:rFonts w:ascii="Arial" w:cs="Arial" w:eastAsia="Arial" w:hAnsi="Arial"/>
                <w:sz w:val="18"/>
                <w:szCs w:val="18"/>
                <w:color w:val="auto"/>
                <w:w w:val="93"/>
              </w:rPr>
              <w:t>Operating expenses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w:t>
            </w: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7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Amount of Gain (Loss)</w:t>
            </w:r>
          </w:p>
        </w:tc>
        <w:tc>
          <w:tcPr>
            <w:tcW w:w="80" w:type="dxa"/>
            <w:vAlign w:val="bottom"/>
          </w:tcPr>
          <w:p>
            <w:pPr>
              <w:spacing w:after="0"/>
              <w:rPr>
                <w:sz w:val="20"/>
                <w:szCs w:val="20"/>
                <w:color w:val="auto"/>
              </w:rPr>
            </w:pPr>
          </w:p>
        </w:tc>
        <w:tc>
          <w:tcPr>
            <w:tcW w:w="2220" w:type="dxa"/>
            <w:vAlign w:val="bottom"/>
            <w:gridSpan w:val="3"/>
          </w:tcPr>
          <w:p>
            <w:pPr>
              <w:jc w:val="center"/>
              <w:ind w:right="1"/>
              <w:spacing w:after="0"/>
              <w:rPr>
                <w:sz w:val="20"/>
                <w:szCs w:val="20"/>
                <w:color w:val="auto"/>
              </w:rPr>
            </w:pPr>
            <w:r>
              <w:rPr>
                <w:rFonts w:ascii="Arial" w:cs="Arial" w:eastAsia="Arial" w:hAnsi="Arial"/>
                <w:sz w:val="14"/>
                <w:szCs w:val="14"/>
                <w:b w:val="1"/>
                <w:bCs w:val="1"/>
                <w:color w:val="auto"/>
                <w:w w:val="88"/>
              </w:rPr>
              <w:t>Amount and Location of Gain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7"/>
              </w:rPr>
              <w:t>Amount and Location of Gain (Loss)</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Recognized in Accumulated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center"/>
              <w:ind w:right="381"/>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Recognized in Income on Derivatives</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OCI on Derivatives (Effective</w:t>
            </w:r>
          </w:p>
        </w:tc>
        <w:tc>
          <w:tcPr>
            <w:tcW w:w="80" w:type="dxa"/>
            <w:vAlign w:val="bottom"/>
          </w:tcPr>
          <w:p>
            <w:pPr>
              <w:spacing w:after="0"/>
              <w:rPr>
                <w:sz w:val="12"/>
                <w:szCs w:val="12"/>
                <w:color w:val="auto"/>
              </w:rPr>
            </w:pPr>
          </w:p>
        </w:tc>
        <w:tc>
          <w:tcPr>
            <w:tcW w:w="2220" w:type="dxa"/>
            <w:vAlign w:val="bottom"/>
            <w:gridSpan w:val="3"/>
          </w:tcPr>
          <w:p>
            <w:pPr>
              <w:jc w:val="center"/>
              <w:ind w:right="1"/>
              <w:spacing w:after="0" w:line="149" w:lineRule="exact"/>
              <w:rPr>
                <w:sz w:val="20"/>
                <w:szCs w:val="20"/>
                <w:color w:val="auto"/>
              </w:rPr>
            </w:pPr>
            <w:r>
              <w:rPr>
                <w:rFonts w:ascii="Arial" w:cs="Arial" w:eastAsia="Arial" w:hAnsi="Arial"/>
                <w:sz w:val="14"/>
                <w:szCs w:val="14"/>
                <w:b w:val="1"/>
                <w:bCs w:val="1"/>
                <w:color w:val="auto"/>
                <w:w w:val="89"/>
              </w:rPr>
              <w:t>Accumulated OCI into Income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(Ineffective Portion and Amount Excluded</w:t>
            </w:r>
          </w:p>
        </w:tc>
      </w:tr>
      <w:tr>
        <w:trPr>
          <w:trHeight w:val="16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w w:val="97"/>
              </w:rPr>
              <w:t>For the Three Months Ended July 31, 2009</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Portion)</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right="381"/>
              <w:spacing w:after="0"/>
              <w:rPr>
                <w:sz w:val="20"/>
                <w:szCs w:val="20"/>
                <w:color w:val="auto"/>
              </w:rPr>
            </w:pPr>
            <w:r>
              <w:rPr>
                <w:rFonts w:ascii="Arial" w:cs="Arial" w:eastAsia="Arial" w:hAnsi="Arial"/>
                <w:sz w:val="14"/>
                <w:szCs w:val="14"/>
                <w:b w:val="1"/>
                <w:bCs w:val="1"/>
                <w:color w:val="auto"/>
                <w:w w:val="87"/>
              </w:rPr>
              <w:t>(Effective Portion)</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w w:val="86"/>
              </w:rPr>
              <w:t>from Effectiveness Testing) (1)</w:t>
            </w:r>
          </w:p>
        </w:tc>
      </w:tr>
      <w:tr>
        <w:trPr>
          <w:trHeight w:val="201"/>
        </w:trPr>
        <w:tc>
          <w:tcPr>
            <w:tcW w:w="2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4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(2.0)</w:t>
            </w:r>
          </w:p>
        </w:tc>
        <w:tc>
          <w:tcPr>
            <w:tcW w:w="1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Net revenue</w:t>
            </w:r>
          </w:p>
        </w:tc>
        <w:tc>
          <w:tcPr>
            <w:tcW w:w="4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0.6</w:t>
            </w:r>
          </w:p>
        </w:tc>
        <w:tc>
          <w:tcPr>
            <w:tcW w:w="17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Interest and other</w:t>
            </w: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income (expense), net</w:t>
            </w: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1840" w:type="dxa"/>
            <w:vAlign w:val="bottom"/>
          </w:tcPr>
          <w:p>
            <w:pPr>
              <w:ind w:left="320"/>
              <w:spacing w:after="0"/>
              <w:rPr>
                <w:sz w:val="20"/>
                <w:szCs w:val="20"/>
                <w:color w:val="auto"/>
              </w:rPr>
            </w:pPr>
            <w:r>
              <w:rPr>
                <w:rFonts w:ascii="Arial" w:cs="Arial" w:eastAsia="Arial" w:hAnsi="Arial"/>
                <w:sz w:val="18"/>
                <w:szCs w:val="18"/>
                <w:color w:val="auto"/>
                <w:w w:val="93"/>
              </w:rPr>
              <w:t>Operating expenses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w:t>
            </w:r>
          </w:p>
        </w:tc>
        <w:tc>
          <w:tcPr>
            <w:tcW w:w="1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7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Amount of Gain (Loss)</w:t>
            </w:r>
          </w:p>
        </w:tc>
        <w:tc>
          <w:tcPr>
            <w:tcW w:w="80" w:type="dxa"/>
            <w:vAlign w:val="bottom"/>
          </w:tcPr>
          <w:p>
            <w:pPr>
              <w:spacing w:after="0"/>
              <w:rPr>
                <w:sz w:val="20"/>
                <w:szCs w:val="20"/>
                <w:color w:val="auto"/>
              </w:rPr>
            </w:pPr>
          </w:p>
        </w:tc>
        <w:tc>
          <w:tcPr>
            <w:tcW w:w="2220" w:type="dxa"/>
            <w:vAlign w:val="bottom"/>
            <w:gridSpan w:val="3"/>
          </w:tcPr>
          <w:p>
            <w:pPr>
              <w:jc w:val="center"/>
              <w:ind w:right="1"/>
              <w:spacing w:after="0"/>
              <w:rPr>
                <w:sz w:val="20"/>
                <w:szCs w:val="20"/>
                <w:color w:val="auto"/>
              </w:rPr>
            </w:pPr>
            <w:r>
              <w:rPr>
                <w:rFonts w:ascii="Arial" w:cs="Arial" w:eastAsia="Arial" w:hAnsi="Arial"/>
                <w:sz w:val="14"/>
                <w:szCs w:val="14"/>
                <w:b w:val="1"/>
                <w:bCs w:val="1"/>
                <w:color w:val="auto"/>
                <w:w w:val="88"/>
              </w:rPr>
              <w:t>Amount and Location of Gain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7"/>
              </w:rPr>
              <w:t>Amount and Location of Gain (Loss)</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Recognized in Accumulated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center"/>
              <w:ind w:right="381"/>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Recognized in Income on Derivatives</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OCI on Derivatives (Effective</w:t>
            </w:r>
          </w:p>
        </w:tc>
        <w:tc>
          <w:tcPr>
            <w:tcW w:w="80" w:type="dxa"/>
            <w:vAlign w:val="bottom"/>
          </w:tcPr>
          <w:p>
            <w:pPr>
              <w:spacing w:after="0"/>
              <w:rPr>
                <w:sz w:val="12"/>
                <w:szCs w:val="12"/>
                <w:color w:val="auto"/>
              </w:rPr>
            </w:pPr>
          </w:p>
        </w:tc>
        <w:tc>
          <w:tcPr>
            <w:tcW w:w="2220" w:type="dxa"/>
            <w:vAlign w:val="bottom"/>
            <w:gridSpan w:val="3"/>
          </w:tcPr>
          <w:p>
            <w:pPr>
              <w:jc w:val="center"/>
              <w:ind w:right="1"/>
              <w:spacing w:after="0" w:line="149" w:lineRule="exact"/>
              <w:rPr>
                <w:sz w:val="20"/>
                <w:szCs w:val="20"/>
                <w:color w:val="auto"/>
              </w:rPr>
            </w:pPr>
            <w:r>
              <w:rPr>
                <w:rFonts w:ascii="Arial" w:cs="Arial" w:eastAsia="Arial" w:hAnsi="Arial"/>
                <w:sz w:val="14"/>
                <w:szCs w:val="14"/>
                <w:b w:val="1"/>
                <w:bCs w:val="1"/>
                <w:color w:val="auto"/>
                <w:w w:val="89"/>
              </w:rPr>
              <w:t>Accumulated OCI into Income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(Ineffective Portion and Amount Excluded</w:t>
            </w:r>
          </w:p>
        </w:tc>
      </w:tr>
      <w:tr>
        <w:trPr>
          <w:trHeight w:val="16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For the Six Months Ended July 31, 2009</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Portion)</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right="381"/>
              <w:spacing w:after="0"/>
              <w:rPr>
                <w:sz w:val="20"/>
                <w:szCs w:val="20"/>
                <w:color w:val="auto"/>
              </w:rPr>
            </w:pPr>
            <w:r>
              <w:rPr>
                <w:rFonts w:ascii="Arial" w:cs="Arial" w:eastAsia="Arial" w:hAnsi="Arial"/>
                <w:sz w:val="14"/>
                <w:szCs w:val="14"/>
                <w:b w:val="1"/>
                <w:bCs w:val="1"/>
                <w:color w:val="auto"/>
                <w:w w:val="87"/>
              </w:rPr>
              <w:t>(Effective Portion)</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w w:val="86"/>
              </w:rPr>
              <w:t>from Effectiveness Testing) (1)</w:t>
            </w:r>
          </w:p>
        </w:tc>
      </w:tr>
      <w:tr>
        <w:trPr>
          <w:trHeight w:val="201"/>
        </w:trPr>
        <w:tc>
          <w:tcPr>
            <w:tcW w:w="2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4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(1.2)</w:t>
            </w:r>
          </w:p>
        </w:tc>
        <w:tc>
          <w:tcPr>
            <w:tcW w:w="1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Net revenue</w:t>
            </w:r>
          </w:p>
        </w:tc>
        <w:tc>
          <w:tcPr>
            <w:tcW w:w="4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1.6</w:t>
            </w:r>
          </w:p>
        </w:tc>
        <w:tc>
          <w:tcPr>
            <w:tcW w:w="17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Interest and other</w:t>
            </w: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income (expense), net</w:t>
            </w: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840" w:type="dxa"/>
            <w:vAlign w:val="bottom"/>
          </w:tcPr>
          <w:p>
            <w:pPr>
              <w:ind w:left="320"/>
              <w:spacing w:after="0"/>
              <w:rPr>
                <w:sz w:val="20"/>
                <w:szCs w:val="20"/>
                <w:color w:val="auto"/>
              </w:rPr>
            </w:pPr>
            <w:r>
              <w:rPr>
                <w:rFonts w:ascii="Arial" w:cs="Arial" w:eastAsia="Arial" w:hAnsi="Arial"/>
                <w:sz w:val="18"/>
                <w:szCs w:val="18"/>
                <w:color w:val="auto"/>
                <w:w w:val="93"/>
              </w:rPr>
              <w:t>Operating expenses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(0.5)</w:t>
            </w:r>
          </w:p>
        </w:tc>
        <w:tc>
          <w:tcPr>
            <w:tcW w:w="1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7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100" w:hanging="452"/>
        <w:spacing w:after="0" w:line="228"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Includes $0.4 million and $1.0 million recognized for the three and six months ended July 31, 2009, respectively, due to previously forecasted transactions that did not occur within the originally specified time period or the additional period of time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tcPr>
          <w:p>
            <w:pPr>
              <w:ind w:left="80"/>
              <w:spacing w:after="0"/>
              <w:rPr>
                <w:sz w:val="20"/>
                <w:szCs w:val="20"/>
                <w:color w:val="auto"/>
              </w:rPr>
            </w:pPr>
            <w:r>
              <w:rPr>
                <w:rFonts w:ascii="Arial" w:cs="Arial" w:eastAsia="Arial" w:hAnsi="Arial"/>
                <w:sz w:val="14"/>
                <w:szCs w:val="14"/>
                <w:b w:val="1"/>
                <w:bCs w:val="1"/>
                <w:color w:val="auto"/>
              </w:rPr>
              <w:t>Amount and Location of Gain (Loss) Recognized in</w:t>
            </w:r>
          </w:p>
        </w:tc>
      </w:tr>
      <w:tr>
        <w:trPr>
          <w:trHeight w:val="161"/>
        </w:trPr>
        <w:tc>
          <w:tcPr>
            <w:tcW w:w="6360" w:type="dxa"/>
            <w:vAlign w:val="bottom"/>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Income on Derivative</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31, 2010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520" w:type="dxa"/>
            <w:vAlign w:val="bottom"/>
            <w:gridSpan w:val="2"/>
          </w:tcPr>
          <w:p>
            <w:pPr>
              <w:spacing w:after="0"/>
              <w:rPr>
                <w:sz w:val="20"/>
                <w:szCs w:val="20"/>
                <w:color w:val="auto"/>
              </w:rPr>
            </w:pPr>
            <w:r>
              <w:rPr>
                <w:rFonts w:ascii="Arial" w:cs="Arial" w:eastAsia="Arial" w:hAnsi="Arial"/>
                <w:sz w:val="18"/>
                <w:szCs w:val="18"/>
                <w:color w:val="auto"/>
              </w:rPr>
              <w:t>$ 1.1</w:t>
            </w:r>
          </w:p>
        </w:tc>
        <w:tc>
          <w:tcPr>
            <w:tcW w:w="3620" w:type="dxa"/>
            <w:vAlign w:val="bottom"/>
          </w:tcPr>
          <w:p>
            <w:pPr>
              <w:ind w:left="800"/>
              <w:spacing w:after="0"/>
              <w:rPr>
                <w:sz w:val="20"/>
                <w:szCs w:val="20"/>
                <w:color w:val="auto"/>
              </w:rPr>
            </w:pPr>
            <w:r>
              <w:rPr>
                <w:rFonts w:ascii="Arial" w:cs="Arial" w:eastAsia="Arial" w:hAnsi="Arial"/>
                <w:sz w:val="18"/>
                <w:szCs w:val="18"/>
                <w:color w:val="auto"/>
                <w:w w:val="86"/>
              </w:rPr>
              <w:t>Interest and other income (expense), net</w:t>
            </w: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July 31, 2010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52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(0.6)</w:t>
            </w:r>
          </w:p>
        </w:tc>
        <w:tc>
          <w:tcPr>
            <w:tcW w:w="3620" w:type="dxa"/>
            <w:vAlign w:val="bottom"/>
          </w:tcPr>
          <w:p>
            <w:pPr>
              <w:ind w:left="800"/>
              <w:spacing w:after="0"/>
              <w:rPr>
                <w:sz w:val="20"/>
                <w:szCs w:val="20"/>
                <w:color w:val="auto"/>
              </w:rPr>
            </w:pPr>
            <w:r>
              <w:rPr>
                <w:rFonts w:ascii="Arial" w:cs="Arial" w:eastAsia="Arial" w:hAnsi="Arial"/>
                <w:sz w:val="18"/>
                <w:szCs w:val="18"/>
                <w:color w:val="auto"/>
                <w:w w:val="86"/>
              </w:rPr>
              <w:t>Interest and other income (expense), net</w:t>
            </w: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31, 2009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52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w:t>
            </w:r>
          </w:p>
        </w:tc>
        <w:tc>
          <w:tcPr>
            <w:tcW w:w="3620" w:type="dxa"/>
            <w:vAlign w:val="bottom"/>
          </w:tcPr>
          <w:p>
            <w:pPr>
              <w:ind w:left="800"/>
              <w:spacing w:after="0"/>
              <w:rPr>
                <w:sz w:val="20"/>
                <w:szCs w:val="20"/>
                <w:color w:val="auto"/>
              </w:rPr>
            </w:pPr>
            <w:r>
              <w:rPr>
                <w:rFonts w:ascii="Arial" w:cs="Arial" w:eastAsia="Arial" w:hAnsi="Arial"/>
                <w:sz w:val="18"/>
                <w:szCs w:val="18"/>
                <w:color w:val="auto"/>
                <w:w w:val="86"/>
              </w:rPr>
              <w:t>Interest and other income (expense), net</w:t>
            </w: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July 31, 2009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3620" w:type="dxa"/>
            <w:vAlign w:val="bottom"/>
          </w:tcPr>
          <w:p>
            <w:pPr>
              <w:ind w:left="800"/>
              <w:spacing w:after="0"/>
              <w:rPr>
                <w:sz w:val="20"/>
                <w:szCs w:val="20"/>
                <w:color w:val="auto"/>
              </w:rPr>
            </w:pPr>
            <w:r>
              <w:rPr>
                <w:rFonts w:ascii="Arial" w:cs="Arial" w:eastAsia="Arial" w:hAnsi="Arial"/>
                <w:sz w:val="18"/>
                <w:szCs w:val="18"/>
                <w:color w:val="auto"/>
                <w:w w:val="86"/>
              </w:rPr>
              <w:t>Interest and other income (expense), net</w:t>
            </w: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Fair value is an exit price, representing the amount that would be received upon the sale of an asset, or the amount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Autodesk uses a three-tier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in which there is little or no market data, which requires Autodesk to develop its own assumptions. Whenever possible, Autodesk uses observable market data, and relies on unobservable inputs only when observable market data is not available, when determining fair value. On a recurring basis, Autodesk measures at fair value certain financial assets and liabilities, which consist of cash equivalents, marketable securities and foreign currency contracts.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Company’s investment held in the International Fund is designated as a Level 3 security. The Company conducted its fair value assessment of the International Fund using Level 1 and Level 3 inputs. Management has reviewed the International Fund’s underlying portfolio, which is substantially comprised of cash deposited into the U.S. District Court’s Registry at the Federal Reserve Bank of New York. Normally, the Company would classify such investments within Level 1 of the fair value hierarchy. Management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evaluated the fair value of its unit interest in the International Fund, considering risk of collection, timing and other factors. These assumptions are inherently subjective and involve significant management judgment. As a result, the Company has classified its holdings in the International Fund within Level 3 of the fair value hierarchy. Autodesk’s investments in auction rate securities are classified within Level 3 because they are valued using a discounted cash flow model, and some of the inputs to this model are unobservable in the market. There have been no significant changes in the valuation input assumptions since January 31,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July 31,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Fair Value Measurements at July 31, 2010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in Active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Inputs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60" w:type="dxa"/>
            <w:vAlign w:val="bottom"/>
          </w:tcPr>
          <w:p>
            <w:pPr>
              <w:ind w:left="880"/>
              <w:spacing w:after="0"/>
              <w:rPr>
                <w:sz w:val="20"/>
                <w:szCs w:val="20"/>
                <w:color w:val="auto"/>
              </w:rPr>
            </w:pPr>
            <w:r>
              <w:rPr>
                <w:rFonts w:ascii="Arial" w:cs="Arial" w:eastAsia="Arial" w:hAnsi="Arial"/>
                <w:sz w:val="18"/>
                <w:szCs w:val="18"/>
                <w:color w:val="auto"/>
              </w:rPr>
              <w:t>Sovereign debt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8"/>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389.1</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581.5</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988.2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2010: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Fair Value Mesurements at January 31, 2010 Using</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in Active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0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Inputs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 and sovereign debt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261.1</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635.6</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914.3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Autodesk’s cash equivalents and marketable securities are primarily classified within Level 1 or Level 2 of the fair value hierarchy because they are valued primarily using quoted market prices, or alternative pricing sources and models utilizing market observable inputs with reasonable levels of price transparency. A reconciliation of the change in Autodesk’s Level 3 items for the six months ended July 31, 2010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center"/>
              <w:ind w:left="162"/>
              <w:spacing w:after="0"/>
              <w:rPr>
                <w:sz w:val="20"/>
                <w:szCs w:val="20"/>
                <w:color w:val="auto"/>
              </w:rPr>
            </w:pPr>
            <w:r>
              <w:rPr>
                <w:rFonts w:ascii="Arial" w:cs="Arial" w:eastAsia="Arial" w:hAnsi="Arial"/>
                <w:sz w:val="14"/>
                <w:szCs w:val="14"/>
                <w:b w:val="1"/>
                <w:bCs w:val="1"/>
                <w:color w:val="auto"/>
                <w:w w:val="87"/>
              </w:rPr>
              <w:t>Fair Value Measurements Using</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162"/>
              <w:spacing w:after="0"/>
              <w:rPr>
                <w:sz w:val="20"/>
                <w:szCs w:val="20"/>
                <w:color w:val="auto"/>
              </w:rPr>
            </w:pPr>
            <w:r>
              <w:rPr>
                <w:rFonts w:ascii="Arial" w:cs="Arial" w:eastAsia="Arial" w:hAnsi="Arial"/>
                <w:sz w:val="14"/>
                <w:szCs w:val="14"/>
                <w:b w:val="1"/>
                <w:bCs w:val="1"/>
                <w:color w:val="auto"/>
                <w:w w:val="86"/>
              </w:rPr>
              <w:t>Significant Unobservable Inputs</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right="640"/>
              <w:spacing w:after="0" w:line="142" w:lineRule="exact"/>
              <w:rPr>
                <w:sz w:val="20"/>
                <w:szCs w:val="20"/>
                <w:color w:val="auto"/>
              </w:rPr>
            </w:pPr>
            <w:r>
              <w:rPr>
                <w:rFonts w:ascii="Arial" w:cs="Arial" w:eastAsia="Arial" w:hAnsi="Arial"/>
                <w:sz w:val="14"/>
                <w:szCs w:val="14"/>
                <w:b w:val="1"/>
                <w:bCs w:val="1"/>
                <w:color w:val="auto"/>
                <w:w w:val="87"/>
              </w:rPr>
              <w:t>(Level 3)</w:t>
            </w: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88"/>
              </w:rPr>
              <w:t>Taxable</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Auction-</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Money Market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Rate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82"/>
              <w:spacing w:after="0"/>
              <w:rPr>
                <w:sz w:val="20"/>
                <w:szCs w:val="20"/>
                <w:color w:val="auto"/>
              </w:rPr>
            </w:pPr>
            <w:r>
              <w:rPr>
                <w:rFonts w:ascii="Arial" w:cs="Arial" w:eastAsia="Arial" w:hAnsi="Arial"/>
                <w:sz w:val="14"/>
                <w:szCs w:val="14"/>
                <w:b w:val="1"/>
                <w:bCs w:val="1"/>
                <w:color w:val="auto"/>
              </w:rPr>
              <w:t>Funds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3"/>
              </w:rPr>
              <w:t>Securities</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2010</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Redemptions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 2010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9" w:lineRule="exact"/>
        <w:rPr>
          <w:sz w:val="20"/>
          <w:szCs w:val="20"/>
          <w:color w:val="auto"/>
        </w:rPr>
      </w:pPr>
    </w:p>
    <w:p>
      <w:pPr>
        <w:ind w:left="240" w:right="8980" w:hanging="232"/>
        <w:spacing w:after="0" w:line="387" w:lineRule="auto"/>
        <w:tabs>
          <w:tab w:leader="none" w:pos="458"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i w:val="1"/>
          <w:iCs w:val="1"/>
          <w:color w:val="auto"/>
        </w:rPr>
        <w:t>Stock Plans</w:t>
      </w:r>
    </w:p>
    <w:p>
      <w:pPr>
        <w:spacing w:after="0" w:line="1"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As of July 31, 2010, Autodesk maintained two active stock plans for the purpose of granting stock awards to employees and to non-employee members of Autodesk’s Board of Directors: the 2008 Employee Stock Plan, as amended and restated (“2008 Plan”), which is available only to employees, and the 2010 Outside Directors’ Option Plan, as amended (“2010 Plan”), which is available only to non-employee directors. Additionally, there are seven expired or terminated plans with options outstanding. The exercise price of all stock options granted under these plans was equal to the fair market value of the stock on the grant date.</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2008 Plan was originally approved by Autodesk’s stockholders in November 2007. On June 10, 2010, Autodesk’s stockholders approved amendments to the 2008 Plan, which increased the number of shares reserved for issuance under the plan by 15.5 million shares, in addition to 0.5 million shares that remained available for issuance under the plan prior to the amendment, and extended the term of the plan to June 2013. The 2008 Plan permits the grant of stock options, restricted stock units and restricted stock awards; however, no more than 2.5 million of the shares reserved for issuance under the 2008 Plan may be issued pursuant to awards of restricted stock and restricted stock units. Options and restricted stock units granted under the 2008 Plan vest over periods ranging from immediately upon grant to over a four year period and options expire within four to ten years from the date of grant. At July 31, 2010, 16.0 million shares were available for future issuance under the 2008 Plan. The 2008 Plan will expire in June 2013.</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2010 Plan, which was approved by the stockholders and replaced the 2000 Directors’ Option Plan (“2000 Plan”) in June 2009, became effective March 16, 2010. The 2010 Plan permits the grant of stock options and restricted stock awards to non-employee members of Autodesk’s Board of Directors. Options and awards granted under the 2010 Plan vest over periods ranging from one year to over a four year period and options expire within seven years from the date of grant. The 2010 Plan reserved 2.5 million shares of Autodesk common stock, plus 0.5 million shares that remained available for issuance under the 2000 Plan. At July 31, 2010, 2.8 million shares were available for future issuance. The 2010 Plan will expire in March 2020.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Stock Options and Restricted Stock, summarize activity under Autodesk’s stock plans.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six months ended July 31, 2010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Shares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2010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29,083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6,400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July 31, 2010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33,621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July 31, 2010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vMerge w:val="restart"/>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20,395</w:t>
            </w:r>
          </w:p>
        </w:tc>
        <w:tc>
          <w:tcPr>
            <w:tcW w:w="4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 at July 31, 2010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total pre-tax intrinsic value of options exercised during the three months ended July 31, 2010 and 2009 was $4.5 million and $11.2 million, respectively. For the six months ended July 31, 2010 and 2009, the total pre-tax intrinsic value of options exercised was $16.5 million and $12.8 million, respectively. The intrinsic value of options exercised is calculated as the difference between the exercise price of the option and the market value of the stock on the date of exercise. The weighted average grant date fair value of stock options granted during the three months ended July 31, 2010 and 2009, calculated as of the stock option grant date using the Black-Scholes-Merton option-pricing model, was $8.51 and $8.38 per share, respectively. The weighted average grant date fair value of stock options granted during the six months ended July 31, 2010 and 2009, calculated as of the stock option grant date using the Black-Scholes-Merton option-pricing model, was $9.15 and $6.08 per share, respectively. As of July 31, 2010, total compensation costs of $78.3 million related to non-vested options is expected to be recognized over a weighted average period of 2.3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options outstanding and exercisable at July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0"/>
              </w:rPr>
              <w:t>Options Outstanding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Weighted</w:t>
            </w: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Aggregate</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Weighted</w:t>
            </w:r>
          </w:p>
        </w:tc>
        <w:tc>
          <w:tcPr>
            <w:tcW w:w="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Number of</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Contractual</w:t>
            </w:r>
          </w:p>
        </w:tc>
        <w:tc>
          <w:tcPr>
            <w:tcW w:w="26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1"/>
                <w:szCs w:val="11"/>
                <w:color w:val="auto"/>
              </w:rPr>
            </w:pPr>
          </w:p>
        </w:tc>
        <w:tc>
          <w:tcPr>
            <w:tcW w:w="8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Intrinsic</w:t>
            </w: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Number of</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Contractual</w:t>
            </w:r>
          </w:p>
        </w:tc>
        <w:tc>
          <w:tcPr>
            <w:tcW w:w="26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3"/>
        </w:trPr>
        <w:tc>
          <w:tcPr>
            <w:tcW w:w="39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2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4"/>
                <w:szCs w:val="14"/>
                <w:color w:val="auto"/>
              </w:rPr>
            </w:pPr>
          </w:p>
        </w:tc>
        <w:tc>
          <w:tcPr>
            <w:tcW w:w="880" w:type="dxa"/>
            <w:vAlign w:val="bottom"/>
            <w:gridSpan w:val="2"/>
          </w:tcPr>
          <w:p>
            <w:pPr>
              <w:jc w:val="center"/>
              <w:ind w:right="380"/>
              <w:spacing w:after="0" w:line="163" w:lineRule="exact"/>
              <w:rPr>
                <w:sz w:val="20"/>
                <w:szCs w:val="20"/>
                <w:color w:val="auto"/>
              </w:rPr>
            </w:pPr>
            <w:r>
              <w:rPr>
                <w:rFonts w:ascii="Arial" w:cs="Arial" w:eastAsia="Arial" w:hAnsi="Arial"/>
                <w:sz w:val="12"/>
                <w:szCs w:val="12"/>
                <w:b w:val="1"/>
                <w:bCs w:val="1"/>
                <w:color w:val="auto"/>
                <w:w w:val="98"/>
              </w:rPr>
              <w:t>Value</w:t>
            </w:r>
            <w:r>
              <w:rPr>
                <w:rFonts w:ascii="Arial" w:cs="Arial" w:eastAsia="Arial" w:hAnsi="Arial"/>
                <w:sz w:val="18"/>
                <w:szCs w:val="18"/>
                <w:b w:val="1"/>
                <w:bCs w:val="1"/>
                <w:color w:val="auto"/>
                <w:w w:val="98"/>
                <w:vertAlign w:val="superscript"/>
              </w:rPr>
              <w:t>(1)</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line="163" w:lineRule="exact"/>
              <w:rPr>
                <w:sz w:val="20"/>
                <w:szCs w:val="20"/>
                <w:color w:val="auto"/>
              </w:rPr>
            </w:pPr>
            <w:r>
              <w:rPr>
                <w:rFonts w:ascii="Arial" w:cs="Arial" w:eastAsia="Arial" w:hAnsi="Arial"/>
                <w:sz w:val="12"/>
                <w:szCs w:val="12"/>
                <w:b w:val="1"/>
                <w:bCs w:val="1"/>
                <w:color w:val="auto"/>
                <w:w w:val="98"/>
              </w:rPr>
              <w:t>Value</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2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2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(in Millions)</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Range of per-share exercise prices:</w:t>
            </w: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$0.61 — $16.53</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4,723</w:t>
            </w:r>
          </w:p>
        </w:tc>
        <w:tc>
          <w:tcPr>
            <w:tcW w:w="7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$ 11.12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8,732</w:t>
            </w:r>
          </w:p>
        </w:tc>
        <w:tc>
          <w:tcPr>
            <w:tcW w:w="7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$ 12.78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$17.37 — $29.49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3,507</w:t>
            </w:r>
          </w:p>
        </w:tc>
        <w:tc>
          <w:tcPr>
            <w:tcW w:w="7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9,218</w:t>
            </w:r>
          </w:p>
        </w:tc>
        <w:tc>
          <w:tcPr>
            <w:tcW w:w="7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$29.50 — $35.00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3,845</w:t>
            </w:r>
          </w:p>
        </w:tc>
        <w:tc>
          <w:tcPr>
            <w:tcW w:w="7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6,757</w:t>
            </w:r>
          </w:p>
        </w:tc>
        <w:tc>
          <w:tcPr>
            <w:tcW w:w="7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$35.30 — $45.29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7,694</w:t>
            </w:r>
          </w:p>
        </w:tc>
        <w:tc>
          <w:tcPr>
            <w:tcW w:w="7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8,121</w:t>
            </w:r>
          </w:p>
        </w:tc>
        <w:tc>
          <w:tcPr>
            <w:tcW w:w="7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$47.24 — $49.80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626</w:t>
            </w:r>
          </w:p>
        </w:tc>
        <w:tc>
          <w:tcPr>
            <w:tcW w:w="7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793</w:t>
            </w:r>
          </w:p>
        </w:tc>
        <w:tc>
          <w:tcPr>
            <w:tcW w:w="7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$ 29.86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$ 28.25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580" w:hanging="452"/>
        <w:spacing w:after="0" w:line="228"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Represents the total pre-tax intrinsic value, based on Autodesk’s closing stock price of $29.54 per share as of July 31, 2010, which would have been received by the option holders had all option holders exercised their options as of that date.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These options will expire if not exercised prior to specific dates ranging through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award and restricted stock unit activity for the six months ended July 31, 2010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Unreleased</w:t>
            </w:r>
          </w:p>
        </w:tc>
      </w:tr>
      <w:tr>
        <w:trPr>
          <w:trHeight w:val="149"/>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Restricted</w:t>
            </w: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January 31, 2010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Awarded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July 31, 2010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the six months ended July 31, 2010, Autodesk granted approximately 44,000 restricted stock units under the 2008 Plan. The restricted stock units vest over periods ranging from immediately upon grant to the third anniversary of the date of grant. Restricted stock units are not considered outstanding stock at the time of grant, as the holders of these units are not entitled to any of the rights of a stockholder, including voting rights. The fair value of the restricted stock is expensed ratably over the vesting period. Autodesk recorded share-based compensation expense related to restricted stock units of $2.2 million and $3.9 million during the three and six months ended July 31, 2010, respectively. Autodesk recorded share-based compensation expense related to restricted stock units of $0.3 million and $0.5 million during the three and six months ended July 31, 2009, respectively. As of July 31, 2010, total compensation cost related to non-vested awards not yet recognized of $10.1 million is expected to be recognized over a weighted average period of 1.4 years. At July 31, 2010, the number of units granted but unreleased was approximately 865,000.</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six months ended July 31, 2010, Autodesk granted approximately 23,000 restricted stock awards under the 2010 Plan. Restricted stock awards granted under the 2010 Plan vest on the first anniversary of the date of grant. Restricted stock awards are considered outstanding at the time of grant, as the stock award holders are entitled to many of the rights of a stockholder, including voting rights. The fair value of the restricted stock is expensed ratably over the vesting period. Autodesk recorded share-based compensation expense related to restricted stock awards of $0.3 million and $0.4 million during the three and six months ended July 31, 2010, respectively, and $0.3 million and $0.4 million during the three and six months ended July 31, 2009, respectively. As of July 31, 2010, total compensation cost related to non-vested awards not yet recognized of $0.5 million is expected to be recognized over a weighted average period of 0.9 years. At July 31, 2010, the number of awards granted but unreleased was approximately 23,000.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compensation subject to certain limitations, at not less than 85% of fair market value as defined in the ESP Plan (“ESP Plan fair market value”). At July 31, 2010, a total of 29.3 million shares were available for future issuance. This amount automatically increases on the first trading day of each fiscal year by an amount equal to the lesser of 10 million shares or 2.0% of the total of (1) outstanding shares plus (2) any shares repurchased by Autodesk during the prior fiscal year. Under the ESP Plan, the Company issues shares on the first trading day following March 31 and September 30 of each fiscal year. The ESP Plan will expire in January 2018.</w:t>
      </w:r>
    </w:p>
    <w:p>
      <w:pPr>
        <w:spacing w:after="0" w:line="144"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Autodesk issued 1.7 million shares under the ESP Plan during each of the six month periods ended July 31, 2010 and 2009, at average prices of $14.65 and $14.29 per share, respectively in each case. The weighted average grant date fair values of awards granted under the ESP Plan during the six months ended</w:t>
      </w:r>
    </w:p>
    <w:p>
      <w:pPr>
        <w:spacing w:after="0"/>
        <w:rPr>
          <w:sz w:val="20"/>
          <w:szCs w:val="20"/>
          <w:color w:val="auto"/>
        </w:rPr>
      </w:pPr>
      <w:r>
        <w:rPr>
          <w:rFonts w:ascii="Arial" w:cs="Arial" w:eastAsia="Arial" w:hAnsi="Arial"/>
          <w:sz w:val="15"/>
          <w:szCs w:val="15"/>
          <w:color w:val="auto"/>
        </w:rPr>
        <w:t>July 31, 2010 and 2009, calculated as of the award grant date using the Black-Scholes-Merton option-pricing model, were $6.90 and $7.17 per share, respectively.</w:t>
      </w:r>
    </w:p>
    <w:p>
      <w:pPr>
        <w:spacing w:after="0" w:line="1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July 31, 2010, a total of 48.1 million shares of Autodesk’s common stock have been reserved for future issuance under existing stock option and stock purchase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stock-based compensation expense for the three and six months ended July 31, 2010 and 2009, respectively,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 31,</w:t>
            </w:r>
          </w:p>
        </w:tc>
        <w:tc>
          <w:tcPr>
            <w:tcW w:w="4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Ended July 31,</w:t>
            </w: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2010</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Marketing and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 net of tax</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Six Months</w:t>
            </w: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 31,</w:t>
            </w:r>
          </w:p>
        </w:tc>
        <w:tc>
          <w:tcPr>
            <w:tcW w:w="4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Ended July 31,</w:t>
            </w: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2010</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Marketing and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 net of tax</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Autodesk used the Black-Scholes-Merton option-pricing model to estimate the fair value of stock-based awards and the fair value of awards under the ESP Plan based on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3"/>
          </w:tcPr>
          <w:p>
            <w:pPr>
              <w:jc w:val="center"/>
              <w:ind w:right="332"/>
              <w:spacing w:after="0"/>
              <w:rPr>
                <w:sz w:val="20"/>
                <w:szCs w:val="20"/>
                <w:color w:val="auto"/>
              </w:rPr>
            </w:pPr>
            <w:r>
              <w:rPr>
                <w:rFonts w:ascii="Arial" w:cs="Arial" w:eastAsia="Arial" w:hAnsi="Arial"/>
                <w:sz w:val="14"/>
                <w:szCs w:val="14"/>
                <w:b w:val="1"/>
                <w:bCs w:val="1"/>
                <w:color w:val="auto"/>
                <w:w w:val="89"/>
              </w:rPr>
              <w:t>Three Months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3"/>
          </w:tcPr>
          <w:p>
            <w:pPr>
              <w:jc w:val="center"/>
              <w:ind w:right="352"/>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7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352"/>
              <w:spacing w:after="0"/>
              <w:rPr>
                <w:sz w:val="20"/>
                <w:szCs w:val="20"/>
                <w:color w:val="auto"/>
              </w:rPr>
            </w:pPr>
            <w:r>
              <w:rPr>
                <w:rFonts w:ascii="Arial" w:cs="Arial" w:eastAsia="Arial" w:hAnsi="Arial"/>
                <w:sz w:val="14"/>
                <w:szCs w:val="14"/>
                <w:b w:val="1"/>
                <w:bCs w:val="1"/>
                <w:color w:val="auto"/>
                <w:w w:val="90"/>
              </w:rPr>
              <w:t>Ended July 31, 2010</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332"/>
              <w:spacing w:after="0"/>
              <w:rPr>
                <w:sz w:val="20"/>
                <w:szCs w:val="20"/>
                <w:color w:val="auto"/>
              </w:rPr>
            </w:pPr>
            <w:r>
              <w:rPr>
                <w:rFonts w:ascii="Arial" w:cs="Arial" w:eastAsia="Arial" w:hAnsi="Arial"/>
                <w:sz w:val="14"/>
                <w:szCs w:val="14"/>
                <w:b w:val="1"/>
                <w:bCs w:val="1"/>
                <w:color w:val="auto"/>
                <w:w w:val="87"/>
              </w:rPr>
              <w:t>Ended July 31, 2009</w:t>
            </w:r>
          </w:p>
        </w:tc>
      </w:tr>
      <w:tr>
        <w:trPr>
          <w:trHeight w:val="129"/>
        </w:trPr>
        <w:tc>
          <w:tcPr>
            <w:tcW w:w="710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1"/>
        </w:trPr>
        <w:tc>
          <w:tcPr>
            <w:tcW w:w="7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ESP Plan</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- 0.44</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0.33 - 0.45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- 0.52</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0.58 - 0.73</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tcPr>
          <w:p>
            <w:pPr>
              <w:ind w:left="20"/>
              <w:spacing w:after="0"/>
              <w:rPr>
                <w:sz w:val="20"/>
                <w:szCs w:val="20"/>
                <w:color w:val="auto"/>
              </w:rPr>
            </w:pPr>
            <w:r>
              <w:rPr>
                <w:rFonts w:ascii="Arial" w:cs="Arial" w:eastAsia="Arial" w:hAnsi="Arial"/>
                <w:sz w:val="18"/>
                <w:szCs w:val="18"/>
                <w:color w:val="auto"/>
              </w:rPr>
              <w:t>- 3.8</w:t>
            </w:r>
          </w:p>
        </w:tc>
        <w:tc>
          <w:tcPr>
            <w:tcW w:w="114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0.50 - 2.0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ind w:left="20"/>
              <w:spacing w:after="0"/>
              <w:rPr>
                <w:sz w:val="20"/>
                <w:szCs w:val="20"/>
                <w:color w:val="auto"/>
              </w:rPr>
            </w:pPr>
            <w:r>
              <w:rPr>
                <w:rFonts w:ascii="Arial" w:cs="Arial" w:eastAsia="Arial" w:hAnsi="Arial"/>
                <w:sz w:val="18"/>
                <w:szCs w:val="18"/>
                <w:color w:val="auto"/>
              </w:rPr>
              <w:t>- 4.0</w:t>
            </w:r>
          </w:p>
        </w:tc>
        <w:tc>
          <w:tcPr>
            <w:tcW w:w="114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0.50 - 2.0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0%</w:t>
            </w:r>
          </w:p>
        </w:tc>
        <w:tc>
          <w:tcPr>
            <w:tcW w:w="112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2"/>
              </w:rPr>
              <w:t>0%</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0.98 - 1.61%</w:t>
            </w:r>
          </w:p>
        </w:tc>
        <w:tc>
          <w:tcPr>
            <w:tcW w:w="114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0.24 - 1.05%</w:t>
            </w:r>
          </w:p>
        </w:tc>
        <w:tc>
          <w:tcPr>
            <w:tcW w:w="2260" w:type="dxa"/>
            <w:vAlign w:val="bottom"/>
            <w:gridSpan w:val="5"/>
          </w:tcPr>
          <w:p>
            <w:pPr>
              <w:jc w:val="center"/>
              <w:ind w:left="132"/>
              <w:spacing w:after="0"/>
              <w:rPr>
                <w:sz w:val="20"/>
                <w:szCs w:val="20"/>
                <w:color w:val="auto"/>
              </w:rPr>
            </w:pPr>
            <w:r>
              <w:rPr>
                <w:rFonts w:ascii="Arial" w:cs="Arial" w:eastAsia="Arial" w:hAnsi="Arial"/>
                <w:sz w:val="18"/>
                <w:szCs w:val="18"/>
                <w:color w:val="auto"/>
                <w:w w:val="93"/>
              </w:rPr>
              <w:t>1.66 - 2.42%   0.42 - 0.86%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10.5%</w:t>
            </w:r>
          </w:p>
        </w:tc>
        <w:tc>
          <w:tcPr>
            <w:tcW w:w="11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0"/>
              </w:rPr>
              <w:t>10.5%</w:t>
            </w:r>
          </w:p>
        </w:tc>
        <w:tc>
          <w:tcPr>
            <w:tcW w:w="112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0"/>
              </w:rPr>
              <w:t>13.5%</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13.5%</w:t>
            </w:r>
          </w:p>
        </w:tc>
      </w:tr>
      <w:tr>
        <w:trPr>
          <w:trHeight w:val="352"/>
        </w:trPr>
        <w:tc>
          <w:tcPr>
            <w:tcW w:w="7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3"/>
          </w:tcPr>
          <w:p>
            <w:pPr>
              <w:jc w:val="center"/>
              <w:ind w:right="372"/>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3"/>
          </w:tcPr>
          <w:p>
            <w:pPr>
              <w:jc w:val="center"/>
              <w:ind w:right="352"/>
              <w:spacing w:after="0"/>
              <w:rPr>
                <w:sz w:val="20"/>
                <w:szCs w:val="20"/>
                <w:color w:val="auto"/>
              </w:rPr>
            </w:pPr>
            <w:r>
              <w:rPr>
                <w:rFonts w:ascii="Arial" w:cs="Arial" w:eastAsia="Arial" w:hAnsi="Arial"/>
                <w:sz w:val="14"/>
                <w:szCs w:val="14"/>
                <w:b w:val="1"/>
                <w:bCs w:val="1"/>
                <w:color w:val="auto"/>
                <w:w w:val="88"/>
              </w:rPr>
              <w:t>Six Months</w:t>
            </w:r>
          </w:p>
        </w:tc>
      </w:tr>
      <w:tr>
        <w:trPr>
          <w:trHeight w:val="161"/>
        </w:trPr>
        <w:tc>
          <w:tcPr>
            <w:tcW w:w="7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352"/>
              <w:spacing w:after="0"/>
              <w:rPr>
                <w:sz w:val="20"/>
                <w:szCs w:val="20"/>
                <w:color w:val="auto"/>
              </w:rPr>
            </w:pPr>
            <w:r>
              <w:rPr>
                <w:rFonts w:ascii="Arial" w:cs="Arial" w:eastAsia="Arial" w:hAnsi="Arial"/>
                <w:sz w:val="14"/>
                <w:szCs w:val="14"/>
                <w:b w:val="1"/>
                <w:bCs w:val="1"/>
                <w:color w:val="auto"/>
                <w:w w:val="87"/>
              </w:rPr>
              <w:t>Ended July 31, 2010</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332"/>
              <w:spacing w:after="0"/>
              <w:rPr>
                <w:sz w:val="20"/>
                <w:szCs w:val="20"/>
                <w:color w:val="auto"/>
              </w:rPr>
            </w:pPr>
            <w:r>
              <w:rPr>
                <w:rFonts w:ascii="Arial" w:cs="Arial" w:eastAsia="Arial" w:hAnsi="Arial"/>
                <w:sz w:val="14"/>
                <w:szCs w:val="14"/>
                <w:b w:val="1"/>
                <w:bCs w:val="1"/>
                <w:color w:val="auto"/>
                <w:w w:val="87"/>
              </w:rPr>
              <w:t>Ended July 31, 2009</w:t>
            </w:r>
          </w:p>
        </w:tc>
      </w:tr>
      <w:tr>
        <w:trPr>
          <w:trHeight w:val="129"/>
        </w:trPr>
        <w:tc>
          <w:tcPr>
            <w:tcW w:w="710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1"/>
        </w:trPr>
        <w:tc>
          <w:tcPr>
            <w:tcW w:w="7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ESP Plan</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- 0.44</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0.33 - 0.45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- 0.55</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0.58 - 0.73</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tcPr>
          <w:p>
            <w:pPr>
              <w:ind w:left="20"/>
              <w:spacing w:after="0"/>
              <w:rPr>
                <w:sz w:val="20"/>
                <w:szCs w:val="20"/>
                <w:color w:val="auto"/>
              </w:rPr>
            </w:pPr>
            <w:r>
              <w:rPr>
                <w:rFonts w:ascii="Arial" w:cs="Arial" w:eastAsia="Arial" w:hAnsi="Arial"/>
                <w:sz w:val="18"/>
                <w:szCs w:val="18"/>
                <w:color w:val="auto"/>
              </w:rPr>
              <w:t>- 3.8</w:t>
            </w:r>
          </w:p>
        </w:tc>
        <w:tc>
          <w:tcPr>
            <w:tcW w:w="114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0.50 - 2.0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ind w:left="20"/>
              <w:spacing w:after="0"/>
              <w:rPr>
                <w:sz w:val="20"/>
                <w:szCs w:val="20"/>
                <w:color w:val="auto"/>
              </w:rPr>
            </w:pPr>
            <w:r>
              <w:rPr>
                <w:rFonts w:ascii="Arial" w:cs="Arial" w:eastAsia="Arial" w:hAnsi="Arial"/>
                <w:sz w:val="18"/>
                <w:szCs w:val="18"/>
                <w:color w:val="auto"/>
              </w:rPr>
              <w:t>- 4.0</w:t>
            </w:r>
          </w:p>
        </w:tc>
        <w:tc>
          <w:tcPr>
            <w:tcW w:w="114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0.50 - 2.0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0%</w:t>
            </w:r>
          </w:p>
        </w:tc>
        <w:tc>
          <w:tcPr>
            <w:tcW w:w="112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2"/>
              </w:rPr>
              <w:t>0%</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0.98 - 1.85%</w:t>
            </w:r>
          </w:p>
        </w:tc>
        <w:tc>
          <w:tcPr>
            <w:tcW w:w="114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0.24 - 1.05%</w:t>
            </w:r>
          </w:p>
        </w:tc>
        <w:tc>
          <w:tcPr>
            <w:tcW w:w="2260" w:type="dxa"/>
            <w:vAlign w:val="bottom"/>
            <w:gridSpan w:val="5"/>
          </w:tcPr>
          <w:p>
            <w:pPr>
              <w:jc w:val="center"/>
              <w:ind w:left="132"/>
              <w:spacing w:after="0"/>
              <w:rPr>
                <w:sz w:val="20"/>
                <w:szCs w:val="20"/>
                <w:color w:val="auto"/>
              </w:rPr>
            </w:pPr>
            <w:r>
              <w:rPr>
                <w:rFonts w:ascii="Arial" w:cs="Arial" w:eastAsia="Arial" w:hAnsi="Arial"/>
                <w:sz w:val="18"/>
                <w:szCs w:val="18"/>
                <w:color w:val="auto"/>
                <w:w w:val="93"/>
              </w:rPr>
              <w:t>1.21 - 2.42%   0.42 - 0.86%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forfeitures</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10.5 - 13.5%</w:t>
            </w:r>
          </w:p>
        </w:tc>
        <w:tc>
          <w:tcPr>
            <w:tcW w:w="11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8"/>
              </w:rPr>
              <w:t>10.5 - 13.5%</w:t>
            </w:r>
          </w:p>
        </w:tc>
        <w:tc>
          <w:tcPr>
            <w:tcW w:w="112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0"/>
              </w:rPr>
              <w:t>13.5%</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13.5%</w:t>
            </w:r>
          </w:p>
        </w:tc>
      </w:tr>
    </w:tbl>
    <w:p>
      <w:pPr>
        <w:spacing w:after="0" w:line="15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Autodesk measures all stock-based payments to employees and directors, including grants of employee stock options, employee stock purchases related to the ESP Plan, and restricted stock units and restricted stock, using a fair-value based method, and records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expense in Autodesk’s Condensed Consolidated Statements of Operations. The estimated fair value of stock-based awards is amortized to expense on a straight-line basis over the awards’ vesting period.</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Autodesk estimates expected volatility for stock-based awards granted under the Company’s stock plans and ESP Plan awards based on the average of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granted under the Company’s stock plans using both exercise behavior and post-vesting termination behavior, as well as consideration of outstanding options.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valuation model.</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valuation model for stock-based awards granted under the Company’s stock plans and ESP Plan awards is the historical yield on U.S. Treasury securities with equivalent remaining lives.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Autodesk only recognizes expense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6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Autodesk’s effective tax rate was 25% and 24% during the three and six months ended July 31, 2010, respectively. Autodesk’s effective tax rate was 22% during the three months ended July 31, 2009 and negative 256% during the six months ended July 31, 2009. Autodesk’s effective tax rate increased 3% during the three months ended July 31, 2010 as compared to the same period in the prior fiscal year primarily due to comparatively less discrete tax benefits associated with stock options recorded during the three months ended July 31, 2010. Autodesk’s effective tax rate during the six months ended July 31, 2010 differs from the effective tax rate during the same period of the prior fiscal year primarily due to a $20.9 million discrete non-cash tax charge as a result of a change in expected future tax rates and establishment of a valuation allowance against certain California deferred tax assets recorded during the first quarter of fiscal 2010 and partially offset by a discrete tax benefit of $7.7 million associated with the impairment of goodwill recorded during the first quarter of fiscal 2010. During the first quarter of fiscal 2010, the State of California enacted legislation significantly altering California tax law. As a result of the legislation, we expect that in fiscal years 2012 and beyond, income subject to tax in California will be less than under prior tax law and accordingly, deferred tax assets are less likely to be realized. Excluding the impact of discrete tax items, the effective tax rate for the three and six months ended July 31, 2010 was lower than the Federal statutory tax rate of 35% primarily due to foreign income taxed at lower rates partially offset by the impact of stock-based compensation expense.</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July 31, 2010, the Company had $182.5 million of gross unrecognized tax benefits, excluding interest, of which approximately $169.8 million represents the amount of unrecognized tax benefits that would impact the effective tax rate, if recognized. The remaining $12.7 million relates to items that would result in balance sheet reclassification with no impact to income tax expense. It is possible that the amount of unrecognized tax benefits will change in the next twelve months; however an estimate of the range of the possible change cannot be made at this time.</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July 31, 2010, Autodesk had net deferred tax assets of $156.7 million. The Company believes that it will generate sufficient future taxable income in appropriate tax jurisdictions to realize these assets.</w:t>
      </w:r>
    </w:p>
    <w:p>
      <w:pPr>
        <w:spacing w:after="0" w:line="25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July 31, 2010, Autodesk had marketable securities totaling $420.7 million, of which $28.7 million related to investments in debt and equity securities that are held in a rabbi trust under non-qualified deferred compensation plans. The total related deferred compensation liability was $28.7 million at July 31, 2010, of which $1.3 million was classified as current and $27.4 million was classified as non-current liabilities. The value of debt and equity securities held in the rabbi trust at January 31, 2010 was $26.3 million. The total related deferred compensation liability at January 31, 2010 was $26.3 million, of which $1.1 million was classified as current and $25.2 million was classified as non-current liabilities. The current and non-current portions of the liability are recorded in the Condensed Consolidated Balance Sheets under “Accrued compensation” and “Other liabilities,”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Computer Equipment, Software, Furniture and Leasehold Improvements,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Computer software and hardware, leasehold improvements, furniture and equipment and the related accumulated depreciation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at cost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114.4</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113.2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399.3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(310.8)</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Intangible Assets,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Other intangible assets include purchased technologies, customer relationships, trade names and the related accumulated amortization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61"/>
        </w:trPr>
        <w:tc>
          <w:tcPr>
            <w:tcW w:w="9640" w:type="dxa"/>
            <w:vAlign w:val="bottom"/>
          </w:tcPr>
          <w:p>
            <w:pPr>
              <w:spacing w:after="0"/>
              <w:rPr>
                <w:sz w:val="14"/>
                <w:szCs w:val="14"/>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Purchased technologies, at cost </w:t>
            </w:r>
            <w:r>
              <w:rPr>
                <w:rFonts w:ascii="Arial" w:cs="Arial" w:eastAsia="Arial" w:hAnsi="Arial"/>
                <w:sz w:val="11"/>
                <w:szCs w:val="11"/>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 xml:space="preserve">Customer relationships and trade names, at cost </w:t>
            </w:r>
            <w:r>
              <w:rPr>
                <w:rFonts w:ascii="Arial" w:cs="Arial" w:eastAsia="Arial" w:hAnsi="Arial"/>
                <w:sz w:val="11"/>
                <w:szCs w:val="11"/>
                <w:color w:val="auto"/>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177.5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(314.9)</w:t>
            </w:r>
          </w:p>
        </w:tc>
      </w:tr>
      <w:tr>
        <w:trPr>
          <w:trHeight w:val="222"/>
        </w:trPr>
        <w:tc>
          <w:tcPr>
            <w:tcW w:w="96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$ 147.2</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0" w:hanging="452"/>
        <w:spacing w:after="0" w:line="278" w:lineRule="auto"/>
        <w:tabs>
          <w:tab w:leader="none" w:pos="46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Purchased technologies include $4.3 million of in-process research and development technology as of July 31, 2010 and January 31, 2010. In-process research and development technology is an indefinite lived asset that is held and tested at least annually for impairment until such time that technological feasibility is achieved. Once technological feasibility is achieved, the technology will be amortized to expense over an applicable useful life.</w:t>
      </w:r>
    </w:p>
    <w:p>
      <w:pPr>
        <w:spacing w:after="0" w:line="1" w:lineRule="exact"/>
        <w:rPr>
          <w:rFonts w:ascii="Arial" w:cs="Arial" w:eastAsia="Arial" w:hAnsi="Arial"/>
          <w:sz w:val="19"/>
          <w:szCs w:val="19"/>
          <w:color w:val="auto"/>
          <w:vertAlign w:val="superscript"/>
        </w:rPr>
      </w:pPr>
    </w:p>
    <w:p>
      <w:pPr>
        <w:ind w:left="460" w:hanging="452"/>
        <w:spacing w:after="0" w:line="205"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Customer relationships and trade names are included in “Other assets”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during the six months ended July 31, 2010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Platform</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7"/>
              </w:rPr>
              <w:t>Architecture,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Emerging</w:t>
            </w:r>
          </w:p>
        </w:tc>
        <w:tc>
          <w:tcPr>
            <w:tcW w:w="28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Engineering and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90"/>
              </w:rPr>
              <w:t>Media and</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1"/>
              <w:spacing w:after="0"/>
              <w:rPr>
                <w:sz w:val="20"/>
                <w:szCs w:val="20"/>
                <w:color w:val="auto"/>
              </w:rPr>
            </w:pPr>
            <w:r>
              <w:rPr>
                <w:rFonts w:ascii="Arial" w:cs="Arial" w:eastAsia="Arial" w:hAnsi="Arial"/>
                <w:sz w:val="14"/>
                <w:szCs w:val="14"/>
                <w:b w:val="1"/>
                <w:bCs w:val="1"/>
                <w:color w:val="auto"/>
                <w:w w:val="80"/>
              </w:rPr>
              <w:t>Business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b w:val="1"/>
                <w:bCs w:val="1"/>
                <w:color w:val="auto"/>
                <w:w w:val="84"/>
              </w:rPr>
              <w:t>Construction</w:t>
            </w:r>
          </w:p>
        </w:tc>
        <w:tc>
          <w:tcPr>
            <w:tcW w:w="6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Manufacturing</w:t>
            </w:r>
          </w:p>
        </w:tc>
        <w:tc>
          <w:tcPr>
            <w:tcW w:w="2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7"/>
              </w:rPr>
              <w:t>Entertainment</w:t>
            </w:r>
          </w:p>
        </w:tc>
        <w:tc>
          <w:tcPr>
            <w:tcW w:w="5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center"/>
              <w:ind w:left="301"/>
              <w:spacing w:after="0"/>
              <w:rPr>
                <w:sz w:val="20"/>
                <w:szCs w:val="20"/>
                <w:color w:val="auto"/>
              </w:rPr>
            </w:pPr>
            <w:r>
              <w:rPr>
                <w:rFonts w:ascii="Arial" w:cs="Arial" w:eastAsia="Arial" w:hAnsi="Arial"/>
                <w:sz w:val="18"/>
                <w:szCs w:val="18"/>
                <w:color w:val="auto"/>
                <w:w w:val="85"/>
              </w:rPr>
              <w:t>40.2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224.8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Addition arising from acquisitions</w:t>
            </w:r>
          </w:p>
        </w:tc>
        <w:tc>
          <w:tcPr>
            <w:tcW w:w="1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Effect of foreign currency translation, purchase accounting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and other</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Balance as of July 31, 2010</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center"/>
              <w:ind w:left="301"/>
              <w:spacing w:after="0"/>
              <w:rPr>
                <w:sz w:val="20"/>
                <w:szCs w:val="20"/>
                <w:color w:val="auto"/>
              </w:rPr>
            </w:pPr>
            <w:r>
              <w:rPr>
                <w:rFonts w:ascii="Arial" w:cs="Arial" w:eastAsia="Arial" w:hAnsi="Arial"/>
                <w:sz w:val="18"/>
                <w:szCs w:val="18"/>
                <w:color w:val="auto"/>
                <w:w w:val="85"/>
              </w:rPr>
              <w:t>40.1</w:t>
            </w:r>
          </w:p>
        </w:tc>
        <w:tc>
          <w:tcPr>
            <w:tcW w:w="320" w:type="dxa"/>
            <w:vAlign w:val="bottom"/>
          </w:tcPr>
          <w:p>
            <w:pPr>
              <w:spacing w:after="0"/>
              <w:rPr>
                <w:sz w:val="19"/>
                <w:szCs w:val="19"/>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222.7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277.4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Autodesk assesses goodwill annually for impairment in the fourth quarter of each fiscal year or sooner should events or changes in circumstances indicate potential impairment. When assessing goodwill for impairment, Autodesk uses discounted cash flow models that include assumptions regarding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 (i) declines in Autodesk’s actual operating results, (ii) a sustained decline in Autodesk’s market capitalization, (iii) significant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slowdown in the worldwide economy or the industries Autodesk serves, or (iv) changes in Autodesk’s business strategy or internal operating results forecasts. As of July 31, 2010, a hypothetical 10% decrease in the fair value of our Platform Solutions and Emerging Business; Manufacturing; Architecture, Engineering and Construction; or Media and Entertainment reporting units would not have an impact on the carrying value, nor result in impairment, of goodwill for the respective reporting units.</w:t>
      </w:r>
    </w:p>
    <w:p>
      <w:pPr>
        <w:spacing w:after="0" w:line="26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Autodesk’s U.S. line of credit facility permits unsecured short-term borrowings of up to $250.0 million and is available for working capital or other business needs. The credit agreement contains customary covenants, which could restrict liens, certain types of additional debt and dispositions of assets if Autodesk fails to maintain its financial covenants. The line of credit is syndicated with various financial institutions, including Citicorp USA, Inc., a Citibank affiliate, which is the lead lender and agent. Autodesk had no outstanding borrowings on this line at July 31, 2010. This facility expires in August 2012.</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quarter ended July 31, 2010, Autodesk terminated its $5.0 million China line of credit because it was no longer needed.</w:t>
      </w:r>
    </w:p>
    <w:p>
      <w:pPr>
        <w:spacing w:after="0" w:line="29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Restructuring Reserve</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During the first quarter of fiscal 2011, Autodesk initiated a restructuring plan in order to further reduce operating costs. The restructuring plan is expected to result in targeted staff reductions of approximately 210 to 230 positions. In connection with the restructuring plan, Autodesk expects to record restructuring charges of approximately $10.0 million to $12.0 million. No leased facilities were consolidated as part of this restructuring (“Fiscal 2011 Plan”).</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Fiscal 2011 Plan, during the three and six months ended July 31, 2010 Autodesk reduced the number of employees by approximately 50 positions and 170 positions, respectively, and recorded restructuring charges of $3.5 million and $10.6 million, respectively, which primarily related to one-time employee termination benefits. The remainder of the termination benefits will be substantially paid during fiscal 2011. In connection with the fiscal 2009 and 2010 restructuring plans, Autodesk expects to pay the facility related liabilities through fiscal 2018.</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restructuring activity recorded in the Condensed Consolidated Balance Sheets during the six months ended July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91"/>
              </w:rPr>
              <w:t>Balance at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22"/>
                <w:szCs w:val="22"/>
                <w:b w:val="1"/>
                <w:bCs w:val="1"/>
                <w:color w:val="auto"/>
                <w:vertAlign w:val="superscript"/>
              </w:rPr>
              <w:t>(1)</w:t>
            </w:r>
          </w:p>
        </w:tc>
        <w:tc>
          <w:tcPr>
            <w:tcW w:w="280" w:type="dxa"/>
            <w:vAlign w:val="bottom"/>
          </w:tcPr>
          <w:p>
            <w:pPr>
              <w:spacing w:after="0"/>
              <w:rPr>
                <w:sz w:val="12"/>
                <w:szCs w:val="12"/>
                <w:color w:val="auto"/>
              </w:rPr>
            </w:pP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7"/>
              </w:rPr>
              <w:t>January 31, 2010</w:t>
            </w:r>
          </w:p>
        </w:tc>
        <w:tc>
          <w:tcPr>
            <w:tcW w:w="5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Additions</w:t>
            </w:r>
          </w:p>
        </w:tc>
        <w:tc>
          <w:tcPr>
            <w:tcW w:w="5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1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Fiscal 2011 Plan</w:t>
            </w:r>
          </w:p>
        </w:tc>
        <w:tc>
          <w:tcPr>
            <w:tcW w:w="1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Fiscal 2010 Plan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Termination and Asset Costs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Fiscal 2009 Plan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Termination Costs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Lease Termination and Asset Costs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Termination and Asset Costs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tcPr>
          <w:p>
            <w:pPr>
              <w:spacing w:after="0"/>
              <w:rPr>
                <w:sz w:val="19"/>
                <w:szCs w:val="19"/>
                <w:color w:val="auto"/>
              </w:rPr>
            </w:pP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(2.2)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r>
              <w:rPr>
                <w:rFonts w:ascii="Arial" w:cs="Arial" w:eastAsia="Arial" w:hAnsi="Arial"/>
                <w:sz w:val="11"/>
                <w:szCs w:val="11"/>
                <w:color w:val="auto"/>
              </w:rPr>
              <w:t>(2)</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Non-current portion</w:t>
            </w:r>
            <w:r>
              <w:rPr>
                <w:rFonts w:ascii="Arial" w:cs="Arial" w:eastAsia="Arial" w:hAnsi="Arial"/>
                <w:sz w:val="11"/>
                <w:szCs w:val="11"/>
                <w:color w:val="auto"/>
              </w:rPr>
              <w:t>(2)</w:t>
            </w: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Adjustments include the impact of foreign currency translation.</w:t>
      </w:r>
    </w:p>
    <w:p>
      <w:pPr>
        <w:spacing w:after="0" w:line="7" w:lineRule="exact"/>
        <w:rPr>
          <w:rFonts w:ascii="Arial" w:cs="Arial" w:eastAsia="Arial" w:hAnsi="Arial"/>
          <w:sz w:val="22"/>
          <w:szCs w:val="22"/>
          <w:color w:val="auto"/>
          <w:vertAlign w:val="superscript"/>
        </w:rPr>
      </w:pPr>
    </w:p>
    <w:p>
      <w:pPr>
        <w:ind w:left="460" w:right="200" w:hanging="452"/>
        <w:spacing w:after="0" w:line="221"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The current and non-current portion of the reserve is recorded in the Condensed Consolidated Balance Sheet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Autodesk’s products or services. Autodesk accrues for known indemnification issues if a loss is probable and can be reasonably estimated. Historically, costs related to these indemnifications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the purchase, sale or license transactions of assets or businesses with third parties, Autodesk has received or assumed customary indemnification agreements related to the assets or businesses purchased, sold or licensed. Historically, costs related to indemnifications or guarantees assumed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not significant.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Autodesk is involved in a variety of claims, suits, investigations and proceedings in the normal course of business activities including claims of alleged infringement of intellectual property rights, commercial, employment, piracy prosecution and other matters. In the Company’s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26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Repurchase Program</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Autodesk has a stock repurchase program that helps offset the dilution to net income per share caused by the issuance of stock under the Company’s employee stock plans and returns excess cash generated from its business to stockholders. The number of shares acquired and the timing of the purchases are based on several factors, including general market conditions, the volume of employee stock option exercises and the issuance of shares through our ESP Plan, the pool of existing outstanding options and the grant of new options, the trading price of Autodesk common stock, cash on hand and available in the United States, and company defined trading windows.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three and six months ended July 31, 2010, Autodesk repurchased 2.5 million and 4.5 million respective shares of its common stock on the open market at average repurchase prices of $28.15 per share and $28.70 per share, respectively, and subsequently retired those shares. Common stock and additional paid-in capital and retained earnings were reduced by $36.5 million and $33.9 million, respectively, during the three months ended July 31, 2010, as a result of the stock repurchases. Common stock and additional paid-in-capital and retained earnings were reduced by $63.3 million and $65.9 million, respectively, during the six months ended July 31, 2010. As of July 31, 2010, 9.0 million shares remained available for repurchase under this program.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i w:val="1"/>
          <w:iCs w:val="1"/>
          <w:color w:val="auto"/>
        </w:rPr>
        <w:t>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other comprehensive income (loss), net of taxes,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13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$ 96.8</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(loss) on derivative instruments, net of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Change in net unrealized gain (loss) on available-for-sale securities, net of tax</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cumulative foreign currency translation gain (loss)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860"/>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$ 97.4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loss, net of taxes, was comprised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61"/>
        </w:trPr>
        <w:tc>
          <w:tcPr>
            <w:tcW w:w="6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gain on derivative instruments</w:t>
            </w:r>
          </w:p>
        </w:tc>
        <w:tc>
          <w:tcPr>
            <w:tcW w:w="306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87"/>
              </w:rPr>
              <w:t>5.3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unrealized gain on available-for-sale securities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center"/>
              <w:ind w:left="56"/>
              <w:spacing w:after="0"/>
              <w:rPr>
                <w:sz w:val="20"/>
                <w:szCs w:val="20"/>
                <w:color w:val="auto"/>
              </w:rPr>
            </w:pPr>
            <w:r>
              <w:rPr>
                <w:rFonts w:ascii="Arial" w:cs="Arial" w:eastAsia="Arial" w:hAnsi="Arial"/>
                <w:sz w:val="18"/>
                <w:szCs w:val="18"/>
                <w:color w:val="auto"/>
                <w:w w:val="87"/>
              </w:rPr>
              <w:t>2.4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Unfunded portion of pension plans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6"/>
              </w:rPr>
              <w:t>(5.9)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(4.7)</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7"/>
        </w:trPr>
        <w:tc>
          <w:tcPr>
            <w:tcW w:w="65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6"/>
              </w:rPr>
              <w:t>(2.9)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0"/>
        </w:trPr>
        <w:tc>
          <w:tcPr>
            <w:tcW w:w="65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Income (Loss) Per Share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Basic net income (loss) per share is computed using the weighted average number of shares of common stock outstanding for the period, including restricted stock awards and excluding unvested stock options and restricted stock units. Diluted net income (loss) per share is based upon the weighted average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88"/>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July 31,</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8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8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(21.7)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Denominator for basic net income (loss) per share - weighted average shares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228.5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440"/>
              <w:spacing w:after="0"/>
              <w:rPr>
                <w:sz w:val="20"/>
                <w:szCs w:val="20"/>
                <w:color w:val="auto"/>
              </w:rPr>
            </w:pPr>
            <w:r>
              <w:rPr>
                <w:rFonts w:ascii="Arial" w:cs="Arial" w:eastAsia="Arial" w:hAnsi="Arial"/>
                <w:sz w:val="18"/>
                <w:szCs w:val="18"/>
                <w:color w:val="auto"/>
              </w:rPr>
              <w:t>Denominator for dilutive net income (loss) per share</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233.8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234.5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(0.09)</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(0.09)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computation of diluted net income (loss) per share does not include shares that are anti-dilutive under the treasury stock method. For the three months ended July 31, 2010 and 2009, 22.8 million and 22.3 million potentially anti-dilutive weighted shares, respectively, were excluded from the computation of diluted net income per share because their exercise prices were higher than the average market value of Autodesk’s stock during the period. For the six months ended July 31, 2010, 21.1 million potentially anti-dilutive weighted shares were excluded from the computation of diluted net income (loss) per share because their exercise prices were higher than the average market value of Autodesk’s stock during the period. For the six months ended July 31, 2010, Autodesk was in a net loss position. Therefore, all 31.4 million outstanding options and awards were considered anti-dilutive and excluded from the computation of diluted net loss per share.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Autodesk has no material inter-segment revenue.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The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PSEB includes Autodesk’s horizontal design product, its AutoCAD product. Autodesk’s AutoCAD product is a platform product that underpins the Company’s vertical design product offerings for the industries it serves. For example, AEC and MFG offer tailored versions of AutoCAD software for the industries they serve. Autodesk’s AutoCAD product also provides a platform for Autodesk’s developer partners to build custom solutions for a range of diverse design-oriented markets. PSEB’s revenue primarily includes revenue from sales of licenses of Autodesk’s horizontal design products, AutoCAD and AutoCAD LT, as well as many of Autodesk’s vertical design products.</w:t>
      </w:r>
    </w:p>
    <w:p>
      <w:pPr>
        <w:spacing w:after="0" w:line="14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and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AutoCAD Civil 3D, AutoCAD Architecture and AutoCAD Map 3D products.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brings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AutoCAD Mechanical and Autodesk Moldflow products.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(formerly known as Advanced Systems). Animation products, such as Autodesk 3ds Max and Autodesk Maya,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All of Autodesk’s reportable segments distribute their respective products primarily through authorized resellers and distributors and, to a lesser extent, through direct sales to end-users. The accounting policies of the reportable segments are the same as those described in Note 1, “Business and Summary of Significant Accounting Policies” of our 2010 Form 10-K. Autodesk evaluates each segment’s performance on the basis of gross profit. Autodesk currently does not separately accumulate and report asset information by segment, except for goodwill, which is disclosed in Note 11, “Goodwill.”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operations of Autodesk’s reportable segments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0"/>
              </w:rPr>
              <w:t>Three Months Ended</w:t>
            </w:r>
          </w:p>
        </w:tc>
        <w:tc>
          <w:tcPr>
            <w:tcW w:w="1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July 31,</w:t>
            </w:r>
          </w:p>
        </w:tc>
        <w:tc>
          <w:tcPr>
            <w:tcW w:w="1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$ 177.5</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$ 149.6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$361.3</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112.7</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220.6</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3"/>
        </w:trPr>
        <w:tc>
          <w:tcPr>
            <w:tcW w:w="8300" w:type="dxa"/>
            <w:vAlign w:val="bottom"/>
          </w:tcPr>
          <w:p>
            <w:pPr>
              <w:ind w:left="4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$ 472.8</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$ 414.9</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947.4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840.7</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$ 168.0</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$ 140.3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$341.5</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121.6</w:t>
            </w:r>
          </w:p>
        </w:tc>
        <w:tc>
          <w:tcPr>
            <w:tcW w:w="3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110.2</w:t>
            </w:r>
          </w:p>
        </w:tc>
        <w:tc>
          <w:tcPr>
            <w:tcW w:w="500" w:type="dxa"/>
            <w:vAlign w:val="bottom"/>
          </w:tcPr>
          <w:p>
            <w:pPr>
              <w:jc w:val="right"/>
              <w:spacing w:after="0"/>
              <w:rPr>
                <w:sz w:val="20"/>
                <w:szCs w:val="20"/>
                <w:color w:val="auto"/>
              </w:rPr>
            </w:pPr>
            <w:r>
              <w:rPr>
                <w:rFonts w:ascii="Arial" w:cs="Arial" w:eastAsia="Arial" w:hAnsi="Arial"/>
                <w:sz w:val="18"/>
                <w:szCs w:val="18"/>
                <w:color w:val="auto"/>
              </w:rPr>
              <w:t>244.3</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73.7</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Unallocated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$ 424.4</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$ 364.8</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847.7</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460" w:hanging="452"/>
        <w:spacing w:after="0" w:line="228"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Unallocated amounts primarily relate to corporate expenses and other costs and expenses that are managed outside the reportable segments, including amortization of purchased technology and stock-based compensation expense.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Information regarding Autodesk’s net revenue by geographic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2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2"/>
                <w:szCs w:val="12"/>
                <w:color w:val="auto"/>
              </w:rPr>
            </w:pPr>
          </w:p>
        </w:tc>
        <w:tc>
          <w:tcPr>
            <w:tcW w:w="50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Americas</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129.9</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Other Americas</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159.4</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rPr>
              <w:t>Europe, Middle East and Africa</w:t>
            </w: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vMerge w:val="continue"/>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188.8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157.0</w:t>
            </w:r>
          </w:p>
        </w:tc>
        <w:tc>
          <w:tcPr>
            <w:tcW w:w="2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387.4</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4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Japan</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100.2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Asia Pacific</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rPr>
              <w:t>Total Asia Pacific</w:t>
            </w: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vMerge w:val="continue"/>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230.4</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414.9</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460" w:type="dxa"/>
            <w:vAlign w:val="bottom"/>
            <w:vMerge w:val="restart"/>
          </w:tcPr>
          <w:p>
            <w:pPr>
              <w:jc w:val="right"/>
              <w:ind w:right="2732"/>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business and sale model changes, anticipated future operating results and operating expenses, the impact of our restructuring activities, the impact of acquisitions and investment activities, the effect of fluctuations in exchange rates and our hedging strategy on our financial results, the impact of economic volatility and geopolitical activities in certain countries, particularly emerging economy countries, and the resulting effect on our financial results, and our ability to successfully expand adoption of our horizontal design products, our vertical design products and model-based design products. In addition, forward-looking statements also consist of statements involving expectations regarding product acceptance, continuation of our stock repurchase program, short-term and long-term cash requirements, cash flows from operations, and revenues from upgrades and our maintenance program,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goal is to be the world’s leading design, engineering, and entertainment software and services company for the architecture, engineering and construction, manufacturing, and digital media and entertainment markets. Worldwide business trends such as globalization, sustainability, investment in infrastructure, and the increasing desire to keep data digital, are creating pressure on our customers to improve innovation while enhancing productivity. We enable customer innovation by delivering the broadest portfolio of products and services for the digital design, visualization, and simulation of real-world project performance. Our products help our customers increase efficiency and productivity while solving business challenges. Our customers are seeking differentiation through design, and we believe our products provide them with a competitive advantage to succeed in this environment.</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achieve our goal, we believe that we can capitalize on our competitive advantages, including our ability to make technology available to mainstream markets. By innovating in existing technology categories, we bring powerful design products to volume markets. Our products are designed to be easy to learn and use and to provide customers low cost of deployment, low total cost of ownership and rapid return on their investment. In addition, our software architecture allows for extensibility and integration with other products. We believe that our technological leadership, brand recognition, breadth of product line and large installed base position us well for long-term growth.</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believe that our large global network of distributors and resellers, third-party developers, customers and students is also a competitive advantage. These relationships provide us with a broad reach into volume markets. Our distributor and reseller network is extensive and provides our customers with global resources for the purchase and support of our products as well as resources for effective and cost-efficient training services. We believe that our network of channel partners positions us well for longer-term growth. In addition, we have a significant number of registered third-party developers that create products that operate with our software products, further extending our reach into volume markets. Users trained on our products are broadly available from both educational institutions and the existing workforce providing us with a student community of next-generation professional users and reducing the cost of training for our customers. To train the next generation of users, we offer education programs, including classroom support, standardized curricula, instructor development, and specially priced software-licensing options.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strategy to grow over the long term derives from these core strengths. Our growth strategy includes continually increasing the business value of our design tools in a number of ways, and improving the performance and functionality of our existing products with each new release. Our most recent release began in March 2010. Beyond our non-industry or discipline specific horizontal design products, AutoCAD and AutoCAD LT, we develop products addressing industry or discipline-specific needs through our vertical design and model-based design product offerings. We continually strive to improve our product functionality and specialization by industry while increasing product interoperability and usability. We also strive to create innovative ways of delivering better user experiences to our customers. We believe this ultimately increases our customers’ satisfaction, increases the usefulness of our products to our customers and drives customer loyalty.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expanding our horizontal design product customers’ portfolios to include our vertical design products and model-based design products presents a meaningful growth opportunity and is an important part of our overall strategy. For example, for each of the three and six months ended July 31, 2010, revenue from model-based design products increased 14%, as compared to the same periods in the prior fiscal year, and represented 29% as a percentage of total revenue during each of the three and six month periods ended July 31, 2010 and 2009. We believe that the adoption of vertical design products and model-based design products by our customers in all industries will increase their productivity, as well as result in richer design data.</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Expanding our geographic coverage is another key element of our growth strategy. We believe that emerging economies continue to present long-term growth opportunities for us. Revenue from emerging economies increased 13% and 14% during each of the three and six months ended July 31, 2010, respectively, as compared to the same periods of the prior fiscal year. Revenue from emerging economies represented 15% of net revenue during each of the three and six months ended July 31, 2010 and 2009. While we believe there are long-term growth opportunities in emerging economies, conducting business in these countries presents significant challenges, including economic volatility, geopolitical risk, intellectual property protection and software piracy.</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integration challenges and may, in certain instances, negatively impact our operating margins. We continually review these trade-offs in making decisions regarding acquisitions. We currently anticipate that we will selectively acquire products, technology and businesses as compelling opportunities that promote our strategy become available, but the pace at which we make such investments will vary depending upon our business needs, the availability of suitable sellers and technology, and our own financial condition.</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Global demand for our products improved during the three and six months ended July 31, 2010, as compared to the respective periods of the prior fiscal year. We began to see growth in the demand environment in many countries and markets, and global financial market growth, which has improved our business. We saw demand for our products and services increase in all of the geographies and industries we serve during the three and six months ended July 31, 2010 as compared to the same periods of the prior fiscal year. This has positively impacted our financial results. Our operating margins are very sensitive to changes in revenue, given the relatively fixed nature of most of our expenses, which consist primarily of employee-related expenditures, facilities costs, and depreciation and amortization expense. We took actions in fiscal 2010, and continue to take actions in fiscal 2011, to help improve our financial condition in fiscal 2011 and beyond. We believe that by continuing to execute our strategy we can achieve our goal of being the world’s leading design and engineering software and services company for the architecture, engineering, and construction, manufacturing, geospatial mapping, and digital media and entertainment markets.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and resellers, third-party developers, customers,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We have described our significant accounting policies in Note 1, “Business and Summary of Significant Accounting Policies,” in the Notes to Consolidated Financial Statements in our Form 10-K for the fiscal year ended January 31, 2010 (the “2010 Form 10-K”). In addition, we highlighted those policies that involve a higher degree of judgment and complexity with further discussion of these judgmental areas in Item 7, “Management’s Discussion and Analysis of Financial Condition and Results of Operations” in our 2010 Form 10-K. We believe these policies are the most critical to aid in fully understanding and evaluating our financial condition and results of operations. Please refer to Note 1, “Business and Summary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Significant Accounting Policies,” in the Notes to Consolidated Financial Statements and Item 7, “Management’s Discussion and Analysis of Financial Condition and Results of Operations” in our 2010 Form 10-K filed on March 19, 2010. Updates on the relevant periodic financial disclosures related to these policies are provided below.</w:t>
      </w:r>
    </w:p>
    <w:p>
      <w:pPr>
        <w:spacing w:after="0" w:line="14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i w:val="1"/>
          <w:iCs w:val="1"/>
          <w:color w:val="auto"/>
        </w:rPr>
        <w:t>Goodwill</w:t>
      </w:r>
      <w:r>
        <w:rPr>
          <w:rFonts w:ascii="Arial" w:cs="Arial" w:eastAsia="Arial" w:hAnsi="Arial"/>
          <w:sz w:val="15"/>
          <w:szCs w:val="15"/>
          <w:color w:val="auto"/>
        </w:rPr>
        <w:t>. Goodwill consists of the excess of cost over the fair value of net assets acquired in business combinations. As of July 31, 2010, a hypothetical</w:t>
      </w:r>
      <w:r>
        <w:rPr>
          <w:rFonts w:ascii="Arial" w:cs="Arial" w:eastAsia="Arial" w:hAnsi="Arial"/>
          <w:sz w:val="15"/>
          <w:szCs w:val="15"/>
          <w:i w:val="1"/>
          <w:iCs w:val="1"/>
          <w:color w:val="auto"/>
        </w:rPr>
        <w:t xml:space="preserve"> </w:t>
      </w:r>
      <w:r>
        <w:rPr>
          <w:rFonts w:ascii="Arial" w:cs="Arial" w:eastAsia="Arial" w:hAnsi="Arial"/>
          <w:sz w:val="15"/>
          <w:szCs w:val="15"/>
          <w:color w:val="auto"/>
        </w:rPr>
        <w:t>10% decrease in the fair value of our Platform Solutions and Emerging Business; Manufacturing; Architecture, Engineering and Construction or Media and Entertainment reporting units would not have an impact on the carrying value, nor result in impairment, of goodwill for the respective reporting units.</w:t>
      </w:r>
    </w:p>
    <w:p>
      <w:pPr>
        <w:spacing w:after="0" w:line="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Product Returns Reserves. </w:t>
      </w:r>
      <w:r>
        <w:rPr>
          <w:rFonts w:ascii="Arial" w:cs="Arial" w:eastAsia="Arial" w:hAnsi="Arial"/>
          <w:sz w:val="16"/>
          <w:szCs w:val="16"/>
          <w:color w:val="auto"/>
        </w:rPr>
        <w:t>We permit our distributors and resellers to return products up to a percentage of prior quarter purchases. The product returns</w:t>
      </w:r>
      <w:r>
        <w:rPr>
          <w:rFonts w:ascii="Arial" w:cs="Arial" w:eastAsia="Arial" w:hAnsi="Arial"/>
          <w:sz w:val="16"/>
          <w:szCs w:val="16"/>
          <w:i w:val="1"/>
          <w:iCs w:val="1"/>
          <w:color w:val="auto"/>
        </w:rPr>
        <w:t xml:space="preserve"> </w:t>
      </w:r>
      <w:r>
        <w:rPr>
          <w:rFonts w:ascii="Arial" w:cs="Arial" w:eastAsia="Arial" w:hAnsi="Arial"/>
          <w:sz w:val="16"/>
          <w:szCs w:val="16"/>
          <w:color w:val="auto"/>
        </w:rPr>
        <w:t>reserve is based on historical experience of actual product returns, estimated channel inventory levels, the timing of new product introductions and promotions, channel sell-in for applicable markets and other factors. Our product returns reserves were $10.5 million at July 31, 2010 and $11.8 million at January 31, 2010. Actual product returns as a percentage of applicable revenue were 4.4% and 5.5% for the three months ended July 31, 2010 and 2009, respectively, and 4.9% and 5.5% for the six months ended July 31, 2010 and 2009, respectively. During the three months ended July 31, 2010 and 2009, we recorded additions to our product returns reserve of $10.4 million and $9.5 million, respectively, which reduced our revenue. During the six months ended July 31, 2010 and 2009, we recorded additions to our product returns reserve of $21.4 million and $21.9 million, respectively, which reduced our revenue.</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At July 31, 2010, we had $156.7 million of net deferred tax assets, primarily a result of tax credits, net operating losses, and timing</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for reserves, accrued liabilities, stock options, purchased technologies and capitalized software, partially offset by the establishment of U.S. deferred tax liabilities on unremitted earnings from certain foreign subsidiaries and acquired intangibles and valuation allowances against California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Six Months Ended July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0" w:type="dxa"/>
            <w:vAlign w:val="bottom"/>
          </w:tcPr>
          <w:p>
            <w:pPr>
              <w:spacing w:after="0"/>
              <w:rPr>
                <w:sz w:val="1"/>
                <w:szCs w:val="1"/>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July 31, 2010</w:t>
            </w:r>
          </w:p>
        </w:tc>
        <w:tc>
          <w:tcPr>
            <w:tcW w:w="5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July 31, 2009</w:t>
            </w:r>
          </w:p>
        </w:tc>
        <w:tc>
          <w:tcPr>
            <w:tcW w:w="6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472.8</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48.4</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w:t>
            </w:r>
          </w:p>
        </w:tc>
        <w:tc>
          <w:tcPr>
            <w:tcW w:w="6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424.4</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344.6</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362.1</w:t>
            </w:r>
          </w:p>
        </w:tc>
        <w:tc>
          <w:tcPr>
            <w:tcW w:w="6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79.8</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Six Months</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Six Months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0" w:type="dxa"/>
            <w:vAlign w:val="bottom"/>
          </w:tcPr>
          <w:p>
            <w:pPr>
              <w:spacing w:after="0"/>
              <w:rPr>
                <w:sz w:val="1"/>
                <w:szCs w:val="1"/>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July 31, 2010</w:t>
            </w:r>
          </w:p>
        </w:tc>
        <w:tc>
          <w:tcPr>
            <w:tcW w:w="5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July 31, 2009</w:t>
            </w:r>
          </w:p>
        </w:tc>
        <w:tc>
          <w:tcPr>
            <w:tcW w:w="6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947.4</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99.7</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102.4</w:t>
            </w:r>
          </w:p>
        </w:tc>
        <w:tc>
          <w:tcPr>
            <w:tcW w:w="6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847.7</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717.1</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755.1</w:t>
            </w:r>
          </w:p>
        </w:tc>
        <w:tc>
          <w:tcPr>
            <w:tcW w:w="6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130.6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results for the second quarter of fiscal 2011 reflect recent improvements in the global demand environment, as compared to the same period in the prior fiscal year when the economic downturn had decreased demand for our products and services, and customers reduced their workforces. While global macroeconomic indicators remain mixed, there were some signs of growth during the three and six months ended July 31, 2010. There have been significant job losses around the world over the past two years, and unemployment remains high in several important geographies, including the U.S. Additionally, there are a number of mixed data points as to whether credit has become more readily available, and how this continues to impact our customers and partners.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business showed some signs of growth as evidenced by our year over year increases in revenue, gross profit and income from operations. Contributing to the year over year increases in revenue were increases in revenue from new seat licenses, revenue for most of our major products, all of our reportable segments, and all of our geographies during the three and six months ended July 31, 2010 as compared to the same periods of the prior fiscal year. In addition, we continued to make progress in controlling our operating costs, which led to year over year improvements in profitability. Despite the improvements in these areas, it is not clear whether these increases represent sustainable trends, or are indications of broad-based stabilization of our business. Our business had a sequential decrease in upgrade revenue as a result of an increase in upgrades in the first quarter of fiscal 2011 in response to a promotion in advance of the March 2010 increase in upgrade pricing. We remain cautious regarding our fiscal 2011 financial prospects primarily due to the continued negative business reports in a number of countries around the world.</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During the three and six months ended July 31, 2010, as compared to the same periods of the prior fiscal year, net revenue increased, gross profit increased and income from operations increased. The increases in income from operations during the three and six months ended July 31, 2010, as compared to the same periods in the prior fiscal year, were due to the increases in our net revenue along with decreases in total spend, defined as cost of revenue plus operating expenses. The majority of our costs are relatively fixed in the short term as they relate primarily to our workforce. In an attempt to adjust our cost structure, we initiated restructuring plans that resulted in us recording restructuring charges of $1.9 million and $9.0 million during the three and six months ended July 31, 2010, respectively, as compared to the $26.4 million and $42.9 million recorded in the respective periods of the prior fiscal year. In addition, during the six months ended July 31, 2009 we recorded a goodwill impairment charge of $21.0 million associated with our M&amp;E segment. The favorable impacts of the increase in revenue and decrease in restructuring and impairment charges during the three and six months ended July 31, 2010, as compared the same period of the prior fiscal year, were partially offset by the increase in operating costs resulting from the return of some previously suppressed costs and costs associated with higher revenue. Our spending decisions are based in part on our expectations for future revenue and are not directly variable with fluctuations in revenue. Accordingly, our inability to immediately adjust our operating costs for any revenue shortfall below expectations could have an immediate and significant adverse effect on our profitability. We constantly monitor and adjust our cost structure to align with our recent and anticipated financial results. In addition to restructuring activities, other actions that we have taken to adjust our cost structure include reductions in discretionary spending and contingent labor costs. In taking these actions, we may incur additional costs that could negatively impact our net income and cash flows from operating activities.</w:t>
      </w:r>
    </w:p>
    <w:p>
      <w:pPr>
        <w:spacing w:after="0" w:line="12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for the three months ended July 31, 2010 increased $57.9 million, or 14%, as compared to the same period in the prior fiscal year due to a 22% increase in license and other revenue and a 4% increase in maintenance revenue. We experienced increases in net revenue in all of our major geographies during the three months ended July 31, 2010 as compared to the same period in the prior fiscal year. Net revenue for the six months ended July 31, 2010 increased $106.7 million, or 13%, as compared to the same period in the prior fiscal year due to an 18% increase in license and other revenue and a 6% increase in maintenance revenue. We experienced increases in net revenue in all of our major geographies during the six months ended July 31, 2010 as compared to the same period in the prior fiscal year.</w:t>
      </w:r>
    </w:p>
    <w:p>
      <w:pPr>
        <w:spacing w:after="0" w:line="14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generate a significant amount of our revenue in the U.S., Japan, Germany, France, the United Kingdom, Italy, Canada, South Korea, Australia and China. Included in the overall increase in revenue were impacts associated with foreign currency. Our revenue benefited from favorable foreign exchange rate changes during the three and six months ended July 31, 2010, as compared to the same periods of the prior fiscal year. During the three months ended July 31, 2010, as compared to the same period of the prior fiscal year, there was no impact on our operating expenses due to changes in foreign exchange rates, but during the six months ended July 31, 2010, our operating expenses increased due to changes in foreign exchange rates, as compared to the same period of the prior fiscal year. During the three and six months ended July 31, 2010, as compared to the same period of the prior year, income from operations benefited from favorable foreign exchange rate changes. Had applicable exchange rates from the three months ended July 31, 2009 been in effect through July 31, 2010, and had we excluded foreign exchange hedge gains and losses from the three months ended July 31, 2010, (“on a constant currency basis”), net revenue would have increased 13% compared to the same period of the prior fiscal year. During the six months ended July 31, 2010 net revenue would have increased 10% compared to the same period of the prior fiscal year on a constant currency basis. Operating expenses during the three months ended July 31, 2010 decreased 5% compared to the same period of the prior fiscal year both as reported and on a constant currency basis. During the six months ended July 31, 2010, operating expenses decreased 5% compared to the same period of the prior fiscal year as reported and decreased 6% on a constant currency basis. Changes in the value of the U.S. dollar may have a significant effect on net revenue, operating expenses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2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15% and 16% of our consolidated net revenue for the three and six months ended July 31, 2010, respectively, and 14% for the same periods of the prior fiscal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total spend decreased by $19.2 million, or 5%, during the three months ended July 31, 2010, as compared to the same period of the prior fiscal year. During the six months ended July 31, 2010, our total spend decreased by $40.7 million, or 5%, as compared to the same period of the prior fiscal year. However, we continued to invest in areas important to the future success of Autodesk. Our total spend of $393.0 million for the second quarter of fiscal 2011 included $21.0 million of stock-based compensation expenses, $7.7 million attributable to amortization of developed technology for acquisitions subsequent to December 2005, $5.9 million attributable to amortization of customer relationships and trade names for acquisitions subsequent to December 2005 and $1.9 million for restructuring charges. Our total spend of $816.8 million for the first half of fiscal 2011 included $45.3 million of stock-based compensation expenses, $15.4 million attributable to amortization of developed technology for acquisitions subsequent to December 2005, $12.1 million attributable to amortization of customer relationships and trade names for acquisitions subsequent to December 2005 and $9.0 million for restructuring charges.</w:t>
      </w:r>
    </w:p>
    <w:p>
      <w:pPr>
        <w:spacing w:after="0" w:line="118" w:lineRule="exact"/>
        <w:rPr>
          <w:sz w:val="20"/>
          <w:szCs w:val="20"/>
          <w:color w:val="auto"/>
        </w:rPr>
      </w:pPr>
    </w:p>
    <w:p>
      <w:pPr>
        <w:ind w:right="120" w:firstLine="456"/>
        <w:spacing w:after="0" w:line="301" w:lineRule="auto"/>
        <w:rPr>
          <w:sz w:val="20"/>
          <w:szCs w:val="20"/>
          <w:color w:val="auto"/>
        </w:rPr>
      </w:pPr>
      <w:r>
        <w:rPr>
          <w:rFonts w:ascii="Arial" w:cs="Arial" w:eastAsia="Arial" w:hAnsi="Arial"/>
          <w:sz w:val="15"/>
          <w:szCs w:val="15"/>
          <w:color w:val="auto"/>
        </w:rPr>
        <w:t>Our total operating margin increased from $2.7 million, or 1%, during the three months ended July 31, 2009, to $79.8 million, or 17%, during the three months ended July 31, 2010. Our total operating margin increased from a loss of $16.8 million, or negative 2%, during the six months ended July 31, 2009, to income of $130.6 million, or 14%, during the three months ended July 31, 2010. The increase in our operating margin during the three and six months ended July 31, 2010 was primarily due to net revenue increasing more rapidly than the increase in our costs due to our cost saving initiatives during fiscal 2010 and 2011. Also contributing to the increase in total operating margin were the decreases in restructuring charges during the three and six months ended July 31, 2010 as compared to the same period of the prior fiscal year and the decrease in goodwill impairment charges during the six months ended July 31, 2010. During the three months ended July 31, 2010, our operating margin increased $24.5 million due to the decrease in restructuring charges. During the six months ended</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July 31, 2010 our operating margin increased $21.0 million due to the decrease in goodwill impairment charges and $33.9 million for the decrease in restructuring charges. These decreases were partially offset by an increase in expenses due to the return of some previously suppressed costs and costs associated with higher revenue.</w:t>
      </w:r>
    </w:p>
    <w:p>
      <w:pPr>
        <w:spacing w:after="0" w:line="14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expect to grow revenue and increase our operating margin percentage during the third quarter of fiscal 2011 as compared to the third quarter of fiscal 2010. However, there can be no assurance that our cost structure will not increase in the future or that we will be able to align our cost structure with our actual financial results.</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primary goals for the remainder of fiscal 2011 are to continue to deliver our market-leading products and solutions to our customers, to stimulate revenue growth, to manage operating margins and to invest in product functionality and new product lines while minimizing the impact of these investments on gross profit, operating margins, operating cash flow and our worldwide operations.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At July 31, 2010, we had $1,270.7 million in cash and marketable securities. We completed the quarter ended July 31, 2010 with a higher deferred revenue balance and a lower accounts receivable balance as compared to the quarter ended January 31, 2010. Our deferred revenue balance at July 31, 2010 included $472.7 million of customer maintenance contracts, which will be recognized as revenue ratably over the life of the contracts, which is predominantly one year. We repurchased 2.5 million shares of our common stock for $70.4 million during the three months ended July 31, 2010 and 4.5 million shares of our common stock for $129.2 million during the six months ended July 31, 2010. Comparatively, we had no repurchases of our common stock during the three and six months ended July 31, 2009.</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7"/>
              </w:rPr>
              <w:t>Increase (Decrease)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Increase (Decrease)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2"/>
                <w:szCs w:val="12"/>
                <w:color w:val="auto"/>
              </w:rPr>
            </w:pPr>
          </w:p>
        </w:tc>
        <w:tc>
          <w:tcPr>
            <w:tcW w:w="13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Compared to</w:t>
            </w:r>
          </w:p>
        </w:tc>
        <w:tc>
          <w:tcPr>
            <w:tcW w:w="1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1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Six Months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Compared to</w:t>
            </w:r>
          </w:p>
        </w:tc>
        <w:tc>
          <w:tcPr>
            <w:tcW w:w="10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4"/>
                <w:szCs w:val="14"/>
                <w:color w:val="auto"/>
              </w:rPr>
            </w:pPr>
          </w:p>
        </w:tc>
        <w:tc>
          <w:tcPr>
            <w:tcW w:w="1340" w:type="dxa"/>
            <w:vAlign w:val="bottom"/>
            <w:gridSpan w:val="4"/>
          </w:tcPr>
          <w:p>
            <w:pPr>
              <w:ind w:left="100"/>
              <w:spacing w:after="0"/>
              <w:rPr>
                <w:sz w:val="20"/>
                <w:szCs w:val="20"/>
                <w:color w:val="auto"/>
              </w:rPr>
            </w:pPr>
            <w:r>
              <w:rPr>
                <w:rFonts w:ascii="Arial" w:cs="Arial" w:eastAsia="Arial" w:hAnsi="Arial"/>
                <w:sz w:val="14"/>
                <w:szCs w:val="14"/>
                <w:b w:val="1"/>
                <w:bCs w:val="1"/>
                <w:color w:val="auto"/>
              </w:rPr>
              <w:t>Prior Period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b w:val="1"/>
                <w:bCs w:val="1"/>
                <w:color w:val="auto"/>
              </w:rPr>
              <w:t>Prior Period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442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July 31, 2009</w:t>
            </w:r>
          </w:p>
        </w:tc>
        <w:tc>
          <w:tcPr>
            <w:tcW w:w="1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July 31, 2010</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July 31, 2009</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280.7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49.7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231.0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85.9</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472.8</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57.9</w:t>
            </w:r>
          </w:p>
        </w:tc>
        <w:tc>
          <w:tcPr>
            <w:tcW w:w="3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414.9</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106.7</w:t>
            </w:r>
          </w:p>
        </w:tc>
        <w:tc>
          <w:tcPr>
            <w:tcW w:w="660" w:type="dxa"/>
            <w:vAlign w:val="bottom"/>
            <w:gridSpan w:val="2"/>
            <w:vMerge w:val="continue"/>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840.7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Americas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31.8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17.1</w:t>
            </w: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57.9</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106.7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27.9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10.2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17.3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472.8</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57.9</w:t>
            </w:r>
          </w:p>
        </w:tc>
        <w:tc>
          <w:tcPr>
            <w:tcW w:w="3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414.9</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106.7</w:t>
            </w:r>
          </w:p>
        </w:tc>
        <w:tc>
          <w:tcPr>
            <w:tcW w:w="660" w:type="dxa"/>
            <w:vAlign w:val="bottom"/>
            <w:gridSpan w:val="2"/>
            <w:vMerge w:val="continue"/>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840.7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revenue from the sale of new seat licenses, upgrades and crossgrades. Other revenue consists of revenue from Creative Finishing (formerly known as Advanced Solutions), consulting and training services, and Autodesk Collaborative Solution hosting.</w:t>
      </w:r>
    </w:p>
    <w:p>
      <w:pPr>
        <w:spacing w:after="0" w:line="14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Total license and other revenue increased 22% during the three months ended July 31, 2010, as compared to the same period of the prior fiscal year. This increase was primarily due to the 46% increase in commercial new seat revenue during the three months ended July 31, 2010. During the three months ended July 31, 2010, 50 percentage points of the 46% increase were due to increases in the number of seats sold, partially offset by 4 percentage points due to lower average net revenue per seat. As a percentage of total net revenue, license and other revenue was 59% and 56% for the three months ended July 31, 2010 and 2009, respectively. Commercial new seat revenue, as a percentage of license and other revenue, was 74% and 63% for the three months ended July 31, 2010 and 2009, respectively.</w:t>
      </w:r>
    </w:p>
    <w:p>
      <w:pPr>
        <w:spacing w:after="0" w:line="14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Total license and other revenue increased 18% during the six months ended July 31, 2010, as compared to the same period of the prior fiscal year. This increase was primarily due to the 35% increase in commercial new seat revenue during the six months ended July 31, 2010. During the six months ended July 31, 2010, 39 percentage points of the 35% increase were due to increases in the number of seats sold, partially offset by 4 percentage points due to lower average net revenue per seat. As a percentage of total net revenue, license and other revenue was 59% and 56% for the six months ended July 31, 2010 and 2009, respectively. Commercial new seat revenue, as a percentage of license and other revenue, was 69% and 60% for the six months ended July 31, 2010 and 2009, respectively.</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increase in license and other revenue during the three months ended July 31, 2010, as compared to the same period of the prior fiscal year, was partially offset by the 31% decrease in upgrade revenue, which includes crossgrade revenue. Upgrade revenue remained approximately flat during the six months ended July 31, 2010 as compared to the same period of the prior fiscal year. During the first quarter of fiscal 2011, upgrade revenue included a one-time increase in upgrades in response to a promotion in advance of the March 2010 increase in upgrade pricing. Over the long term, we expect revenue from upgrades to decrease as we continue to move customers onto our maintenance program.</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net revenue for all periods presented.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technical support. We recognize maintenance revenue ratably over the maintenance contract periods.</w:t>
      </w:r>
    </w:p>
    <w:p>
      <w:pPr>
        <w:spacing w:after="0" w:line="9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Maintenance revenue increased 4% during the three months ended July 31, 2010, as compared to the same period of the prior fiscal year, primarily due to a 5% increase in commercial maintenance revenue. During the three months ended July 31, 2010, the 5% increase was due to higher net revenue per maintenance seat. As a percentage of total net revenue, maintenance revenue was 41% and 44% for the three months ended July 31, 2010 and 2009, respectively. Commercial maintenance revenue represented 98% of maintenance revenue during each of the three months ended July 31, 2010 and 2009.</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Maintenance revenue increased 6% during the six months ended July 31, 2010, as compared to the same period of the prior fiscal year, primarily due to a 6% increase in commercial maintenance revenue. During the six months ended July 31, 2010, 8 percentage points of the 6% increase were due to higher net revenue per maintenance seat, partially offset by a 2 percentage point decrease due to lower program enrollment during the corresponding maintenance contract term. As a percentage of total net revenue, maintenance revenue was 41% and 44% for the six months ended July 31, 2010 and 2009, respectively. Commercial maintenance revenue represented 98% of maintenance revenue during the six months ended July 31, 2010 and 2009. Total program enrollment at July 31, 2010 and January 31, 2010 consisted of about 2.6 million users and 2.2 million users, respectively.</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Changes in maintenance revenue lag changes in net billings for maintenance contracts because we recognize revenue from those contracts ratably over their contract terms, which are predominantly one year, but may be two or three year terms. Net maintenance billings increased 6% and 17% during the three and six months ended July 31, 2010, respectively, as compared to the same periods of the prior fiscal year. These increases were due to more new seats sold, an increase in the renewal rates and the impact from the upgrade pricing promotion mentioned above. The increase in net maintenance billings during the first half of fiscal 2011 will have a positive impact on future maintenance revenue, however year over year decreases in net maintenance billings during the second and third quarters of fiscal 2010, and the impact of other factors such as the amount, timing and mix of contract terms of future net maintenance billings, could cause downward pressure on future maintenance revenue.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Aggregate backlog at July 31, 2010 and January 31, 2010 was $547.5 million and $542.5 million, respectively, of which $526.1 million and $516.5 million, respectively, represented deferred revenue. Backlog related to current software license product orders that had not shipped at the end of the quarter decreased by $4.6 million during the first half of fiscal 2011 from $26.0 million at January 31, 2010 to $21.4 million at July 31, 2010. Deferred revenue consists primarily of deferred maintenance revenue. To a lesser extent, deferred revenue consists of deferred license and other revenue derived from collaborative project management services, consulting services and deferred license sales.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6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Net revenue in the Americas region increased by 6% during the three months ended July 31, 2010, as compared to the same period in the prior fiscal year. The increase in net revenue in the Americas was primarily due to the 33% increase in new seat revenue and the 6% increase in maintenance revenue. These increases were partially offset by the 16% decrease in upgrade revenue in the Americas during the three months ended July 31, 2010 as compared to the same period in the prior fiscal year. Net revenue in the Americas region increased by 2% during the six months ended July 31, 2010, as compared to the same period in the prior fiscal year primarily due to the 36% increase in new seat revenue and the 2% increase in maintenance revenue. These increases were partially offset by a 24% decrease in upgrade revenue in the Americas during the six months ended July 31, 2010 as compared to the same period in the prior fiscal year.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9" w:lineRule="auto"/>
        <w:rPr>
          <w:sz w:val="20"/>
          <w:szCs w:val="20"/>
          <w:color w:val="auto"/>
        </w:rPr>
      </w:pPr>
      <w:r>
        <w:rPr>
          <w:rFonts w:ascii="Arial" w:cs="Arial" w:eastAsia="Arial" w:hAnsi="Arial"/>
          <w:sz w:val="15"/>
          <w:szCs w:val="15"/>
          <w:color w:val="auto"/>
        </w:rPr>
        <w:t>Net revenue in the EMEA geography increased 20% during the three months ended July 31, 2010, as compared to the same period of the prior fiscal year, primarily due to a 55% increase in new seat revenue and a 4% increase in maintenance revenue. These increases were partially offset by the 56% decrease in revenue from upgrades. This increase was primarily due to revenue growth in most countries in the region, led by Germany, France, the United Kingdom, Belgium and Italy. Also contributing to the increase was the increase in revenue from emerging economy countries within the EMEA geography. During the six months ended July 31, 2010, net revenue in the EMEA geography increased 20% primarily due to a 36% increase in new seat revenue, a 10% increase in maintenance revenue and a 10% increase in revenue from upgrades as compared to the same period in the prior fiscal year. This increase was primarily due to revenue growth in most countries in the region, led by Germany, France, the United Kingdom, Belgium and Switzerland. Also contributing to the increase was the increase in revenue from emerging economy countries within the EMEA geography. On a constant currency basis, revenue in the EMEA geography would have increased 19% and 14% for the three and six months ended July 31, 2010, respectively, as compared to the same periods of the prior fiscal year.</w:t>
      </w:r>
    </w:p>
    <w:p>
      <w:pPr>
        <w:spacing w:after="0" w:line="8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Net revenue in the Asia Pacific (“APAC”) geography increased by 17% during the three months ended July 31, 2010, as compared to the same period of the prior fiscal year, primarily due to a 26% increase in new seat revenue. In addition, we had small increases in upgrade revenue and maintenance revenue during the three months ended July 31, 2010 as compared to the same period of the prior fiscal year. The increase in net revenue in the APAC geography during the three months ended July 31, 2010 occurred in almost all countries, led by South Korea and followed by Japan, Australia, India and Singapore, partially offset by a decrease in China. During the six months ended July 31, 2010, net revenue in the APAC geography increased by 19% as compared to the same period of the prior fiscal year, primarily due to a 26% increase in new seat revenue, a 51% increase in upgrade revenue, and a 4% increase in maintenance revenue. The increase in net revenue in the APAC geography during the six months ended July 31, 2010 occurred in virtually all countries, led by Japan and followed by South Korea, Australia, India and Singapore, partially offset by a decrease in China. On a constant currency basis, revenue in the APAC geography would have increased 14% during each of the three and six month periods ended July 31, 2010, as compared to the same periods in the prior fiscal year.</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revenue in emerging economies increased 13% during the three months ended July 31, 2010, as compared to the same period of the prior fiscal year, primarily due to revenue from Poland, India, Czech Republic and Brazil. Net revenue in emerging economies increased 14% during the six months ended July 31, 2010, as compared to the same period of the prior fiscal year, primarily due to revenue from Poland, India, the Russian Federation and Czech Republic. This growth was a significant factor in our international sales growth during the three and six months ended July 31, 2010. Revenue from emerging economies represented 15% of net revenue during each of the three and six months ended July 31, 2010 and 2009.</w:t>
      </w:r>
    </w:p>
    <w:p>
      <w:pPr>
        <w:spacing w:after="0" w:line="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international revenue will continue to comprise a majority of our total net revenue. The economic conditions in the countries that contribute a significant portion of our net revenue may have an adverse effect on our business in those countries and our overall financial performance. International net revenue represented 71% and 72% of our net revenue during the three and six months ended July 31, 2010, respectively, as compared to 69% during each of the same periods of the prior fiscal year. We remain cautious regarding our fiscal 2011 financial prospects primarily due to the continued negative business reports in a number of countries around the world.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5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revenue for PSEB increased 19% during the three months ended July 31, 2010, as compared to the same period of the prior fiscal year, primarily due to a 30% increase in revenue from our AutoCAD LT products and a 21% increase in revenue from our AutoCAD products. During the six months ended July 31, 2010, net revenue for PSEB increased 18% as compared to the same period of the prior fiscal year, primarily due to a 22% increase in revenue from our AutoCAD products and a 24% increase in revenue from our AutoCAD LT products.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Net revenue for AEC increased 8% during the three months ended July 31, 2010, as compared to the same period of the prior fiscal year, primarily due to a 20% increase in revenue from our Revit products and a 9% increase in revenue from our AutoCAD Civil 3D products. During the six months ended July 31, 2010, net revenue for AEC increased 7% as compared to the same period of the prior fiscal year, primarily due to a 16% increase in revenue from our Revit products and a 7% increase in revenue from our ACAD Architecture products.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revenue for MFG increased 18% during the three months ended July 31, 2010, as compared to the same period of the prior fiscal year, primarily due to a 16% increase in revenue from our Autodesk Inventor products and a 36% increase in revenue from our Autodesk Mechanical products. During the six months ended July 31, 2010, net revenue for MFG increased 17% as compared to the same period of the prior fiscal year, primarily due to a 19% increase in revenue from our Autodesk Inventor products and a 24% increase in revenue from our Autodesk Mechanical products.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revenue for M&amp;E increased 6% during the three months ended July 31, 2010, as compared to the same period of the prior fiscal year, primarily due to a 7% increase in revenue from our Animation product group and a 5% increase in revenue from Creative Finishing, formerly known as Advanced Systems. The increase in Animation revenue was primarily due to the new Autodesk Entertainment Creation Suite of products. During the six months ended July 31, 2010, net revenue for M&amp;E increased 1% as compared to the same period of the prior fiscal year primarily due to a 9% increase in revenue from our Animation product group. The increase in Animation revenue was primarily due to the new Autodesk Entertainment Creation Suite of products and a 3% increase in revenue from Autodesk 3ds Max. This increase was partially offset by a 12% decrease in revenue from Creative Finishing during the six months ended July 31, 2010 as compared to the same period of the prior fiscal year.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Increase</w:t>
            </w: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4"/>
              </w:rPr>
              <w:t>Increase (Decrease)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w w:val="99"/>
              </w:rPr>
              <w:t>Compared to</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Compared to</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Prior Period</w:t>
            </w:r>
          </w:p>
        </w:tc>
        <w:tc>
          <w:tcPr>
            <w:tcW w:w="16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Prior Period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280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2"/>
                <w:szCs w:val="12"/>
                <w:color w:val="auto"/>
              </w:rPr>
            </w:pPr>
          </w:p>
        </w:tc>
        <w:tc>
          <w:tcPr>
            <w:tcW w:w="114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1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July 31, 2009</w:t>
            </w:r>
          </w:p>
        </w:tc>
        <w:tc>
          <w:tcPr>
            <w:tcW w:w="1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31, 2010</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31, 2009</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40.5</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81.7</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48.4</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8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9"/>
                <w:szCs w:val="19"/>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99.7</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net revenue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Cost of license and other revenue includes labor costs of order fulfillment and costs of fulfilling consulting and training services contracts and Autodesk Collaborative Solution hosting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first quarter of fiscal 2011, Autodesk reclassified certain costs of revenue, which primarily included reclassifying certain shipping and fulfillment expenses from “Cost of license and other revenue” to “Cost of maintenance revenue”, due to a change in our cost allocation methodology. These expenses have been updated in the statement of operations, which included reclassifying $2.3 million and $7.7 million from cost of license to cost of maintenance revenue during the three and six months ended July 31, 2009, respectively. See Note 1, “Basis of Presentation,” in the Notes to Condensed Consolidated Financial Statements for further discussion.</w:t>
      </w:r>
    </w:p>
    <w:p>
      <w:pPr>
        <w:spacing w:after="0" w:line="14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Cost of license and other revenue decreased 10% and 8% during the three and six months ended July 31, 2010, respectively, as compared to the same periods of the prior fiscal year, primarily due to savings on shipping and handling costs caused by the switch to a lower cost vendor as well as an increase in electronic fulfillment.</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 of maintenance revenue includes labor costs of providing product support to our maintenance customers, including stock-based compensation expense for these employees, rent and occupancy, shipping and handling costs and professional services fees. Cost of maintenance revenue increased 49% and 33% during the three and six months ended July 31, 2010, respectively, as compared to the same periods of the prior fiscal year, due to an increase in maintenance support headcount. These increases were partially offset by savings on freight and materials costs as fewer maintenance customers require physical shipments than in the past due to electronic fulfillment.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Increase Compared</w:t>
            </w:r>
          </w:p>
        </w:tc>
        <w:tc>
          <w:tcPr>
            <w:tcW w:w="12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Three Months</w:t>
            </w:r>
          </w:p>
        </w:tc>
        <w:tc>
          <w:tcPr>
            <w:tcW w:w="14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Six Months</w:t>
            </w: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Increase Compared</w:t>
            </w:r>
          </w:p>
        </w:tc>
        <w:tc>
          <w:tcPr>
            <w:tcW w:w="12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to Prior Period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4"/>
                <w:szCs w:val="14"/>
                <w:color w:val="auto"/>
              </w:rPr>
            </w:pPr>
          </w:p>
        </w:tc>
        <w:tc>
          <w:tcPr>
            <w:tcW w:w="14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to Prior Period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Ended</w:t>
            </w:r>
          </w:p>
        </w:tc>
      </w:tr>
      <w:tr>
        <w:trPr>
          <w:trHeight w:val="142"/>
        </w:trPr>
        <w:tc>
          <w:tcPr>
            <w:tcW w:w="344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July 31, 2010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2009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2009</w:t>
            </w:r>
          </w:p>
        </w:tc>
        <w:tc>
          <w:tcPr>
            <w:tcW w:w="200" w:type="dxa"/>
            <w:vAlign w:val="bottom"/>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35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Marketing and sales expenses include salaries, bonuses, benefits and stock-based compensation expense for our marketing and sales employees and the expense of travel, entertainment and training for such personnel,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 Marketing and sales expenses increased 1% during each of the three and six months ended July 31, 2010 as compared to the same periods of the prior fiscal year, primarily due to higher employee-related costs, including commissions, bonuses and increased travel expenditures. These increases were partially offset by the decrease in salaries and benefits due to the decrease in marketing and sales headcount. We expect to balance our need to invest in the marketing and sales of our products with our need to reduce our operating expenses to align with our financial condition.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Increase Compared</w:t>
            </w:r>
          </w:p>
        </w:tc>
        <w:tc>
          <w:tcPr>
            <w:tcW w:w="12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Three Months</w:t>
            </w: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Six Months</w:t>
            </w:r>
          </w:p>
        </w:tc>
        <w:tc>
          <w:tcPr>
            <w:tcW w:w="1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Increase Compared</w:t>
            </w:r>
          </w:p>
        </w:tc>
        <w:tc>
          <w:tcPr>
            <w:tcW w:w="14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4"/>
                <w:szCs w:val="14"/>
                <w:color w:val="auto"/>
              </w:rPr>
            </w:pPr>
          </w:p>
        </w:tc>
        <w:tc>
          <w:tcPr>
            <w:tcW w:w="14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to Prior Period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4"/>
                <w:szCs w:val="14"/>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4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6"/>
              </w:rPr>
              <w:t>to Prior Period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Ended</w:t>
            </w:r>
          </w:p>
        </w:tc>
      </w:tr>
      <w:tr>
        <w:trPr>
          <w:trHeight w:val="142"/>
        </w:trPr>
        <w:tc>
          <w:tcPr>
            <w:tcW w:w="278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2"/>
                <w:szCs w:val="12"/>
                <w:color w:val="auto"/>
              </w:rPr>
            </w:pP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July 31, 2010</w:t>
            </w:r>
          </w:p>
        </w:tc>
        <w:tc>
          <w:tcPr>
            <w:tcW w:w="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2009</w:t>
            </w:r>
          </w:p>
        </w:tc>
        <w:tc>
          <w:tcPr>
            <w:tcW w:w="40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6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2009</w:t>
            </w:r>
          </w:p>
        </w:tc>
        <w:tc>
          <w:tcPr>
            <w:tcW w:w="200" w:type="dxa"/>
            <w:vAlign w:val="bottom"/>
          </w:tcPr>
          <w:p>
            <w:pPr>
              <w:spacing w:after="0"/>
              <w:rPr>
                <w:sz w:val="12"/>
                <w:szCs w:val="12"/>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231.4</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 Research and development expenses increased 9% and 7% during the three and six months ended July 31, 2010, respectively, as compared to the same periods of the prior fiscal year, primarily due to increases in employee-related costs, including bonuses, salaries and benefits, due to the increase in research and development headcount.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Three Months</w:t>
            </w:r>
          </w:p>
        </w:tc>
        <w:tc>
          <w:tcPr>
            <w:tcW w:w="12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(Decrease) Compared</w:t>
            </w:r>
          </w:p>
        </w:tc>
        <w:tc>
          <w:tcPr>
            <w:tcW w:w="10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Three Months</w:t>
            </w: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4"/>
                <w:szCs w:val="14"/>
                <w:color w:val="auto"/>
              </w:rPr>
            </w:pPr>
          </w:p>
        </w:tc>
        <w:tc>
          <w:tcPr>
            <w:tcW w:w="16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(Decrease) Compared</w:t>
            </w:r>
          </w:p>
        </w:tc>
        <w:tc>
          <w:tcPr>
            <w:tcW w:w="12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left="6"/>
              <w:spacing w:after="0"/>
              <w:rPr>
                <w:sz w:val="20"/>
                <w:szCs w:val="20"/>
                <w:color w:val="auto"/>
              </w:rPr>
            </w:pPr>
            <w:r>
              <w:rPr>
                <w:rFonts w:ascii="Arial" w:cs="Arial" w:eastAsia="Arial" w:hAnsi="Arial"/>
                <w:sz w:val="14"/>
                <w:szCs w:val="14"/>
                <w:b w:val="1"/>
                <w:bCs w:val="1"/>
                <w:color w:val="auto"/>
                <w:w w:val="92"/>
              </w:rPr>
              <w:t>to Prior Period</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to Prior Period</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Ended</w:t>
            </w:r>
          </w:p>
        </w:tc>
      </w:tr>
      <w:tr>
        <w:trPr>
          <w:trHeight w:val="142"/>
        </w:trPr>
        <w:tc>
          <w:tcPr>
            <w:tcW w:w="334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246"/>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24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2009</w:t>
            </w:r>
          </w:p>
        </w:tc>
        <w:tc>
          <w:tcPr>
            <w:tcW w:w="380" w:type="dxa"/>
            <w:vAlign w:val="bottom"/>
          </w:tcPr>
          <w:p>
            <w:pPr>
              <w:spacing w:after="0"/>
              <w:rPr>
                <w:sz w:val="12"/>
                <w:szCs w:val="12"/>
                <w:color w:val="auto"/>
              </w:rPr>
            </w:pPr>
          </w:p>
        </w:tc>
        <w:tc>
          <w:tcPr>
            <w:tcW w:w="100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July 31, 2010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July 31, 2009</w:t>
            </w:r>
          </w:p>
        </w:tc>
      </w:tr>
      <w:tr>
        <w:trPr>
          <w:trHeight w:val="20"/>
        </w:trPr>
        <w:tc>
          <w:tcPr>
            <w:tcW w:w="3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147"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General and administrative expenses include salaries, bonuses, benefits and stock-based compensation expense for our finance, human resources and legal employees, and the expense of travel, entertainment and training for such personnel, as well as professional fees for legal and accounting services, amortization of acquisition related customer relationships and trade names, expense of communication, and cost of supplies and equipment. General and administrative expenses decreased 7% and 2% during the three and six months ended July 31, 2010, respectively, as compared to the same periods of the prior fiscal year, primarily due to a decrease in benefits and salaries due to the decrease in general and administrative headcount.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7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(Decrease) Compared</w:t>
            </w: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Six Months</w:t>
            </w:r>
          </w:p>
        </w:tc>
        <w:tc>
          <w:tcPr>
            <w:tcW w:w="16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(Decrease) Compared</w:t>
            </w:r>
          </w:p>
        </w:tc>
        <w:tc>
          <w:tcPr>
            <w:tcW w:w="12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Ended</w:t>
            </w:r>
          </w:p>
        </w:tc>
        <w:tc>
          <w:tcPr>
            <w:tcW w:w="17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to Prior Period</w:t>
            </w:r>
          </w:p>
        </w:tc>
        <w:tc>
          <w:tcPr>
            <w:tcW w:w="16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Ended</w:t>
            </w:r>
          </w:p>
        </w:tc>
        <w:tc>
          <w:tcPr>
            <w:tcW w:w="16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to Prior Period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Ended</w:t>
            </w:r>
          </w:p>
        </w:tc>
      </w:tr>
      <w:tr>
        <w:trPr>
          <w:trHeight w:val="142"/>
        </w:trPr>
        <w:tc>
          <w:tcPr>
            <w:tcW w:w="330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3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July 31, 2009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3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2009</w:t>
            </w:r>
          </w:p>
        </w:tc>
        <w:tc>
          <w:tcPr>
            <w:tcW w:w="200" w:type="dxa"/>
            <w:vAlign w:val="bottom"/>
          </w:tcPr>
          <w:p>
            <w:pPr>
              <w:spacing w:after="0"/>
              <w:rPr>
                <w:sz w:val="12"/>
                <w:szCs w:val="12"/>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   (24.5)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   (33.9)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bl>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first quarter of fiscal 2011, we initiated a restructuring plan in order to reduce our operating costs. The restructuring plan is expected to result in a staff reduction of approximate 210 to 230 positions. In connection with this restructuring plan, Autodesk expects to record restructuring charges of approximately $10.0 million to $12.0 million during fiscal 2011. No leased facilities were consolidated as part of this restructuring (“Fiscal 2011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our restructuring plans, during the three and six months ended July 31, 2010 we reduced the number of employees by approximately 50 and 170 positions globally, respectively. We recorded restructuring charges of $1.9 million and $9.0 million during the three and six months ended July 31, 2010, respectively, which primarily related to one-time employee termination benefits. The remainder of the termination benefits will be substantially paid during the second half of fiscal 2011. If our revenue should decline or not grow as rapidly as planned, we may further reduce our operating expenses to align them with our financial condition, including the possibility of a further restructuring. In taking these actions, we may incur additional costs which could negatively impact our net income and cash flows from operating activities. See Note 13, “Restructuring Reserve,” in the Notes to Condensed Consolidated Financial Statements for further discussion.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Three Months</w:t>
            </w:r>
          </w:p>
        </w:tc>
        <w:tc>
          <w:tcPr>
            <w:tcW w:w="12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(Decrease) Compared</w:t>
            </w:r>
          </w:p>
        </w:tc>
        <w:tc>
          <w:tcPr>
            <w:tcW w:w="2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4"/>
                <w:szCs w:val="14"/>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(Decrease) Compared</w:t>
            </w:r>
          </w:p>
        </w:tc>
        <w:tc>
          <w:tcPr>
            <w:tcW w:w="12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2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left="6"/>
              <w:spacing w:after="0"/>
              <w:rPr>
                <w:sz w:val="20"/>
                <w:szCs w:val="20"/>
                <w:color w:val="auto"/>
              </w:rPr>
            </w:pPr>
            <w:r>
              <w:rPr>
                <w:rFonts w:ascii="Arial" w:cs="Arial" w:eastAsia="Arial" w:hAnsi="Arial"/>
                <w:sz w:val="14"/>
                <w:szCs w:val="14"/>
                <w:b w:val="1"/>
                <w:bCs w:val="1"/>
                <w:color w:val="auto"/>
                <w:w w:val="92"/>
              </w:rPr>
              <w:t>to Prior Period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to Prior Period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Ended</w:t>
            </w:r>
          </w:p>
        </w:tc>
      </w:tr>
      <w:tr>
        <w:trPr>
          <w:trHeight w:val="142"/>
        </w:trPr>
        <w:tc>
          <w:tcPr>
            <w:tcW w:w="280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2"/>
                <w:szCs w:val="12"/>
                <w:color w:val="auto"/>
              </w:rPr>
            </w:pP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8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2009</w:t>
            </w:r>
          </w:p>
        </w:tc>
        <w:tc>
          <w:tcPr>
            <w:tcW w:w="40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2009</w:t>
            </w:r>
          </w:p>
        </w:tc>
        <w:tc>
          <w:tcPr>
            <w:tcW w:w="200" w:type="dxa"/>
            <w:vAlign w:val="bottom"/>
          </w:tcPr>
          <w:p>
            <w:pPr>
              <w:spacing w:after="0"/>
              <w:rPr>
                <w:sz w:val="12"/>
                <w:szCs w:val="12"/>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We recorded an impairment charge of $21.0 million affecting the first quarter of fiscal 2010 representing the entire goodwill balance of the M&amp;E segment as of April 30, 2009. This goodwill balance related to the M&amp;E segment’s fourth quarter fiscal 2009 acquisition of substantially all of the assets of Softimage. In response to the significant and sustained revenue declines we were experiencing in all segments and geographies during the first quarter of fiscal 2010, in May 2009 we revised the revenue and cash flow projections we had prepared during the second half of the first quarter of fiscal 2010 and concluded that an impairment of goodwill had occurred as of April 30, 2009. The revenue and cash flow projections were substantially impacted for all segments, however, the M&amp;E segment was the only segment which had a then current fair value of its future discounted cash flows that fell below the carrying value of its assets. Should our revenue and cash flow projections decline significantly in the future, additional impairment charges may be recorded on goodwill. See Note 11, “Goodwill,” in the Notes to Condensed Consolidated Financial Statements and “Critical Accounting Policies and Estimates – </w:t>
      </w:r>
      <w:r>
        <w:rPr>
          <w:rFonts w:ascii="Arial" w:cs="Arial" w:eastAsia="Arial" w:hAnsi="Arial"/>
          <w:sz w:val="16"/>
          <w:szCs w:val="16"/>
          <w:i w:val="1"/>
          <w:iCs w:val="1"/>
          <w:color w:val="auto"/>
        </w:rPr>
        <w:t>Goodwill</w:t>
      </w:r>
      <w:r>
        <w:rPr>
          <w:rFonts w:ascii="Arial" w:cs="Arial" w:eastAsia="Arial" w:hAnsi="Arial"/>
          <w:sz w:val="16"/>
          <w:szCs w:val="16"/>
          <w:color w:val="auto"/>
        </w:rPr>
        <w:t>” above for further discussion. As of July 31, 2010, a hypothetical 10% decrease in the fair value of our PSEB, MFG, AEC or M&amp;E reporting units would not have an impact on the carrying value, nor result in impairment, of goodwill for the respective reporting units.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8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July 31,</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31,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Gain (loss) on foreign currency</w:t>
            </w:r>
          </w:p>
        </w:tc>
        <w:tc>
          <w:tcPr>
            <w:tcW w:w="10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(10.1)</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10.7</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Interest and investment income, net fluctuates based on average cash and marketable securities balances, average maturities and interest rates. The decrease in Interest and investment income, net, during the three and six months ended July 31, 2010, as compared to the same period in the prior fiscal year, is primarily due to losses on marketable securities. Also contributing to this decrease was the lower interest rate yields on investments during the three and six months ended July 31, 2010 as compared to the same periods of the prior fiscal year.</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gain (loss) on foreign currency includes the impact of re-measuring foreign currency transactions into the functional currency of the corresponding entity. The amount of the gain (loss) is driven by the volume of foreign currency transactions and the foreign currency exchange rates for the period.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effective tax rate was 25% and 24% during the three and six months ended July 31, 2010, respectively. Our effective tax rate was 22% during the three months ended July 31, 2009 and negative 256% during the six months ended July 31, 2009. Our effective tax rate increased 3% during the three months ended July 31, 2010 as compared to the same period in the prior fiscal year primarily due to comparatively less discrete tax benefits associated with stock options recorded during the three months ended July 31, 2010. Our effective tax rate during the six months ended July 31, 2010 differs from the effective tax rate during the same period of the prior fiscal year primarily due to a $20.9 million discrete non-cash tax charge as a result of a change in expected future tax rates and establishment of a valuation allowance against certain California deferred tax assets recorded during the first quarter of fiscal 2010 and partially offset by a discrete tax benefit of $7.7 million associated with the impairment of goodwill recorded during the first quarter of fiscal 2010. During the first quarter of fiscal 2010, the State of California enacted legislation significantly altering California tax law. As a result of the legislation, we expect that in fiscal years 2012 and beyond, income subject to tax in California will be less than under prior tax law and accordingly, deferred tax assets are less likely to be realized. Excluding the impact of discrete tax items, the effective tax rates for the three and six months ended July 31, 2010 were lower than the Federal statutory tax rate of 35% primarily due to foreign income taxed at lower rates partially offset by the impact of stock-based compensation expense.</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expense, accounting for uncertain tax positions, business combinations, the U.S. Manufacturer’s deduction, closure of statute of limitations or settlement of tax audits, changes in valuation allowances and changes in tax law.</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of July 31, 2010, we had $182.5 million of gross unrecognized tax benefits, excluding interest, of which approximately $169.8 million represents the amount of unrecognized tax benefits that would impact the effective tax rate, if recognized. The remaining $12.7 million relates to items that would result in balance sheet reclassification with no impact to income tax expense. It is possible that the amount of unrecognized tax benefits will change in the next twelve months; however an estimate of the range of the possible change cannot be made at this time.</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July 31, 2010, we had net deferred tax assets of $156.7 million. We believe that we will generate sufficient future taxable income in appropriate tax jurisdictions to realize these assets.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and six months ended July 31, 2010 and 2009, our gross profit, gross margin, income (loss) from operations, operating margin, net income (loss) and diluted earnings (loss) per share on a GAAP and non-GAAP basis were as follows (in millions except for gross margin, operating margin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0"/>
              </w:rPr>
              <w:t>Three Months Ended</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2"/>
              </w:rPr>
              <w:t>Six Months Ended</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31, 2010</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July 31, 2009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July 31, 2010</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July 31, 2009</w:t>
            </w:r>
          </w:p>
        </w:tc>
        <w:tc>
          <w:tcPr>
            <w:tcW w:w="20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(Unaudited)</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(Unaudited)</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424.4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364.8</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847.7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Non-GAAP gross profit</w:t>
            </w:r>
          </w:p>
        </w:tc>
        <w:tc>
          <w:tcPr>
            <w:tcW w:w="188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52"/>
              <w:spacing w:after="0"/>
              <w:rPr>
                <w:sz w:val="20"/>
                <w:szCs w:val="20"/>
                <w:color w:val="auto"/>
              </w:rPr>
            </w:pPr>
            <w:r>
              <w:rPr>
                <w:rFonts w:ascii="Arial" w:cs="Arial" w:eastAsia="Arial" w:hAnsi="Arial"/>
                <w:sz w:val="18"/>
                <w:szCs w:val="18"/>
                <w:color w:val="auto"/>
              </w:rPr>
              <w:t>432.8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373.8</w:t>
            </w:r>
          </w:p>
        </w:tc>
        <w:tc>
          <w:tcPr>
            <w:tcW w:w="4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52"/>
              <w:spacing w:after="0"/>
              <w:rPr>
                <w:sz w:val="20"/>
                <w:szCs w:val="20"/>
                <w:color w:val="auto"/>
              </w:rPr>
            </w:pPr>
            <w:r>
              <w:rPr>
                <w:rFonts w:ascii="Arial" w:cs="Arial" w:eastAsia="Arial" w:hAnsi="Arial"/>
                <w:sz w:val="18"/>
                <w:szCs w:val="18"/>
                <w:color w:val="auto"/>
              </w:rPr>
              <w:t>864.6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756.2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Non-GAAP gross margin</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12"/>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92"/>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79.8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130.6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Non-GAAP income from operations</w:t>
            </w:r>
          </w:p>
        </w:tc>
        <w:tc>
          <w:tcPr>
            <w:tcW w:w="188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52"/>
              <w:spacing w:after="0"/>
              <w:rPr>
                <w:sz w:val="20"/>
                <w:szCs w:val="20"/>
                <w:color w:val="auto"/>
              </w:rPr>
            </w:pPr>
            <w:r>
              <w:rPr>
                <w:rFonts w:ascii="Arial" w:cs="Arial" w:eastAsia="Arial" w:hAnsi="Arial"/>
                <w:sz w:val="18"/>
                <w:szCs w:val="18"/>
                <w:color w:val="auto"/>
              </w:rPr>
              <w:t>116.3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65.4</w:t>
            </w:r>
          </w:p>
        </w:tc>
        <w:tc>
          <w:tcPr>
            <w:tcW w:w="4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52"/>
              <w:spacing w:after="0"/>
              <w:rPr>
                <w:sz w:val="20"/>
                <w:szCs w:val="20"/>
                <w:color w:val="auto"/>
              </w:rPr>
            </w:pPr>
            <w:r>
              <w:rPr>
                <w:rFonts w:ascii="Arial" w:cs="Arial" w:eastAsia="Arial" w:hAnsi="Arial"/>
                <w:sz w:val="18"/>
                <w:szCs w:val="18"/>
                <w:color w:val="auto"/>
              </w:rPr>
              <w:t>212.4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121.2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12"/>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92"/>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59.9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96.8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Non-GAAP net income</w:t>
            </w:r>
          </w:p>
        </w:tc>
        <w:tc>
          <w:tcPr>
            <w:tcW w:w="188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52"/>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56.5</w:t>
            </w:r>
          </w:p>
        </w:tc>
        <w:tc>
          <w:tcPr>
            <w:tcW w:w="4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52"/>
              <w:spacing w:after="0"/>
              <w:rPr>
                <w:sz w:val="20"/>
                <w:szCs w:val="20"/>
                <w:color w:val="auto"/>
              </w:rPr>
            </w:pPr>
            <w:r>
              <w:rPr>
                <w:rFonts w:ascii="Arial" w:cs="Arial" w:eastAsia="Arial" w:hAnsi="Arial"/>
                <w:sz w:val="18"/>
                <w:szCs w:val="18"/>
                <w:color w:val="auto"/>
              </w:rPr>
              <w:t>152.7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98.4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8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0.25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0.41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88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52"/>
              <w:spacing w:after="0"/>
              <w:rPr>
                <w:sz w:val="20"/>
                <w:szCs w:val="20"/>
                <w:color w:val="auto"/>
              </w:rPr>
            </w:pPr>
            <w:r>
              <w:rPr>
                <w:rFonts w:ascii="Arial" w:cs="Arial" w:eastAsia="Arial" w:hAnsi="Arial"/>
                <w:sz w:val="18"/>
                <w:szCs w:val="18"/>
                <w:color w:val="auto"/>
              </w:rPr>
              <w:t>0.36</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420" w:type="dxa"/>
            <w:vAlign w:val="bottom"/>
          </w:tcPr>
          <w:p>
            <w:pPr>
              <w:spacing w:after="0"/>
              <w:rPr>
                <w:sz w:val="19"/>
                <w:szCs w:val="19"/>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52"/>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r>
    </w:tbl>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our internal budgeting and resource allocation process,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these measures for purposes of determining company-wide incentive compensation.</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80"/>
        <w:spacing w:after="0" w:line="445" w:lineRule="auto"/>
        <w:rPr>
          <w:sz w:val="20"/>
          <w:szCs w:val="20"/>
          <w:color w:val="auto"/>
        </w:rPr>
      </w:pPr>
      <w:r>
        <w:rPr>
          <w:rFonts w:ascii="Arial" w:cs="Arial" w:eastAsia="Arial" w:hAnsi="Arial"/>
          <w:sz w:val="16"/>
          <w:szCs w:val="16"/>
          <w:b w:val="1"/>
          <w:bCs w:val="1"/>
          <w:color w:val="auto"/>
        </w:rPr>
        <w:t xml:space="preserve">Reconciliation of GAAP Financial Measures to Non-GAAP Financial Measures </w:t>
      </w:r>
      <w:r>
        <w:rPr>
          <w:rFonts w:ascii="Arial" w:cs="Arial" w:eastAsia="Arial" w:hAnsi="Arial"/>
          <w:sz w:val="16"/>
          <w:szCs w:val="16"/>
          <w:color w:val="auto"/>
        </w:rPr>
        <w:t>(in millions except for gross margin, operating margin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July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July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2010</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74"/>
              </w:rPr>
              <w:t>(Unaudited)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4"/>
              </w:rPr>
              <w:t>(Unaudited)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364.8</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w w:val="84"/>
              </w:rPr>
              <w:t>847.7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15"/>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432.8</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373.8</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15"/>
              <w:spacing w:after="0"/>
              <w:rPr>
                <w:sz w:val="20"/>
                <w:szCs w:val="20"/>
                <w:color w:val="auto"/>
              </w:rPr>
            </w:pPr>
            <w:r>
              <w:rPr>
                <w:rFonts w:ascii="Arial" w:cs="Arial" w:eastAsia="Arial" w:hAnsi="Arial"/>
                <w:sz w:val="18"/>
                <w:szCs w:val="18"/>
                <w:color w:val="auto"/>
                <w:w w:val="84"/>
              </w:rPr>
              <w:t>864.6</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756.2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900" w:type="dxa"/>
            <w:vAlign w:val="bottom"/>
            <w:gridSpan w:val="2"/>
          </w:tcPr>
          <w:p>
            <w:pPr>
              <w:jc w:val="right"/>
              <w:ind w:right="295"/>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5"/>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color w:val="auto"/>
              </w:rPr>
              <w:t>Non-GAAP gross margin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95"/>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75"/>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w w:val="84"/>
              </w:rPr>
              <w:t>130.6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15"/>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900" w:type="dxa"/>
            <w:vAlign w:val="bottom"/>
            <w:gridSpan w:val="2"/>
          </w:tcPr>
          <w:p>
            <w:pPr>
              <w:jc w:val="right"/>
              <w:ind w:right="5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3"/>
          </w:tcPr>
          <w:p>
            <w:pPr>
              <w:spacing w:after="0"/>
              <w:rPr>
                <w:sz w:val="20"/>
                <w:szCs w:val="20"/>
                <w:color w:val="auto"/>
              </w:rPr>
            </w:pPr>
            <w:r>
              <w:rPr>
                <w:rFonts w:ascii="Arial" w:cs="Arial" w:eastAsia="Arial" w:hAnsi="Arial"/>
                <w:sz w:val="18"/>
                <w:szCs w:val="18"/>
                <w:color w:val="auto"/>
              </w:rPr>
              <w:t>Non-GAAP income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116.3</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65.4</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15"/>
              <w:spacing w:after="0"/>
              <w:rPr>
                <w:sz w:val="20"/>
                <w:szCs w:val="20"/>
                <w:color w:val="auto"/>
              </w:rPr>
            </w:pPr>
            <w:r>
              <w:rPr>
                <w:rFonts w:ascii="Arial" w:cs="Arial" w:eastAsia="Arial" w:hAnsi="Arial"/>
                <w:sz w:val="18"/>
                <w:szCs w:val="18"/>
                <w:color w:val="auto"/>
                <w:w w:val="84"/>
              </w:rPr>
              <w:t>212.4</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900" w:type="dxa"/>
            <w:vAlign w:val="bottom"/>
            <w:gridSpan w:val="2"/>
          </w:tcPr>
          <w:p>
            <w:pPr>
              <w:jc w:val="right"/>
              <w:ind w:right="29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5"/>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900" w:type="dxa"/>
            <w:vAlign w:val="bottom"/>
            <w:gridSpan w:val="2"/>
          </w:tcPr>
          <w:p>
            <w:pPr>
              <w:jc w:val="right"/>
              <w:ind w:right="295"/>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5"/>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color w:val="auto"/>
              </w:rPr>
              <w:t>Non-GAAP operating margin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9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75"/>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96.8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15"/>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900" w:type="dxa"/>
            <w:vAlign w:val="bottom"/>
            <w:gridSpan w:val="2"/>
          </w:tcPr>
          <w:p>
            <w:pPr>
              <w:jc w:val="right"/>
              <w:ind w:right="5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Establishment of valuation allowance on deferred tax assets</w:t>
            </w:r>
          </w:p>
        </w:tc>
        <w:tc>
          <w:tcPr>
            <w:tcW w:w="100" w:type="dxa"/>
            <w:vAlign w:val="bottom"/>
          </w:tcPr>
          <w:p>
            <w:pPr>
              <w:spacing w:after="0"/>
              <w:rPr>
                <w:sz w:val="18"/>
                <w:szCs w:val="18"/>
                <w:color w:val="auto"/>
              </w:rPr>
            </w:pPr>
          </w:p>
        </w:tc>
        <w:tc>
          <w:tcPr>
            <w:tcW w:w="900" w:type="dxa"/>
            <w:vAlign w:val="bottom"/>
            <w:gridSpan w:val="2"/>
          </w:tcPr>
          <w:p>
            <w:pPr>
              <w:jc w:val="right"/>
              <w:ind w:right="5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Discrete tax provision items (1)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5"/>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100" w:type="dxa"/>
            <w:vAlign w:val="bottom"/>
          </w:tcPr>
          <w:p>
            <w:pPr>
              <w:spacing w:after="0"/>
              <w:rPr>
                <w:sz w:val="18"/>
                <w:szCs w:val="18"/>
                <w:color w:val="auto"/>
              </w:rPr>
            </w:pPr>
          </w:p>
        </w:tc>
        <w:tc>
          <w:tcPr>
            <w:tcW w:w="900" w:type="dxa"/>
            <w:vAlign w:val="bottom"/>
            <w:gridSpan w:val="2"/>
          </w:tcPr>
          <w:p>
            <w:pPr>
              <w:jc w:val="right"/>
              <w:ind w:right="375"/>
              <w:spacing w:after="0"/>
              <w:rPr>
                <w:sz w:val="20"/>
                <w:szCs w:val="20"/>
                <w:color w:val="auto"/>
              </w:rPr>
            </w:pPr>
            <w:r>
              <w:rPr>
                <w:rFonts w:ascii="Arial" w:cs="Arial" w:eastAsia="Arial" w:hAnsi="Arial"/>
                <w:sz w:val="18"/>
                <w:szCs w:val="18"/>
                <w:color w:val="auto"/>
                <w:w w:val="93"/>
              </w:rPr>
              <w:t>(11.6)</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55"/>
              <w:spacing w:after="0"/>
              <w:rPr>
                <w:sz w:val="20"/>
                <w:szCs w:val="20"/>
                <w:color w:val="auto"/>
              </w:rPr>
            </w:pPr>
            <w:r>
              <w:rPr>
                <w:rFonts w:ascii="Arial" w:cs="Arial" w:eastAsia="Arial" w:hAnsi="Arial"/>
                <w:sz w:val="18"/>
                <w:szCs w:val="18"/>
                <w:color w:val="auto"/>
                <w:w w:val="93"/>
              </w:rPr>
              <w:t>(24.3)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w w:val="84"/>
              </w:rPr>
              <w:t>152.7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15"/>
              <w:spacing w:after="0"/>
              <w:rPr>
                <w:sz w:val="20"/>
                <w:szCs w:val="20"/>
                <w:color w:val="auto"/>
              </w:rPr>
            </w:pPr>
            <w:r>
              <w:rPr>
                <w:rFonts w:ascii="Arial" w:cs="Arial" w:eastAsia="Arial" w:hAnsi="Arial"/>
                <w:sz w:val="18"/>
                <w:szCs w:val="18"/>
                <w:color w:val="auto"/>
              </w:rPr>
              <w:t>0.41</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(0.09)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15"/>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15"/>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Establishment of valuation allowance on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Discrete tax provision items (1)</w:t>
            </w:r>
          </w:p>
        </w:tc>
        <w:tc>
          <w:tcPr>
            <w:tcW w:w="100" w:type="dxa"/>
            <w:vAlign w:val="bottom"/>
          </w:tcPr>
          <w:p>
            <w:pPr>
              <w:spacing w:after="0"/>
              <w:rPr>
                <w:sz w:val="18"/>
                <w:szCs w:val="18"/>
                <w:color w:val="auto"/>
              </w:rPr>
            </w:pPr>
          </w:p>
        </w:tc>
        <w:tc>
          <w:tcPr>
            <w:tcW w:w="900" w:type="dxa"/>
            <w:vAlign w:val="bottom"/>
            <w:gridSpan w:val="2"/>
          </w:tcPr>
          <w:p>
            <w:pPr>
              <w:jc w:val="right"/>
              <w:ind w:right="5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55"/>
              <w:spacing w:after="0"/>
              <w:rPr>
                <w:sz w:val="20"/>
                <w:szCs w:val="20"/>
                <w:color w:val="auto"/>
              </w:rPr>
            </w:pPr>
            <w:r>
              <w:rPr>
                <w:rFonts w:ascii="Arial" w:cs="Arial" w:eastAsia="Arial" w:hAnsi="Arial"/>
                <w:sz w:val="18"/>
                <w:szCs w:val="18"/>
                <w:color w:val="auto"/>
                <w:w w:val="93"/>
              </w:rPr>
              <w:t>(0.01)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w w:val="93"/>
              </w:rPr>
              <w:t>(0.05)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5"/>
              <w:spacing w:after="0"/>
              <w:rPr>
                <w:sz w:val="20"/>
                <w:szCs w:val="20"/>
                <w:color w:val="auto"/>
              </w:rPr>
            </w:pPr>
            <w:r>
              <w:rPr>
                <w:rFonts w:ascii="Arial" w:cs="Arial" w:eastAsia="Arial" w:hAnsi="Arial"/>
                <w:sz w:val="18"/>
                <w:szCs w:val="18"/>
                <w:color w:val="auto"/>
                <w:w w:val="93"/>
              </w:rPr>
              <w:t>(0.10)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(0.17)</w:t>
            </w: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color w:val="auto"/>
              </w:rPr>
              <w:t>Non-GAAP diluted net income per share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0.36</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0.24</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15"/>
              <w:spacing w:after="0"/>
              <w:rPr>
                <w:sz w:val="20"/>
                <w:szCs w:val="20"/>
                <w:color w:val="auto"/>
              </w:rPr>
            </w:pPr>
            <w:r>
              <w:rPr>
                <w:rFonts w:ascii="Arial" w:cs="Arial" w:eastAsia="Arial" w:hAnsi="Arial"/>
                <w:sz w:val="18"/>
                <w:szCs w:val="18"/>
                <w:color w:val="auto"/>
              </w:rPr>
              <w:t>0.65</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diluted net income (loss) per share calculation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w w:val="84"/>
              </w:rPr>
              <w:t>234.5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228.0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w w:val="94"/>
              </w:rPr>
              <w:t>Shares included in non-GAAP net income per share, but excluded from GAAP net loss per share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00" w:type="dxa"/>
            <w:vAlign w:val="bottom"/>
            <w:gridSpan w:val="2"/>
          </w:tcPr>
          <w:p>
            <w:pPr>
              <w:ind w:left="640"/>
              <w:spacing w:after="0"/>
              <w:rPr>
                <w:sz w:val="20"/>
                <w:szCs w:val="20"/>
                <w:color w:val="auto"/>
              </w:rPr>
            </w:pPr>
            <w:r>
              <w:rPr>
                <w:rFonts w:ascii="Arial" w:cs="Arial" w:eastAsia="Arial" w:hAnsi="Arial"/>
                <w:sz w:val="18"/>
                <w:szCs w:val="18"/>
                <w:color w:val="auto"/>
              </w:rPr>
              <w:t>as they would have been anti-dilutive</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non-GAAP diluted net income per share calculation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w w:val="84"/>
              </w:rPr>
              <w:t>234.5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86"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Effective in the second quarter of fiscal 2011, Autodesk began excluding certain GAAP discrete tax provision items for purposes of its non-GAAP financial measures. Prior period non-GAAP income tax expense amounts have been revised to conform to the current period presentation.</w:t>
      </w:r>
    </w:p>
    <w:p>
      <w:pPr>
        <w:ind w:left="460" w:right="120" w:hanging="452"/>
        <w:spacing w:after="0" w:line="323"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Effective in the first quarter of fiscal 2011, Autodesk began using GAAP diluted shares for purposes of calculating non-GAAP net income per share. Prior periods’ shares and diluted non-GAAP net income per share were revised to conform to current period presentation.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non-GAAP financial measures as set forth in the table above exclude the following:</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primarily in connection with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businesses and technologies. The amortization of purchased intangibles varies depending on the level of acquisition activity, and management finds it useful to exclude these variable charges to assess the appropriate level of various operating expenses to assist in budgeting, planning and forecasting future periods.</w:t>
      </w:r>
    </w:p>
    <w:p>
      <w:pPr>
        <w:spacing w:after="0" w:line="143"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i w:val="1"/>
          <w:iCs w:val="1"/>
          <w:color w:val="auto"/>
        </w:rPr>
        <w:t>Goodwill impairment</w:t>
      </w:r>
      <w:r>
        <w:rPr>
          <w:rFonts w:ascii="Arial" w:cs="Arial" w:eastAsia="Arial" w:hAnsi="Arial"/>
          <w:sz w:val="18"/>
          <w:szCs w:val="18"/>
          <w:color w:val="auto"/>
        </w:rPr>
        <w:t>. 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4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i w:val="1"/>
          <w:iCs w:val="1"/>
          <w:color w:val="auto"/>
        </w:rPr>
        <w:t>Restructuring charges</w:t>
      </w:r>
      <w:r>
        <w:rPr>
          <w:rFonts w:ascii="Arial" w:cs="Arial" w:eastAsia="Arial" w:hAnsi="Arial"/>
          <w:sz w:val="15"/>
          <w:szCs w:val="15"/>
          <w:color w:val="auto"/>
        </w:rPr>
        <w:t>. These expenses are associated with realigning our business strategies based on current economic conditions. In connection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these restructuring actions, we recognize costs related to termination benefits for former employees whose positions were eliminated, and the closure of facilities and cancelation of certain contracts. We exclude these charges because these expenses are not reflective of ongoing operating results in the current period.</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Establishment of a valuation allowance on certain net deferred tax assets</w:t>
      </w:r>
      <w:r>
        <w:rPr>
          <w:rFonts w:ascii="Arial" w:cs="Arial" w:eastAsia="Arial" w:hAnsi="Arial"/>
          <w:sz w:val="18"/>
          <w:szCs w:val="18"/>
          <w:color w:val="auto"/>
        </w:rPr>
        <w:t>. This is a non-cash charge to record a valuation allowance on certain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As explained above, management finds it useful to exclude certain non-cash charges to assess the appropriate level of various expenses to assist in budgeting, planning and forecasting future periods.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Discrete tax items</w:t>
      </w:r>
      <w:r>
        <w:rPr>
          <w:rFonts w:ascii="Arial" w:cs="Arial" w:eastAsia="Arial" w:hAnsi="Arial"/>
          <w:sz w:val="18"/>
          <w:szCs w:val="18"/>
          <w:color w:val="auto"/>
        </w:rPr>
        <w:t>. We exclude the GAAP tax provision, including discrete items, from the non-GAAP measure of income, and include a non-GAAP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based upon the projected annual non-GAAP effective tax rate. Management believes this approach assists investors in understanding the tax provision and the effective tax rate related to ongoing operations.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Income tax effects on the difference between GAAP and non-GAAP costs and expenses</w:t>
      </w:r>
      <w:r>
        <w:rPr>
          <w:rFonts w:ascii="Arial" w:cs="Arial" w:eastAsia="Arial" w:hAnsi="Arial"/>
          <w:sz w:val="16"/>
          <w:szCs w:val="16"/>
          <w:color w:val="auto"/>
        </w:rPr>
        <w:t>. 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costs and expenses, primarily due to differences in the timing of when income tax benefits are recognized for stock compensation and purchased intangibles for GAAP and non-GAAP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July 31, 2010, our principal sources of liquidity were cash, cash equivalents and marketable securities totaling $1,270.7 million and net accounts receivable of $231.0 million. In addition, we have a line of credit facility that permits unsecured short-term borrowings of up to $250.0 million. This line of credit agreement contains customary covenants that could restrict the imposition of liens on our assets and restrict our ability to incur additional indebtedness or make dispositions of assets if we fail to maintain the financial covenants. This credit facility is available for working capital and other business needs. At July 31, 2010, we had no borrowings outstanding on our line of credit, which expires in August 2012. During the quarter ended July 31, 2010, we terminated our $5.0 million China line of credit because it was no longer needed.</w:t>
      </w:r>
    </w:p>
    <w:p>
      <w:pPr>
        <w:spacing w:after="0" w:line="14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Citibank and its global affiliates (“Citibank”). In addition, Citicorp USA, Inc., an affiliate of Citibank, is the lead lender and agent in the syndicate of our $250.0 million U.S. line of credit.</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increase in our cash, cash equivalents and marketable securities from $1,126.2 million at January 31, 2010 to $1,270.7 million at July 31, 2010 is principally the result of cash generated from operations and the proceeds from the issuance of common stock following stock option exercises. These increases to cash, cash equivalents and marketable securities were partially offset by cash used for repurchases of our common stock and capital expenditures and cash used for business combinations and other investing activities. Cash generated from operations was positively impacted by higher net revenue.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primary source for net cash provided by operating activities of $250.6 million for the six months ended July 31, 2010 was net income of $96.8 million increased by the effect of non-cash expenses totaling $107.3 million primarily associated with depreciation and amortization and stock-based compensation. In addition, net cash flow provided by changes in operating assets and liabilities was $46.5 million.</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primary working capital sources of cash were a decrease in accounts receivable, an increase in deferred revenue and an increase in accounts payable. Our days sales outstanding in trade receivables was 44 days at July 31, 2010 compared to 55 days at January 31, 2010. The decrease in days sales outstanding was primarily due to the seasonality of our maintenance billings, as the fourth quarter has the most significant maintenance billings of our fiscal year. We typically experience a reduction in days sales outstanding between the fourth quarter and subsequent quarters. The increase in deferred revenue was primarily due to the year over year increase in net maintenance billings. The increase in accounts payable was due to an extension of payment terms with our largest vendors for purposes of improving our cash conversion cycle. The primary working capital uses of cash were for payment of accrued expenses primarily related to our fiscal 2010 employee bonus accrual and fourth quarter fiscal 2010 commissions and payments under our restructuring plans. We expect net cash flows provided by operating activities to be higher in the third quarter of fiscal 2011 than in the same period of the prior fiscal year.</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At July 31, 2010, our short-term investment portfolio had an estimated fair value of $236.6 million and a cost basis of $237.8 million. The portfolio fair value consisted of $84.3 million invested in commercial paper and corporate securities, $45.5 million invested in U.S. government agency securities, $29.5 million invested in certificates of deposit and time deposits with original maturities greater than 90 days and less than one year, $28.7 million invested in mutual funds, $25.0 million invested in U.S. treasury securities, $10.0 million invested in money market funds, $9.0 million invested in sovereign debt, $4.3 million invested in municipal securities, and $0.3 million invested in other short-term securities.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At July 31, 2010, we had an investment in The Reserve International Liquidity Fund (the “International Fund”), a money market fund with an estimated fair value of $10.0 million. During the third quarter of fiscal 2009, the International Fund ceased redemptions after net asset values of the funds decreased below $1 per share. We expect to recover substantially all of our current holdings, net of reserves, from the International Fund within the next 12 months. Accordingly, the International Fund is classified in current “Marketable securities” in the Condensed Consolidated Balance Sheets.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July 31, 2010, we owned two auction rate securities with an estimated fair value of $7.6 million. The securities, which met our investment guidelines at the time the investments were made, have failed to settle in auctions since August 2007 and have earned a premium interest rate since that time. While we expect to recover substantially all of our current holdings, net of reserves, in the auction rate securities, we cannot predict when this will occur or the amount we will receive. Due to the lack of liquidity of these investments, they are included in non-current “Marketable securities” in the Condensed Consolidated Balance Sheets. See Note 4, “Financial Instruments and Hedging Activities,” in the Notes to Condensed Consolidated Financial Statements for further discussion of our financial instruments.</w:t>
      </w:r>
    </w:p>
    <w:p>
      <w:pPr>
        <w:spacing w:after="0" w:line="144"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At July 31, 2010, $28.7 million of trading securities were invested in a defined set of mutual funds as directed by the participants in our Deferred Compensation Plan (see Note 8, “Deferred Compensation,” in the Notes to Condensed Consolidated Financial Statements for further discussion).</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stock repurchases; the acquisition of businesses, software products, or technologies complementary to our business; capital expenditures, including the purchase and implementation of internal-use software applications; and funding restructuring costs.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July 31, 2010,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2010.</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cash, cash equivalent and marketable securities balances are concentrated in a few locations around the world, with a substantial amount held outside of the U.S. We believe that such dispersion is appropriate and meets our business and liquidity needs. A portion of this cash, cash equivalents and marketable securities could be subject to certain taxes, including U.S. income taxes, in the event we believe repatriation to the U.S. is appropriate.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existing cash, cash equivalents and investment balances may decline during the remainder of fiscal 2011 in the event of a weakening of the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worldwide balances, our anticipated cash flows from operations and our available credit facility is sufficient to meet our worldwide working capital and operating resource expenditure requirements for at least the next 12 months.</w:t>
      </w:r>
    </w:p>
    <w:p>
      <w:pPr>
        <w:spacing w:after="0" w:line="143"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revenue, earnings and cash flows are subject to fluctuations due to changes in foreign currency exchange rates. Our risk management strategy utilizes derivative instruments to hedge a portion of our foreign currency transaction exposures that exist as part of our ongoing business operations. As of July 31, 2010, we have open contracts to hedge expected cash flows for 1 to 12 months in the future. Contracts are primarily denominated in euros, Japanese yen, Swiss francs, British pounds and Canadian dollars. We do not enter into any derivative instruments for trading or speculative purposes. The notional amount of our option and forward contracts was $266.3 million and $239.1 million at July 31, 2010 and January 31,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In December 2007, our Board of Directors approved a plan which authorized the repurchase of up to 20.0 million shares. The purpose of the stock repurchase program is to help offset the dilution to net income per share caused by the issuance of stock under our employee stock plans and has the effect of returning excess cash generated from our business to stockholders. The number of shares acquired and the timing of the purchases are based on several factors, including general market conditions, the volume of employee stock option exercises and the issuance of shares through our ESP Plan, the pool of existing outstanding options and the grant of new options, the trading price of our common stock, cash on hand and available in the U.S., and company defined trading windows. During the three months ended July 31, 2010, we repurchased 2.5 million shares of our common stock. At July 31, 2010, 9.0 million shares remained available for repurchase under the existing repurchase authorization. See Note 15, “Common Stock Repurchase Program,” in the Notes to Condensed Consolidated Financial Statements for further discussion.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the repurchase of our common stock in open-market transactions during the quarter ended July 31, 2010: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Total Number of</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Shares</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5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 May</w:t>
            </w:r>
          </w:p>
        </w:tc>
      </w:tr>
      <w:tr>
        <w:trPr>
          <w:trHeight w:val="149"/>
        </w:trPr>
        <w:tc>
          <w:tcPr>
            <w:tcW w:w="5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Yet Be</w:t>
            </w:r>
          </w:p>
        </w:tc>
      </w:tr>
      <w:tr>
        <w:trPr>
          <w:trHeight w:val="149"/>
        </w:trPr>
        <w:tc>
          <w:tcPr>
            <w:tcW w:w="57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Announced</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49"/>
        </w:trPr>
        <w:tc>
          <w:tcPr>
            <w:tcW w:w="57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Plans or</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the Plans or</w:t>
            </w:r>
          </w:p>
        </w:tc>
      </w:tr>
      <w:tr>
        <w:trPr>
          <w:trHeight w:val="161"/>
        </w:trPr>
        <w:tc>
          <w:tcPr>
            <w:tcW w:w="572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6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Paid per Share</w:t>
            </w:r>
          </w:p>
        </w:tc>
        <w:tc>
          <w:tcPr>
            <w:tcW w:w="6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Programs (1)</w:t>
            </w:r>
          </w:p>
        </w:tc>
        <w:tc>
          <w:tcPr>
            <w:tcW w:w="6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Programs (2)</w:t>
            </w:r>
          </w:p>
        </w:tc>
        <w:tc>
          <w:tcPr>
            <w:tcW w:w="20" w:type="dxa"/>
            <w:vAlign w:val="bottom"/>
          </w:tcPr>
          <w:p>
            <w:pPr>
              <w:spacing w:after="0"/>
              <w:rPr>
                <w:sz w:val="14"/>
                <w:szCs w:val="14"/>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May 1 - May 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9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28.91</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10,957</w:t>
            </w:r>
          </w:p>
        </w:tc>
        <w:tc>
          <w:tcPr>
            <w:tcW w:w="2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June 1 - June 30</w:t>
            </w:r>
          </w:p>
        </w:tc>
        <w:tc>
          <w:tcPr>
            <w:tcW w:w="960" w:type="dxa"/>
            <w:vAlign w:val="bottom"/>
          </w:tcPr>
          <w:p>
            <w:pPr>
              <w:jc w:val="right"/>
              <w:spacing w:after="0"/>
              <w:rPr>
                <w:sz w:val="20"/>
                <w:szCs w:val="20"/>
                <w:color w:val="auto"/>
              </w:rPr>
            </w:pPr>
            <w:r>
              <w:rPr>
                <w:rFonts w:ascii="Arial" w:cs="Arial" w:eastAsia="Arial" w:hAnsi="Arial"/>
                <w:sz w:val="18"/>
                <w:szCs w:val="18"/>
                <w:color w:val="auto"/>
              </w:rPr>
              <w:t>2,002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27.96</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2,002</w:t>
            </w:r>
          </w:p>
        </w:tc>
        <w:tc>
          <w:tcPr>
            <w:tcW w:w="1020" w:type="dxa"/>
            <w:vAlign w:val="bottom"/>
          </w:tcPr>
          <w:p>
            <w:pPr>
              <w:jc w:val="right"/>
              <w:spacing w:after="0"/>
              <w:rPr>
                <w:sz w:val="20"/>
                <w:szCs w:val="20"/>
                <w:color w:val="auto"/>
              </w:rPr>
            </w:pPr>
            <w:r>
              <w:rPr>
                <w:rFonts w:ascii="Arial" w:cs="Arial" w:eastAsia="Arial" w:hAnsi="Arial"/>
                <w:sz w:val="18"/>
                <w:szCs w:val="18"/>
                <w:color w:val="auto"/>
              </w:rPr>
              <w:t>8,955</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20" w:type="dxa"/>
            <w:vAlign w:val="bottom"/>
          </w:tcPr>
          <w:p>
            <w:pPr>
              <w:spacing w:after="0"/>
              <w:rPr>
                <w:sz w:val="18"/>
                <w:szCs w:val="18"/>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2,502</w:t>
            </w:r>
          </w:p>
        </w:tc>
        <w:tc>
          <w:tcPr>
            <w:tcW w:w="9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28.15</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2,502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8,955</w:t>
            </w:r>
          </w:p>
        </w:tc>
      </w:tr>
      <w:tr>
        <w:trPr>
          <w:trHeight w:val="20"/>
        </w:trPr>
        <w:tc>
          <w:tcPr>
            <w:tcW w:w="5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Represents shares purchased in open-market transactions under the stock repurchase plan approved by the Board of Directors.</w:t>
      </w:r>
    </w:p>
    <w:p>
      <w:pPr>
        <w:spacing w:after="0" w:line="7" w:lineRule="exact"/>
        <w:rPr>
          <w:rFonts w:ascii="Arial" w:cs="Arial" w:eastAsia="Arial" w:hAnsi="Arial"/>
          <w:sz w:val="22"/>
          <w:szCs w:val="22"/>
          <w:color w:val="auto"/>
          <w:vertAlign w:val="superscript"/>
        </w:rPr>
      </w:pPr>
    </w:p>
    <w:p>
      <w:pPr>
        <w:ind w:left="460" w:right="80" w:hanging="452"/>
        <w:spacing w:after="0" w:line="221" w:lineRule="auto"/>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These amounts correspond to a plan approved by the Board of Directors in December 2007 that authorized the repurchase of 20.0 million shares. This plan does not have a fixed expiration date.</w:t>
      </w:r>
    </w:p>
    <w:p>
      <w:pPr>
        <w:spacing w:after="0" w:line="156"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There were no sales of unregistered securities during the three months ended July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July 31, 2010, we did not have any off-balance sheet arrangements as defined in Item 303(a)(4)(ii) of SEC Regulation 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Exchange Risk</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revenue, earnings and cash flows are subject to fluctuations due to changes in foreign currency exchange rates. Our risk management strategy utilizes foreign currency contracts to manage our foreign currency exposures that exist as part of our ongoing business operations. As of July 31, 2010 and January 31, 2010, we had open contracts to hedge expected cash flows for 1 to 12 months in the future in order to reduce our exposure to foreign currency volatility. Contracts were primarily denominated in euros, Japanese yen, Swiss francs, British pounds and Canadian dollars. We do not enter into any foreign exchange derivative instruments for trading or speculative purposes. The notional amount of our option and forward contracts was $266.3 million and $239.1 million at July 31, 2010 and January 31, 2010, respectively.</w:t>
      </w:r>
    </w:p>
    <w:p>
      <w:pPr>
        <w:spacing w:after="0" w:line="14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utilize foreign currency contracts to reduce the exchange rate impact on the net revenue and operating expenses of certain anticipated transactions. A sensitivity analysis performed on our hedging portfolio as of July 31, 2010 indicated that a hypothetical 10% appreciation of the U.S. dollar from its value at July 31, 2010 would increase the fair value of our foreign currency contracts by $23.0 million. A hypothetical 10% depreciation of the dollar from its value at July 31, 2010 would decrease the fair value of our foreign currency contracts by $12.3 million. We do not anticipate any material adverse impact to our consolidated financial position, results of operations or cash flows as a result of these foreign currency contracts.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Interest rate movements affect both the interest income we earn on our short-term investments and, to a lesser extent, the market value of certain longer term securities. At July 31, 2010, we had $561.9 million of cash equivalents. With an average cash equivalent investment balance for the quarter of approximately $588.3 million, if interest rates were to increase (decrease) by 10% over current average rates, this would result in a $0.2 million increase (decrease) in annual interest income. Further, at July 31, 2010, we had approximately $420.7 million invested in a short and long term marketable security portfolios which, with 50 and 100 basis point moves, would result in market value changes (gains or losses) of $2.0 million and $4.0 million over both 6 and 12 month periods, respectively. We do not use derivative financial instruments in our investment portfolio to manage interest rate risk.</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July 31, 2010 that have materially affected, or are reasonably likely to materially affect, our internal controls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Information with respect to this Item may be found in Note 14, “Commitments and Contingencies,” of the Notes to Condensed Consolidated Financial Statements in this Form 10-Q, which information is incorporated into this Item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Weakness in the global economy and the recent global financial crisis may continue to impact our business, financial results and financial condition.</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our business has expanded globally, we have increasingly become subject to risks arising from adverse changes in domestic and global economic and political conditions. The past two years have been characterized by weak global economic conditions, a tightening in the credit markets, a low level of liquidity in many financial markets, and extreme volatility in many financial instrument markets. Although these conditions appear to be abating, it is not yet clear whether a sustainable recovery is currently taking place on a worldwide basis.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conditions have led to our customers deferring, reducing or cancelling purchases in response to tighter credit, negative financial news and weaker financial performance of their businesses. Over the past two years, many of our customers have reduced their workforces, thereby reducing the number of licenses and the number of maintenance contracts they purchase from us.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These actions have negatively impacted and may continue to negatively impact our business, financial results and financial condition. In addition, the negative effect these factors have had on our cash flows has caused us to restructure our business and in turn incur restructuring charges as well as take impairment charges on some of our long-term assets, and may cause us to take additional restructuring actions and charges in the future. In addition, our financial results and condition have been and may continue to be impacted by:</w:t>
      </w:r>
    </w:p>
    <w:p>
      <w:pPr>
        <w:spacing w:after="0" w:line="6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credit risk and insolvency of key channel partners impairing our distribution channels and cash flows;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counterparty failures negatively affecting insured risks;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expense or inability to obtain short-term financing if banks providing our line of credit are unable to lend us money when it is needed for our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decreased borrowing and spending by our end users on small and large projects in the industries we serve, thereby reducing demand for our products.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332" w:lineRule="auto"/>
        <w:rPr>
          <w:sz w:val="20"/>
          <w:szCs w:val="20"/>
          <w:color w:val="auto"/>
        </w:rPr>
      </w:pPr>
      <w:r>
        <w:rPr>
          <w:rFonts w:ascii="Arial" w:cs="Arial" w:eastAsia="Arial" w:hAnsi="Arial"/>
          <w:sz w:val="16"/>
          <w:szCs w:val="16"/>
          <w:i w:val="1"/>
          <w:iCs w:val="1"/>
          <w:color w:val="auto"/>
        </w:rPr>
        <w:t>The actions that we have taken in response to the global economic slowdown and our related business slowdown have been costly and may not be as effective as anticipated, and we may be forced to take additional actions to reduce our expenses and stimulate demand for our products.</w:t>
      </w:r>
    </w:p>
    <w:p>
      <w:pPr>
        <w:spacing w:after="0" w:line="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taken actions to reduce our cost structure to more closely align our costs with our revenue levels. In taking these actions, we are attempting to balance the cost of such initiatives against the longer term benefit of such initiatives and our overall competitive strategy. In taking these actions, we have incurred additional costs in the short term that have had and may continue to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future economic conditions may require that we take additional actions in the future.</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we have taken and continue to take actions to stimulate demand for our products through a number of programs. Although we are attempting to balance the cost of these programs against the longer term benefits, it is possible that we will make such investments without corresponding increases in demand for our products and our revenue. This would further reduce our operating margins and have a negative impact on our financial results.</w:t>
      </w:r>
    </w:p>
    <w:p>
      <w:pPr>
        <w:spacing w:after="0" w:line="188"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operating results.</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health of their business, and the perceived value of the maintenance program. If our customers do not attach maintenance to their initial license or renew their maintenance contract for our products, our maintenance revenue will decline, and our business will suffer. 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4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recognize the revenue ratably over the term of the maintenance contracts, which is predominantly one year, but may also be two or three year terms. Decreases in net maintenance billings will negatively impact future maintenance revenue, however future maintenance revenue will also be impacted by other factors such as the amount, timing and mix of contract terms of future billings.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operating results fluctuate within each quarter and from quarter to quarter making our future revenue and operating results difficult to predict.</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quarterly operating results have fluctuated in the past and may do so in the future. These fluctuations could cause our stock price to change significantly or experience declines. In addition to the other factors described in this Part II, Item 1A, some of the factors that could cause our operating results to fluctuate include:</w:t>
      </w:r>
    </w:p>
    <w:p>
      <w:pPr>
        <w:spacing w:after="0" w:line="59"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market, economic and business conditions, including the impact of sales in particular geographies, including emerging economies,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success of our hedging activity,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expand our AutoCAD and AutoCAD LT products customer base to related vertical design products and model-based design products,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geospatial mapping and digital media and entertainment markets,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laws or regulations or accounting rules, such as increased use of fair value measures and the potential requirement that U.S. registrants prepare financial statements in accordance with International Financial Reporting Standards (“IFRS”),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large sales,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also experienced fluctuations in operating results in interim periods in certain geographic regions due to seasonality or regional economic conditions. In particular, our operating results in Europe during our third quarter are usually affected by a slow summer period, and our Asia Pacific operations typically experience seasonal slowing in our third and fourth quarters.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Creative Finishing products, which historically have had lower margins, grow at a faster rate than sales of our higher-margin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market price for our common stock has experienced significant fluctuations and may continue to fluctuate significantly. The market price for our common stock may be affected by a number of factors, including:</w:t>
      </w:r>
    </w:p>
    <w:p>
      <w:pPr>
        <w:spacing w:after="0" w:line="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shortfalls in our expected net revenue, earnings or key performance metrics;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software piracy can be expected to be a persistent problem. Furthermore, our means of protecting our proprietary rights may not be adequate.</w:t>
      </w:r>
    </w:p>
    <w:p>
      <w:pPr>
        <w:spacing w:after="0" w:line="10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99" w:lineRule="exact"/>
        <w:rPr>
          <w:sz w:val="20"/>
          <w:szCs w:val="20"/>
          <w:color w:val="auto"/>
        </w:rPr>
      </w:pPr>
    </w:p>
    <w:p>
      <w:pPr>
        <w:ind w:left="240" w:right="200"/>
        <w:spacing w:after="0" w:line="259" w:lineRule="auto"/>
        <w:rPr>
          <w:sz w:val="20"/>
          <w:szCs w:val="20"/>
          <w:color w:val="auto"/>
        </w:rPr>
      </w:pPr>
      <w:r>
        <w:rPr>
          <w:rFonts w:ascii="Arial" w:cs="Arial" w:eastAsia="Arial" w:hAnsi="Arial"/>
          <w:sz w:val="18"/>
          <w:szCs w:val="18"/>
          <w:i w:val="1"/>
          <w:iCs w:val="1"/>
          <w:color w:val="auto"/>
        </w:rPr>
        <w:t>If we do not maintain our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5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each of the three and six months ended July 31, 2010, approximately 85%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are experiencing difficulties in the current economic environment. We have processes to ensure that we assess the creditworthiness of distributors and resellers prior to our sales to them. In the past we have taken steps to support them, and may take additional steps in the future, such as extending credit terms and providing temporary discounts, which could harm our operating results. If our distributors and resellers were to become insolvent, their inability to maintain their business and sales, as well as to provide customer support services, would negatively impact our business and revenue.</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distributors Tech Data Corporation and its global affiliates (“Tech Data”). Tech Data accounted for 15% and 16% of our consolidated net revenue for the three and six months ended July 31, 2010, respectively, and 14% during each of the three and six month periods ended July 31, 2009.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which could have a material adverse effect on our results of operations in a given period.</w:t>
      </w:r>
    </w:p>
    <w:p>
      <w:pPr>
        <w:spacing w:after="0" w:line="19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our top several products, including our AutoCAD-based software products, if these products are not successful, our net revenue will be adversely affected.</w:t>
      </w:r>
    </w:p>
    <w:p>
      <w:pPr>
        <w:spacing w:after="0" w:line="5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derive a substantial portion of our net revenue from sales of licenses of a small number of our products, including AutoCAD software, products based on AutoCAD that serve specific vertical markets, upgrades to those products and products that are interoperable with AutoCAD. As such,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operating results. During the three and six months ended July 31, 2010, combined revenue from our AutoCAD and AutoCAD LT products represented 34% and 35% of our consolidated net revenue, respectively.</w:t>
      </w:r>
    </w:p>
    <w:p>
      <w:pPr>
        <w:spacing w:after="0" w:line="225"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i w:val="1"/>
          <w:iCs w:val="1"/>
          <w:color w:val="auto"/>
        </w:rPr>
        <w:t>We are subject to litigation and regulatory inquiries, and we may be named in additional litigation or become involved in regulatory inquiries in the future, all of which are costly, distracting to our core business and could result in an unfavorable outcome, resulting in a material adverse effect on our business, financial condition, results of operations, cash flows and the trading price for our securities.</w:t>
      </w:r>
    </w:p>
    <w:p>
      <w:pPr>
        <w:spacing w:after="0" w:line="59"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We are involved in litigation and receive inquiries from regulatory agencies. As the global economy has changed and our business has evolved, we have seen an increase in litigation activity. In addition,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While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99"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and other risks, which could adversely impact our financial results.</w:t>
      </w:r>
    </w:p>
    <w:p>
      <w:pPr>
        <w:spacing w:after="0" w:line="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trends, which can negatively impact our financial results, even if our results in the U.S. are strong for a particular period.</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difficulties in staffing and managing foreign sales and development operations, longer collection cycles for accounts receivable, potential changes in tax laws, tax arrangements with foreign governments, including our ability to meet and review the terms of those tax arrangements, and laws regarding the management of data, possible future limitations upon foreign owned businesses, increased financial accounting and reporting burdens and complexities, inadequate local infrastructure, greater difficulty in protecting intellectual property, and other factors beyond our control, including terrorism, war, natural disasters and diseases.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may reduce our net revenue and profits.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software industry has limited barriers to entry, and the availability of desktop computers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may adversely affect the sale of our products. Because of these and other factors, competitive conditions in the industry are likely to intensify in the future. Increased competition could result in continued price reductions, reduced net revenue and profit margins and loss of market share, any of which would likely harm our business.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5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The impact of such an attack could disrupt the proper functioning of our software products, cause errors in the output of our customers’ work, allow unauthorized access to sensitive, proprietary or confidential information of ours or our customers and other destructive outcomes. If this were to occur, our reputation may suffer, customers may stop buying our products, we could face lawsuits and potential liability and our financial performance could be negatively impacted.</w:t>
      </w:r>
    </w:p>
    <w:p>
      <w:pPr>
        <w:spacing w:after="0" w:line="199"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we have determined in our Management Report on Internal Control over Financial Reporting, included in our Annual Report on Form 10-K for the fiscal year ended January 31, 2010, that our internal control over financial reporting was effective as of January 31, 2010, we must continue to monitor and assess our internal control over financial reporting. If our management identifies one or more material weaknesses in our internal control over financial reporting and such weakness remains uncorrected at fiscal year end, we will be unable to assert such internal control is effective at fiscal year 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99"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make assumptions, judgments and estimates for a number of items, including the fair value of goodwill, financial instruments,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8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GAAP under SEC regulations and those who are required to follow IFRS. The projects currently being worked on by the FASB and IASB may result in different accounting principles under GAAP that may result in materially different financial results for us in areas including, but not limited to, principles for recognizing revenue, lease accounting and financial statement presentation.</w:t>
      </w:r>
    </w:p>
    <w:p>
      <w:pPr>
        <w:spacing w:after="0" w:line="8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addition, the SEC has stated that it intends to make a determination in 2011 about whether to incorporate IFRS into the financial reporting system for U.S. companies. A change in accounting principles from GAAP to IFRS may have a material impact on the way in which we report financial results.</w:t>
      </w:r>
    </w:p>
    <w:p>
      <w:pPr>
        <w:spacing w:after="0" w:line="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It is not clear to us when these potential changes in accounting principles will be effective, whether we have the proper systems and controls in place to accommodate such changes and the impact that these changes will have on our consolidated financial position, results of operations and cash flows. In addition, as we evolve and change our business and sales models, we are currently unable to take into account how these potential changes would impact these new models, particularly in the area of revenue recognition.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8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Our attempts to hedge against these risks may not be successful, resulting in an adverse impact on our financial results.</w:t>
      </w:r>
    </w:p>
    <w:p>
      <w:pPr>
        <w:spacing w:after="0" w:line="116"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The fluctuations of currencies in which we conduct business can both increase and decrease our overall revenue and expenses for any given fiscal period. Although we have expanded our foreign currency cash flow hedge program beyond the current quarter to a longer term program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2"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example, if we were to experience a loss on any of these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40"/>
        <w:spacing w:after="0" w:line="332" w:lineRule="auto"/>
        <w:rPr>
          <w:sz w:val="20"/>
          <w:szCs w:val="20"/>
          <w:color w:val="auto"/>
        </w:rPr>
      </w:pPr>
      <w:r>
        <w:rPr>
          <w:rFonts w:ascii="Arial" w:cs="Arial" w:eastAsia="Arial" w:hAnsi="Arial"/>
          <w:sz w:val="16"/>
          <w:szCs w:val="16"/>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devote significant resources to the development of new technologies, such as our vertical design products and our digital prototyping and collaboration products. In addition, we frequently introduce new business models or methods that require a considerable investment of technical and financial resources.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w:t>
      </w:r>
    </w:p>
    <w:p>
      <w:pPr>
        <w:spacing w:after="0" w:line="12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related vertical design products and our model-based design products such as our Autodesk Inventor products, our Autodesk Revit products, our AutoCAD Civil 3D products and our Autodesk Navisworks products. Should sales of licenses of our AutoCAD and AutoCAD LT products decrease without a corresponding increase in vertical design and model-based design product revenue or without purchases of customer seats to our vertical design products and model-based design products, our results of operations will be adversely affected.</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Further, given the rapid speed of changing customer expectations and advancement of technology inherent in the software industry, as well as the extensive and complex efforts required to create useful and widely accepted products,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81"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i w:val="1"/>
          <w:iCs w:val="1"/>
          <w:color w:val="auto"/>
        </w:rPr>
        <w:t>From time to time we introduce new business and sales initiatives; if we fail to successfully execute and manage these initiatives, our results of operations could be negatively impacted.</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part of our effort to accommodate our customer’s needs and demands, we from time to time evolve our business and sales initiatives. We may take such actions without clear indications that they will prove successful.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our actual results may vary materially from those anticipated, and our financial results will be negatively impacted.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90"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We regularly acquire or invest in businesses, software products and technologies that are complementary to our business through acquisitions, strategic alliances or equity investments. The risks associated with such acquisitions include, among others, the difficulty of assimilating products, operations and personnel,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distributors as business partners as a result of acquiring another business;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results of operations. These fluctuations could arise from transaction-related costs and charges associated with eliminating redundant expenses or write-offs of impaired assets recorded in connection with acquisitions and investments. These costs or charges could negatively impact our results of operations for a given period, cause quarter to quarter variability in our operating results or negatively impact our operating results for several future periods.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operating results could be negatively impacted if our tax positions are successfully challenged by tax authorities.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operating results negatively impacted.</w:t>
      </w:r>
    </w:p>
    <w:p>
      <w:pPr>
        <w:spacing w:after="0" w:line="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4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9"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5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of customer data. In addition, our operations could be negatively affected in the event of a security breach, and we could be subject to the loss or theft of confidential or proprietary information, including source code. Unauthorized access to this data may be obtained through break-ins, breach of our secure network by an unauthorized party, employee theft or misuse, or other misconduct.</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225"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securities during the three months ended July 31, 2010.</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54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0"/>
              </w:rPr>
              <w:t>Amended and Restated Bylaws of Autodesk, Inc. (as of June 10, 2010) (</w:t>
            </w:r>
            <w:r>
              <w:rPr>
                <w:rFonts w:ascii="Arial" w:cs="Arial" w:eastAsia="Arial" w:hAnsi="Arial"/>
                <w:sz w:val="18"/>
                <w:szCs w:val="18"/>
                <w:i w:val="1"/>
                <w:iCs w:val="1"/>
                <w:color w:val="auto"/>
                <w:w w:val="90"/>
              </w:rPr>
              <w:t>incorporated by reference to Exhibit 3.1 filed with the Registrant’s</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i w:val="1"/>
                <w:iCs w:val="1"/>
                <w:color w:val="auto"/>
              </w:rPr>
              <w:t>Current Report on Form 8-K filed on June 14, 2010</w:t>
            </w:r>
            <w:r>
              <w:rPr>
                <w:rFonts w:ascii="Arial" w:cs="Arial" w:eastAsia="Arial" w:hAnsi="Arial"/>
                <w:sz w:val="18"/>
                <w:szCs w:val="18"/>
                <w:color w:val="auto"/>
              </w:rPr>
              <w: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 *</w:t>
            </w:r>
          </w:p>
        </w:tc>
        <w:tc>
          <w:tcPr>
            <w:tcW w:w="420" w:type="dxa"/>
            <w:vAlign w:val="bottom"/>
          </w:tcPr>
          <w:p>
            <w:pPr>
              <w:spacing w:after="0"/>
              <w:rPr>
                <w:sz w:val="24"/>
                <w:szCs w:val="24"/>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89"/>
              </w:rPr>
              <w:t>Registrant’s Executive Incentive Plan (</w:t>
            </w:r>
            <w:r>
              <w:rPr>
                <w:rFonts w:ascii="Arial" w:cs="Arial" w:eastAsia="Arial" w:hAnsi="Arial"/>
                <w:sz w:val="18"/>
                <w:szCs w:val="18"/>
                <w:i w:val="1"/>
                <w:iCs w:val="1"/>
                <w:color w:val="auto"/>
                <w:w w:val="89"/>
              </w:rPr>
              <w:t>incorporated by reference to Exhibit 10.1 filed with the Registrant’s Current Report on Form 8-K filed</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i w:val="1"/>
                <w:iCs w:val="1"/>
                <w:color w:val="auto"/>
              </w:rPr>
              <w:t>on June 14, 2010</w:t>
            </w: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 *</w:t>
            </w:r>
          </w:p>
        </w:tc>
        <w:tc>
          <w:tcPr>
            <w:tcW w:w="420" w:type="dxa"/>
            <w:vAlign w:val="bottom"/>
          </w:tcPr>
          <w:p>
            <w:pPr>
              <w:spacing w:after="0"/>
              <w:rPr>
                <w:sz w:val="24"/>
                <w:szCs w:val="24"/>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Registrant’s 2008 Employee Stock Plan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32.1 †</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89"/>
              </w:rPr>
              <w:t>Certification of Chief Executive Officer and Chief Financial Officer pursuant to 18 U.S.C. Section 1350, as adopted pursuant to Section 906</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XBRL Taxonomy Definition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1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Quarterly Report on Form 10-Q, are not deemed filed with the Securities and Exchange</w:t>
      </w:r>
    </w:p>
    <w:p>
      <w:pPr>
        <w:spacing w:after="0" w:line="32"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and is furnished, not filed with the Securities and Exchange Commission.</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AUTODESK, INC.</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2008 EMPLOYEE STOCK PLAN</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(AS AMENDED AND RESTATED EFFECTIVE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10, 2010)*</w:t>
      </w:r>
    </w:p>
    <w:p>
      <w:pPr>
        <w:spacing w:after="0" w:line="165"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2008 Employee Stock Plan are: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provide additional incentive to Employees,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Awards granted under the Plan may be Incentive Stock Options, Nonstatutory Stock Options, Restricted Stock and Restricted Stock Units as determined by the Administrator at the time of grant.</w:t>
      </w:r>
    </w:p>
    <w:p>
      <w:pPr>
        <w:spacing w:after="0" w:line="132" w:lineRule="exact"/>
        <w:rPr>
          <w:sz w:val="20"/>
          <w:szCs w:val="20"/>
          <w:color w:val="auto"/>
        </w:rPr>
      </w:pPr>
    </w:p>
    <w:p>
      <w:pPr>
        <w:ind w:left="640" w:hanging="176"/>
        <w:spacing w:after="0"/>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194" w:lineRule="exact"/>
        <w:rPr>
          <w:rFonts w:ascii="Arial" w:cs="Arial" w:eastAsia="Arial" w:hAnsi="Arial"/>
          <w:sz w:val="16"/>
          <w:szCs w:val="16"/>
          <w:color w:val="auto"/>
        </w:rPr>
      </w:pPr>
    </w:p>
    <w:p>
      <w:pPr>
        <w:ind w:right="140" w:firstLine="921"/>
        <w:spacing w:after="0" w:line="259" w:lineRule="auto"/>
        <w:tabs>
          <w:tab w:leader="none" w:pos="1162" w:val="left"/>
        </w:tabs>
        <w:numPr>
          <w:ilvl w:val="2"/>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 compensation plans under U.S. state corporate laws, U.S. federal and state securities laws, the Code, any stock exchange or quotation system on which the Shares are listed or quoted and the applicable laws of any other country or jurisdiction where Awards are granted under the Plan.</w:t>
      </w:r>
    </w:p>
    <w:p>
      <w:pPr>
        <w:spacing w:after="0" w:line="140" w:lineRule="exact"/>
        <w:rPr>
          <w:rFonts w:ascii="Arial" w:cs="Arial" w:eastAsia="Arial" w:hAnsi="Arial"/>
          <w:sz w:val="18"/>
          <w:szCs w:val="18"/>
          <w:color w:val="auto"/>
        </w:rPr>
      </w:pPr>
    </w:p>
    <w:p>
      <w:pPr>
        <w:ind w:right="120" w:firstLine="921"/>
        <w:spacing w:after="0" w:line="268" w:lineRule="auto"/>
        <w:tabs>
          <w:tab w:leader="none" w:pos="1152" w:val="left"/>
        </w:tabs>
        <w:numPr>
          <w:ilvl w:val="2"/>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Incentive Stock Options, Nonqualified Stock Options, Restricted Stock or Restricted Stock Units.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the written agreement setting forth the terms and conditions applicable to each Award granted under the Plan.</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2"/>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 in one or a series of related transactions:</w:t>
      </w:r>
    </w:p>
    <w:p>
      <w:pPr>
        <w:spacing w:after="0" w:line="360" w:lineRule="exact"/>
        <w:rPr>
          <w:rFonts w:ascii="Arial" w:cs="Arial" w:eastAsia="Arial" w:hAnsi="Arial"/>
          <w:sz w:val="18"/>
          <w:szCs w:val="18"/>
          <w:color w:val="auto"/>
        </w:rPr>
      </w:pPr>
    </w:p>
    <w:p>
      <w:pPr>
        <w:ind w:left="220" w:right="520" w:hanging="216"/>
        <w:spacing w:after="0" w:line="332" w:lineRule="auto"/>
        <w:rPr>
          <w:rFonts w:ascii="Arial" w:cs="Arial" w:eastAsia="Arial" w:hAnsi="Arial"/>
          <w:sz w:val="18"/>
          <w:szCs w:val="18"/>
          <w:color w:val="auto"/>
        </w:rPr>
      </w:pPr>
      <w:r>
        <w:rPr>
          <w:rFonts w:ascii="Arial" w:cs="Arial" w:eastAsia="Arial" w:hAnsi="Arial"/>
          <w:sz w:val="16"/>
          <w:szCs w:val="16"/>
          <w:color w:val="auto"/>
        </w:rPr>
        <w:t>* The Plan was originally adopted by the Board on September 8, 2007 and approved by the stockholders on November 6, 2007. The Plan as amended and restated via Board approval on March 26, 2010, and was approved by the stockholders on June 10, 2010, to become effective on June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left="-20" w:firstLine="1492"/>
        <w:spacing w:after="0" w:line="298" w:lineRule="auto"/>
        <w:tabs>
          <w:tab w:leader="none" w:pos="1673" w:val="left"/>
        </w:tabs>
        <w:numPr>
          <w:ilvl w:val="1"/>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as such term is used in Sections 13(d) and 14(d) of the Exchange Act, other than the Company, a subsidiary of the Company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112" w:lineRule="exact"/>
        <w:rPr>
          <w:rFonts w:ascii="Arial" w:cs="Arial" w:eastAsia="Arial" w:hAnsi="Arial"/>
          <w:sz w:val="16"/>
          <w:szCs w:val="16"/>
          <w:color w:val="auto"/>
        </w:rPr>
      </w:pPr>
    </w:p>
    <w:p>
      <w:pPr>
        <w:ind w:left="-20" w:right="20" w:firstLine="1492"/>
        <w:spacing w:after="0" w:line="298" w:lineRule="auto"/>
        <w:tabs>
          <w:tab w:leader="none" w:pos="172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 merger or consolidation of the Company or any direct or indirect subsidiary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w:t>
      </w:r>
    </w:p>
    <w:p>
      <w:pPr>
        <w:spacing w:after="0" w:line="112" w:lineRule="exact"/>
        <w:rPr>
          <w:rFonts w:ascii="Arial" w:cs="Arial" w:eastAsia="Arial" w:hAnsi="Arial"/>
          <w:sz w:val="16"/>
          <w:szCs w:val="16"/>
          <w:color w:val="auto"/>
        </w:rPr>
      </w:pPr>
    </w:p>
    <w:p>
      <w:pPr>
        <w:ind w:left="1780" w:hanging="308"/>
        <w:spacing w:after="0"/>
        <w:tabs>
          <w:tab w:leader="none" w:pos="17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sale or disposition by the Company of all or substantially all the Company’s assets; or</w:t>
      </w:r>
    </w:p>
    <w:p>
      <w:pPr>
        <w:spacing w:after="0" w:line="171" w:lineRule="exact"/>
        <w:rPr>
          <w:rFonts w:ascii="Arial" w:cs="Arial" w:eastAsia="Arial" w:hAnsi="Arial"/>
          <w:sz w:val="18"/>
          <w:szCs w:val="18"/>
          <w:color w:val="auto"/>
        </w:rPr>
      </w:pPr>
    </w:p>
    <w:p>
      <w:pPr>
        <w:ind w:left="-20" w:right="240" w:firstLine="1492"/>
        <w:spacing w:after="0" w:line="298" w:lineRule="auto"/>
        <w:tabs>
          <w:tab w:leader="none" w:pos="1761" w:val="left"/>
        </w:tabs>
        <w:numPr>
          <w:ilvl w:val="1"/>
          <w:numId w:val="39"/>
        </w:numPr>
        <w:rPr>
          <w:rFonts w:ascii="Arial" w:cs="Arial" w:eastAsia="Arial" w:hAnsi="Arial"/>
          <w:sz w:val="16"/>
          <w:szCs w:val="16"/>
          <w:color w:val="auto"/>
        </w:rPr>
      </w:pPr>
      <w:r>
        <w:rPr>
          <w:rFonts w:ascii="Arial" w:cs="Arial" w:eastAsia="Arial" w:hAnsi="Arial"/>
          <w:sz w:val="16"/>
          <w:szCs w:val="16"/>
          <w:color w:val="auto"/>
        </w:rPr>
        <w:t>a change in the composition of the Board, as a result of which fewer than a majority of the Directors are Incumbent Directors. “Incumbent Directors” shall mean Directors who either (A) are Directors as of the date this Plan is approved by the Board, or (B) are elected, or nominated for election, to the Board with the affirmative votes of at least a majority of the Directors and whose election or nomination was not in connection with any transaction described in (i) or (ii) above or in connection with an actual or threatened proxy contest relating to the election of directors of the Company.</w:t>
      </w:r>
    </w:p>
    <w:p>
      <w:pPr>
        <w:spacing w:after="0" w:line="112" w:lineRule="exact"/>
        <w:rPr>
          <w:rFonts w:ascii="Arial" w:cs="Arial" w:eastAsia="Arial" w:hAnsi="Arial"/>
          <w:sz w:val="16"/>
          <w:szCs w:val="16"/>
          <w:color w:val="auto"/>
        </w:rPr>
      </w:pPr>
    </w:p>
    <w:p>
      <w:pPr>
        <w:ind w:left="-20" w:right="20" w:firstLine="921"/>
        <w:spacing w:after="0" w:line="259" w:lineRule="auto"/>
        <w:tabs>
          <w:tab w:leader="none" w:pos="11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171" w:lineRule="exact"/>
        <w:rPr>
          <w:rFonts w:ascii="Arial" w:cs="Arial" w:eastAsia="Arial" w:hAnsi="Arial"/>
          <w:sz w:val="18"/>
          <w:szCs w:val="18"/>
          <w:color w:val="auto"/>
        </w:rPr>
      </w:pPr>
    </w:p>
    <w:p>
      <w:pPr>
        <w:ind w:left="1120" w:hanging="219"/>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171" w:lineRule="exact"/>
        <w:rPr>
          <w:rFonts w:ascii="Arial" w:cs="Arial" w:eastAsia="Arial" w:hAnsi="Arial"/>
          <w:sz w:val="18"/>
          <w:szCs w:val="18"/>
          <w:color w:val="auto"/>
        </w:rPr>
      </w:pPr>
    </w:p>
    <w:p>
      <w:pPr>
        <w:ind w:left="1120" w:hanging="219"/>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Autodesk, Inc., a Delaware corporation, or any successor thereto.</w:t>
      </w:r>
    </w:p>
    <w:p>
      <w:pPr>
        <w:spacing w:after="0" w:line="171" w:lineRule="exact"/>
        <w:rPr>
          <w:rFonts w:ascii="Arial" w:cs="Arial" w:eastAsia="Arial" w:hAnsi="Arial"/>
          <w:sz w:val="18"/>
          <w:szCs w:val="18"/>
          <w:color w:val="auto"/>
        </w:rPr>
      </w:pPr>
    </w:p>
    <w:p>
      <w:pPr>
        <w:ind w:left="-20" w:right="240" w:firstLine="921"/>
        <w:spacing w:after="0" w:line="268" w:lineRule="auto"/>
        <w:tabs>
          <w:tab w:leader="none" w:pos="11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with respect to an Award, the date that the Award is granted and its exercise price is set (if applicable), consistent with Applicable Laws and applicable financial accounting rules.</w:t>
      </w:r>
    </w:p>
    <w:p>
      <w:pPr>
        <w:spacing w:after="0" w:line="131" w:lineRule="exact"/>
        <w:rPr>
          <w:rFonts w:ascii="Arial" w:cs="Arial" w:eastAsia="Arial" w:hAnsi="Arial"/>
          <w:sz w:val="18"/>
          <w:szCs w:val="18"/>
          <w:color w:val="auto"/>
        </w:rPr>
      </w:pPr>
    </w:p>
    <w:p>
      <w:pPr>
        <w:ind w:left="1120" w:hanging="219"/>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71" w:lineRule="exact"/>
        <w:rPr>
          <w:rFonts w:ascii="Arial" w:cs="Arial" w:eastAsia="Arial" w:hAnsi="Arial"/>
          <w:sz w:val="18"/>
          <w:szCs w:val="18"/>
          <w:color w:val="auto"/>
        </w:rPr>
      </w:pPr>
    </w:p>
    <w:p>
      <w:pPr>
        <w:ind w:left="1200" w:hanging="299"/>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56" w:name="page57"/>
    <w:bookmarkEnd w:id="56"/>
    <w:p>
      <w:pPr>
        <w:ind w:right="340" w:firstLine="921"/>
        <w:spacing w:after="0" w:line="268"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Earnings Per Share</w:t>
      </w:r>
      <w:r>
        <w:rPr>
          <w:rFonts w:ascii="Arial" w:cs="Arial" w:eastAsia="Arial" w:hAnsi="Arial"/>
          <w:sz w:val="18"/>
          <w:szCs w:val="18"/>
          <w:color w:val="auto"/>
        </w:rPr>
        <w:t>” means, as to any Performance Period, the Company’s or a business unit’s fully diluted earnings per share as defined by generally accepted accounting principles.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June 10, 2010.</w:t>
      </w:r>
    </w:p>
    <w:p>
      <w:pPr>
        <w:spacing w:after="0" w:line="171" w:lineRule="exact"/>
        <w:rPr>
          <w:rFonts w:ascii="Arial" w:cs="Arial" w:eastAsia="Arial" w:hAnsi="Arial"/>
          <w:sz w:val="18"/>
          <w:szCs w:val="18"/>
          <w:color w:val="auto"/>
        </w:rPr>
      </w:pPr>
    </w:p>
    <w:p>
      <w:pPr>
        <w:ind w:firstLine="921"/>
        <w:spacing w:after="0" w:line="291" w:lineRule="auto"/>
        <w:tabs>
          <w:tab w:leader="none" w:pos="11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employed by the Company or any Parent or Subsidiary of the Company. An Employee shall not cease to be an Employee in the case of (i) any leave of absence approved by the Company or (ii) transfers between locations of the Company or between the Company, its Parent, any Subsidiary, or any successor. For purposes of Incentive Stock Options, no such leave may exceed ninety days, unless reemployment upon expiration of such leave is guaranteed by statute or contract. If reemployment upon expiration of a leave of absence approved by the Company is not so guaranteed, then three (3) months following the 91</w:t>
      </w:r>
      <w:r>
        <w:rPr>
          <w:rFonts w:ascii="Arial" w:cs="Arial" w:eastAsia="Arial" w:hAnsi="Arial"/>
          <w:sz w:val="10"/>
          <w:szCs w:val="10"/>
          <w:color w:val="auto"/>
        </w:rPr>
        <w:t>st</w:t>
      </w:r>
      <w:r>
        <w:rPr>
          <w:rFonts w:ascii="Arial" w:cs="Arial" w:eastAsia="Arial" w:hAnsi="Arial"/>
          <w:sz w:val="16"/>
          <w:szCs w:val="16"/>
          <w:color w:val="auto"/>
        </w:rPr>
        <w:t xml:space="preserve"> day of such leave any Incentive Stock Option held by the Participant shall cease to be treated as an Incentive Stock Option and shall be treated for tax purposes as a Nonstatutory Stock Option.</w:t>
      </w:r>
    </w:p>
    <w:p>
      <w:pPr>
        <w:spacing w:after="0" w:line="120" w:lineRule="exact"/>
        <w:rPr>
          <w:rFonts w:ascii="Arial" w:cs="Arial" w:eastAsia="Arial" w:hAnsi="Arial"/>
          <w:sz w:val="16"/>
          <w:szCs w:val="16"/>
          <w:color w:val="auto"/>
        </w:rPr>
      </w:pPr>
    </w:p>
    <w:p>
      <w:pPr>
        <w:ind w:right="140" w:firstLine="921"/>
        <w:spacing w:after="0" w:line="259"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171" w:lineRule="exact"/>
        <w:rPr>
          <w:rFonts w:ascii="Arial" w:cs="Arial" w:eastAsia="Arial" w:hAnsi="Arial"/>
          <w:sz w:val="18"/>
          <w:szCs w:val="18"/>
          <w:color w:val="auto"/>
        </w:rPr>
      </w:pPr>
    </w:p>
    <w:p>
      <w:pPr>
        <w:ind w:firstLine="1492"/>
        <w:spacing w:after="0" w:line="255" w:lineRule="auto"/>
        <w:tabs>
          <w:tab w:leader="none" w:pos="1693"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National Market of the National Association of Securities Dealers, Inc. Automated Quotation (“Nasdaq”) System, the Fair Market Value of a Share of Common Stock shall be the closing sales price for such stock (or the closing bid, if no sales were reported) as quoted on such system or exchange (or the exchange with the greatest volume of trading in Common Stock)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42" w:lineRule="exact"/>
        <w:rPr>
          <w:rFonts w:ascii="Arial" w:cs="Arial" w:eastAsia="Arial" w:hAnsi="Arial"/>
          <w:sz w:val="18"/>
          <w:szCs w:val="18"/>
          <w:color w:val="auto"/>
        </w:rPr>
      </w:pPr>
    </w:p>
    <w:p>
      <w:pPr>
        <w:ind w:left="1760" w:hanging="268"/>
        <w:spacing w:after="0"/>
        <w:tabs>
          <w:tab w:leader="none" w:pos="17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in good faith by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fiscal year of the Company.</w:t>
      </w:r>
    </w:p>
    <w:p>
      <w:pPr>
        <w:spacing w:after="0" w:line="171" w:lineRule="exact"/>
        <w:rPr>
          <w:rFonts w:ascii="Arial" w:cs="Arial" w:eastAsia="Arial" w:hAnsi="Arial"/>
          <w:sz w:val="18"/>
          <w:szCs w:val="18"/>
          <w:color w:val="auto"/>
        </w:rPr>
      </w:pPr>
    </w:p>
    <w:p>
      <w:pPr>
        <w:ind w:firstLine="921"/>
        <w:spacing w:after="0" w:line="268" w:lineRule="auto"/>
        <w:tabs>
          <w:tab w:leader="none" w:pos="11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31"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as to any Performance Period, the net income of the Company for the Performance Period determined in accordance with generally accepted accounting principles.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7" w:name="page58"/>
    <w:bookmarkEnd w:id="57"/>
    <w:p>
      <w:pPr>
        <w:ind w:left="1120" w:hanging="239"/>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not intended to qualify as an Incentive Stock Option.</w:t>
      </w:r>
    </w:p>
    <w:p>
      <w:pPr>
        <w:spacing w:after="0" w:line="171" w:lineRule="exact"/>
        <w:rPr>
          <w:rFonts w:ascii="Arial" w:cs="Arial" w:eastAsia="Arial" w:hAnsi="Arial"/>
          <w:sz w:val="18"/>
          <w:szCs w:val="18"/>
          <w:color w:val="auto"/>
        </w:rPr>
      </w:pPr>
    </w:p>
    <w:p>
      <w:pPr>
        <w:ind w:left="-40" w:right="180" w:firstLine="921"/>
        <w:spacing w:after="0" w:line="268"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or electronic notice evidencing certain terms and conditions of an individual Award. The Notice of Grant is part of the Award Agreement.</w:t>
      </w:r>
    </w:p>
    <w:p>
      <w:pPr>
        <w:spacing w:after="0" w:line="131" w:lineRule="exact"/>
        <w:rPr>
          <w:rFonts w:ascii="Arial" w:cs="Arial" w:eastAsia="Arial" w:hAnsi="Arial"/>
          <w:sz w:val="18"/>
          <w:szCs w:val="18"/>
          <w:color w:val="auto"/>
        </w:rPr>
      </w:pPr>
    </w:p>
    <w:p>
      <w:pPr>
        <w:ind w:left="1120" w:hanging="239"/>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Margins</w:t>
      </w:r>
      <w:r>
        <w:rPr>
          <w:rFonts w:ascii="Arial" w:cs="Arial" w:eastAsia="Arial" w:hAnsi="Arial"/>
          <w:sz w:val="18"/>
          <w:szCs w:val="18"/>
          <w:color w:val="auto"/>
        </w:rPr>
        <w:t>” means the ratio of Operating Income to Revenue.</w:t>
      </w:r>
    </w:p>
    <w:p>
      <w:pPr>
        <w:spacing w:after="0" w:line="171" w:lineRule="exact"/>
        <w:rPr>
          <w:rFonts w:ascii="Arial" w:cs="Arial" w:eastAsia="Arial" w:hAnsi="Arial"/>
          <w:sz w:val="18"/>
          <w:szCs w:val="18"/>
          <w:color w:val="auto"/>
        </w:rPr>
      </w:pPr>
    </w:p>
    <w:p>
      <w:pPr>
        <w:ind w:left="-40" w:right="520" w:firstLine="921"/>
        <w:spacing w:after="0" w:line="268" w:lineRule="auto"/>
        <w:tabs>
          <w:tab w:leader="none" w:pos="112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Income</w:t>
      </w:r>
      <w:r>
        <w:rPr>
          <w:rFonts w:ascii="Arial" w:cs="Arial" w:eastAsia="Arial" w:hAnsi="Arial"/>
          <w:sz w:val="18"/>
          <w:szCs w:val="18"/>
          <w:color w:val="auto"/>
        </w:rPr>
        <w:t>” means the Company’s or a business unit’s income from operations determined in accordance with generally accepted accounting principles.</w:t>
      </w:r>
    </w:p>
    <w:p>
      <w:pPr>
        <w:spacing w:after="0" w:line="131" w:lineRule="exact"/>
        <w:rPr>
          <w:rFonts w:ascii="Arial" w:cs="Arial" w:eastAsia="Arial" w:hAnsi="Arial"/>
          <w:sz w:val="18"/>
          <w:szCs w:val="18"/>
          <w:color w:val="auto"/>
        </w:rPr>
      </w:pPr>
    </w:p>
    <w:p>
      <w:pPr>
        <w:ind w:left="1120" w:hanging="239"/>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171" w:lineRule="exact"/>
        <w:rPr>
          <w:sz w:val="20"/>
          <w:szCs w:val="20"/>
          <w:color w:val="auto"/>
        </w:rPr>
      </w:pPr>
    </w:p>
    <w:p>
      <w:pPr>
        <w:ind w:left="-40" w:firstLine="921"/>
        <w:spacing w:after="0" w:line="332" w:lineRule="auto"/>
        <w:tabs>
          <w:tab w:leader="none" w:pos="119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Agreement</w:t>
      </w:r>
      <w:r>
        <w:rPr>
          <w:rFonts w:ascii="Arial" w:cs="Arial" w:eastAsia="Arial" w:hAnsi="Arial"/>
          <w:sz w:val="16"/>
          <w:szCs w:val="16"/>
          <w:color w:val="auto"/>
        </w:rPr>
        <w:t>” means a written or electronic agreement between the Company and a Participant evidencing the terms and conditions of an individual Option grant. The Option Agreement is subject to the terms and conditions of the Plan.</w:t>
      </w:r>
    </w:p>
    <w:p>
      <w:pPr>
        <w:spacing w:after="0" w:line="85" w:lineRule="exact"/>
        <w:rPr>
          <w:rFonts w:ascii="Arial" w:cs="Arial" w:eastAsia="Arial" w:hAnsi="Arial"/>
          <w:sz w:val="16"/>
          <w:szCs w:val="16"/>
          <w:color w:val="auto"/>
        </w:rPr>
      </w:pPr>
    </w:p>
    <w:p>
      <w:pPr>
        <w:ind w:left="1220" w:hanging="339"/>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171" w:lineRule="exact"/>
        <w:rPr>
          <w:rFonts w:ascii="Arial" w:cs="Arial" w:eastAsia="Arial" w:hAnsi="Arial"/>
          <w:sz w:val="18"/>
          <w:szCs w:val="18"/>
          <w:color w:val="auto"/>
        </w:rPr>
      </w:pPr>
    </w:p>
    <w:p>
      <w:pPr>
        <w:ind w:left="1200" w:hanging="31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 granted under the Plan.</w:t>
      </w:r>
    </w:p>
    <w:p>
      <w:pPr>
        <w:spacing w:after="0" w:line="171" w:lineRule="exact"/>
        <w:rPr>
          <w:rFonts w:ascii="Arial" w:cs="Arial" w:eastAsia="Arial" w:hAnsi="Arial"/>
          <w:sz w:val="18"/>
          <w:szCs w:val="18"/>
          <w:color w:val="auto"/>
        </w:rPr>
      </w:pPr>
    </w:p>
    <w:p>
      <w:pPr>
        <w:ind w:left="-40" w:right="100" w:firstLine="921"/>
        <w:spacing w:after="0" w:line="287" w:lineRule="auto"/>
        <w:tabs>
          <w:tab w:leader="none" w:pos="1209"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means the goal(s) (or combined goal(s)) determined by the Administrator (in its discretion) to be applicable to a Participant with respect to an Award. As determined by the Administrator, the Performance Goals applicable to an Award may provide for a targeted level or levels of achievement using one or more of the following measures: (a) Revenue, (b) Earnings Per Share, (c) Net Income, (d) Operating Margins, and (e) Total Stockholder Return. The Performance Goals may differ from Participant to Participant and from Award to Award. Any criteria used may be measured, as applicable, (i) on Pro Forma numbers, (ii) in absolute terms, (iii) in relative terms (including, but not limited, the passage of time and/or against other companies or financial metrics), (iv) on a per share and/or share per capita basis, (v) against the performance of the Company as a whole or against particular segments or products of the Company and/or (vi) on a pre-tax or after-tax basis. Prior to the Determination Date, the Administrator shall determine whether any element(s) (for example, but not by way of limitation, the effect of mergers or acquisitions) shall be included in or excluded from the calculation of any Performance Goal with respect to any Participants (whether or not such determinations result in any Performance Goal being measured on a basis other than generally accepted accounting principles).</w:t>
      </w:r>
    </w:p>
    <w:p>
      <w:pPr>
        <w:spacing w:after="0" w:line="122" w:lineRule="exact"/>
        <w:rPr>
          <w:rFonts w:ascii="Arial" w:cs="Arial" w:eastAsia="Arial" w:hAnsi="Arial"/>
          <w:sz w:val="16"/>
          <w:szCs w:val="16"/>
          <w:color w:val="auto"/>
        </w:rPr>
      </w:pPr>
    </w:p>
    <w:p>
      <w:pPr>
        <w:ind w:left="1200" w:hanging="319"/>
        <w:spacing w:after="0"/>
        <w:tabs>
          <w:tab w:leader="none" w:pos="1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any Fiscal Year or such longer period as determined by the Administrator in its sole discretion.</w:t>
      </w:r>
    </w:p>
    <w:p>
      <w:pPr>
        <w:spacing w:after="0" w:line="194" w:lineRule="exact"/>
        <w:rPr>
          <w:rFonts w:ascii="Arial" w:cs="Arial" w:eastAsia="Arial" w:hAnsi="Arial"/>
          <w:sz w:val="16"/>
          <w:szCs w:val="16"/>
          <w:color w:val="auto"/>
        </w:rPr>
      </w:pPr>
    </w:p>
    <w:p>
      <w:pPr>
        <w:ind w:left="-40" w:right="260" w:firstLine="921"/>
        <w:spacing w:after="0" w:line="306"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Period of Restriction</w:t>
      </w:r>
      <w:r>
        <w:rPr>
          <w:rFonts w:ascii="Arial" w:cs="Arial" w:eastAsia="Arial" w:hAnsi="Arial"/>
          <w:sz w:val="16"/>
          <w:szCs w:val="16"/>
          <w:color w:val="auto"/>
        </w:rPr>
        <w:t>” means the period during which the transfer of Shares of Restricted Stock are subject to restrictions and therefore, the Shares are subject to a substantial risk of forfeiture. As provided in Section 9, such restrictions may be based on the passage of time, the achievement of target levels of performance, or the occurrence of other events as determined by the Administrator, in its discretion.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80" w:right="279" w:bottom="1440" w:gutter="0" w:footer="0" w:header="0"/>
        </w:sectPr>
      </w:pPr>
    </w:p>
    <w:bookmarkStart w:id="58" w:name="page59"/>
    <w:bookmarkEnd w:id="58"/>
    <w:p>
      <w:pPr>
        <w:ind w:left="1260" w:hanging="339"/>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2008 Employee Stock Plan, as set forth in this instrument and as hereafter amended from time to time.</w:t>
      </w:r>
    </w:p>
    <w:p>
      <w:pPr>
        <w:spacing w:after="0" w:line="171" w:lineRule="exact"/>
        <w:rPr>
          <w:rFonts w:ascii="Arial" w:cs="Arial" w:eastAsia="Arial" w:hAnsi="Arial"/>
          <w:sz w:val="18"/>
          <w:szCs w:val="18"/>
          <w:color w:val="auto"/>
        </w:rPr>
      </w:pPr>
    </w:p>
    <w:p>
      <w:pPr>
        <w:ind w:right="60" w:firstLine="921"/>
        <w:spacing w:after="0" w:line="256" w:lineRule="auto"/>
        <w:tabs>
          <w:tab w:leader="none" w:pos="1249"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w:t>
      </w:r>
      <w:r>
        <w:rPr>
          <w:rFonts w:ascii="Arial" w:cs="Arial" w:eastAsia="Arial" w:hAnsi="Arial"/>
          <w:sz w:val="18"/>
          <w:szCs w:val="18"/>
          <w:color w:val="auto"/>
        </w:rPr>
        <w:t>” means calculation of a Performance Goal in a manner that excludes certain unusual or non-cash expenses or credits, such as restructuring expenses, extraordinary tax events, expenses or credits related to stock options, other equity compensation or the like, acquisition related expenses, extraordinary items, income or loss from discontinued operations, and/or gains or losses from early extinguishment of debt instead of conforming to generally accepted accounting principles.</w:t>
      </w:r>
    </w:p>
    <w:p>
      <w:pPr>
        <w:spacing w:after="0" w:line="143" w:lineRule="exact"/>
        <w:rPr>
          <w:rFonts w:ascii="Arial" w:cs="Arial" w:eastAsia="Arial" w:hAnsi="Arial"/>
          <w:sz w:val="18"/>
          <w:szCs w:val="18"/>
          <w:color w:val="auto"/>
        </w:rPr>
      </w:pPr>
    </w:p>
    <w:p>
      <w:pPr>
        <w:ind w:left="1180" w:hanging="259"/>
        <w:spacing w:after="0"/>
        <w:tabs>
          <w:tab w:leader="none" w:pos="11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an Award granted to a Participant pursuant to Section 9.</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pursuant to Section 10.</w:t>
      </w:r>
    </w:p>
    <w:p>
      <w:pPr>
        <w:spacing w:after="0" w:line="171" w:lineRule="exact"/>
        <w:rPr>
          <w:rFonts w:ascii="Arial" w:cs="Arial" w:eastAsia="Arial" w:hAnsi="Arial"/>
          <w:sz w:val="18"/>
          <w:szCs w:val="18"/>
          <w:color w:val="auto"/>
        </w:rPr>
      </w:pPr>
    </w:p>
    <w:p>
      <w:pPr>
        <w:ind w:right="140" w:firstLine="921"/>
        <w:spacing w:after="0" w:line="268" w:lineRule="auto"/>
        <w:tabs>
          <w:tab w:leader="none" w:pos="1249"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w:t>
      </w:r>
      <w:r>
        <w:rPr>
          <w:rFonts w:ascii="Arial" w:cs="Arial" w:eastAsia="Arial" w:hAnsi="Arial"/>
          <w:sz w:val="18"/>
          <w:szCs w:val="18"/>
          <w:color w:val="auto"/>
        </w:rPr>
        <w:t>” means the Company’s or a business unit’s net sales for the Performance Period, determined in accordance with generally accepted accounting principles.</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Rule 16b-3</w:t>
      </w:r>
      <w:r>
        <w:rPr>
          <w:rFonts w:ascii="Arial" w:cs="Arial" w:eastAsia="Arial" w:hAnsi="Arial"/>
          <w:sz w:val="15"/>
          <w:szCs w:val="15"/>
          <w:color w:val="auto"/>
        </w:rPr>
        <w:t>” means Rule 16b-3 of the Exchange Act or any successor to Rule 16b-3, as in effect when discretion is being exercised with respect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to the Plan.</w:t>
      </w:r>
    </w:p>
    <w:p>
      <w:pPr>
        <w:spacing w:after="0" w:line="164" w:lineRule="exact"/>
        <w:rPr>
          <w:rFonts w:ascii="Arial" w:cs="Arial" w:eastAsia="Arial" w:hAnsi="Arial"/>
          <w:sz w:val="15"/>
          <w:szCs w:val="15"/>
          <w:color w:val="auto"/>
        </w:rPr>
      </w:pPr>
    </w:p>
    <w:p>
      <w:pPr>
        <w:ind w:left="1360" w:hanging="439"/>
        <w:spacing w:after="0"/>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Securities Exchange Act of 1934, as amended.</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Stockholder Return</w:t>
      </w:r>
      <w:r>
        <w:rPr>
          <w:rFonts w:ascii="Arial" w:cs="Arial" w:eastAsia="Arial" w:hAnsi="Arial"/>
          <w:sz w:val="16"/>
          <w:szCs w:val="16"/>
          <w:color w:val="auto"/>
        </w:rPr>
        <w:t>” means the total return (change in share price plus reinvestment of any dividends) of a share of the Company’s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245" w:lineRule="exact"/>
        <w:rPr>
          <w:rFonts w:ascii="Arial" w:cs="Arial" w:eastAsia="Arial" w:hAnsi="Arial"/>
          <w:sz w:val="16"/>
          <w:szCs w:val="16"/>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60" w:firstLine="921"/>
        <w:spacing w:after="0" w:line="306" w:lineRule="auto"/>
        <w:tabs>
          <w:tab w:leader="none" w:pos="11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Subject to the provisions of Section 13 of the Plan, the maximum aggregate number of Shares which may be issued under the Plan is equal to 15,500,000 Shares plus that number of shares remaining for issuance under the 2008 Plan as of June 10, 2010, not to exceed 500,000 shares. No more than 2,500,000 of the Shares available under the Plan may be issued pursuant to Awards that are not Options.</w:t>
      </w:r>
    </w:p>
    <w:p>
      <w:pPr>
        <w:spacing w:after="0" w:line="106" w:lineRule="exact"/>
        <w:rPr>
          <w:rFonts w:ascii="Arial" w:cs="Arial" w:eastAsia="Arial" w:hAnsi="Arial"/>
          <w:sz w:val="16"/>
          <w:szCs w:val="16"/>
          <w:color w:val="auto"/>
        </w:rPr>
      </w:pPr>
    </w:p>
    <w:p>
      <w:pPr>
        <w:ind w:right="100" w:firstLine="921"/>
        <w:spacing w:after="0" w:line="256"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Shares may be authorized, but unissued, or reacquired Common Stock. If an Award expires or becomes unexercisable without having been exercised in full, or with respect to Restricted Stock or Restricted Stock Units, is forfeited to or repurchased by the Company, the unpurchased Shares (or for Awards other than Options, the forfeited or repurchased Shares) which were subject thereto will become available for future grant or sale under the Plan (unless the Plan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terminated). Shares that have actually been issued under the Plan under any Award will not be returned to the Plan and will not become available for future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distribution under the Plan; provided, however, that if unvested Shares of Restricted Stock or Restricted Stock Units are repurchased by the Company or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forfeited to the Company, such Shares will become available for future grant under the Plan. Shares used to pay the tax and exercise price of an Award will not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become available for future grant or sale under the Plan. To the extent an Award under the Plan is paid out in cash rather than Shares, such cash payment will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result in reducing the number of Shares available for issuance under the Plan. Notwithstanding the foregoing and, subject to adjustment provided in Section 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maximum number of Shares that may be issued upon the exercise of Incentive Stock Options shall equal the aggregate Share number stated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3(a), plus, to the extent allowable under Section 422 of the Code, any Shares that become available for issuance under the Plan under this Section 3(b).</w:t>
      </w:r>
    </w:p>
    <w:p>
      <w:pPr>
        <w:spacing w:after="0" w:line="269"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2"/>
          <w:numId w:val="46"/>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The Plan may be administered by different Committees with respect to different groups of Employees.</w:t>
      </w:r>
    </w:p>
    <w:p>
      <w:pPr>
        <w:spacing w:after="0" w:line="194" w:lineRule="exact"/>
        <w:rPr>
          <w:rFonts w:ascii="Arial" w:cs="Arial" w:eastAsia="Arial" w:hAnsi="Arial"/>
          <w:sz w:val="16"/>
          <w:szCs w:val="16"/>
          <w:color w:val="auto"/>
        </w:rPr>
      </w:pPr>
    </w:p>
    <w:p>
      <w:pPr>
        <w:ind w:firstLine="1492"/>
        <w:spacing w:after="0" w:line="259" w:lineRule="auto"/>
        <w:tabs>
          <w:tab w:leader="none" w:pos="1742"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Plan shall be administered by a Committee of two or more “outside directors” within the meaning of Section 162(m) of the Code.</w:t>
      </w:r>
    </w:p>
    <w:p>
      <w:pPr>
        <w:spacing w:after="0" w:line="140" w:lineRule="exact"/>
        <w:rPr>
          <w:rFonts w:ascii="Arial" w:cs="Arial" w:eastAsia="Arial" w:hAnsi="Arial"/>
          <w:sz w:val="18"/>
          <w:szCs w:val="18"/>
          <w:color w:val="auto"/>
        </w:rPr>
      </w:pPr>
    </w:p>
    <w:p>
      <w:pPr>
        <w:ind w:right="580" w:firstLine="1492"/>
        <w:spacing w:after="0" w:line="268" w:lineRule="auto"/>
        <w:tabs>
          <w:tab w:leader="none" w:pos="1791"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shall be structured to satisfy the requirements for exemption under Rule 16b-3.</w:t>
      </w:r>
    </w:p>
    <w:p>
      <w:pPr>
        <w:spacing w:after="0" w:line="131" w:lineRule="exact"/>
        <w:rPr>
          <w:rFonts w:ascii="Arial" w:cs="Arial" w:eastAsia="Arial" w:hAnsi="Arial"/>
          <w:sz w:val="18"/>
          <w:szCs w:val="18"/>
          <w:color w:val="auto"/>
        </w:rPr>
      </w:pPr>
    </w:p>
    <w:p>
      <w:pPr>
        <w:ind w:right="580" w:firstLine="1492"/>
        <w:spacing w:after="0" w:line="268" w:lineRule="auto"/>
        <w:tabs>
          <w:tab w:leader="none" w:pos="1781"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shall be administered by (A) the Board or (B) a Committee, which committee shall be constituted to satisfy Applicable Laws.</w:t>
      </w:r>
    </w:p>
    <w:p>
      <w:pPr>
        <w:spacing w:after="0" w:line="131" w:lineRule="exact"/>
        <w:rPr>
          <w:rFonts w:ascii="Arial" w:cs="Arial" w:eastAsia="Arial" w:hAnsi="Arial"/>
          <w:sz w:val="18"/>
          <w:szCs w:val="18"/>
          <w:color w:val="auto"/>
        </w:rPr>
      </w:pPr>
    </w:p>
    <w:p>
      <w:pPr>
        <w:ind w:right="60" w:firstLine="921"/>
        <w:spacing w:after="0" w:line="268" w:lineRule="auto"/>
        <w:tabs>
          <w:tab w:leader="none" w:pos="1161"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2(r) of the Plan;</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select the Employees to whom Awards may be granted hereunder;</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granted hereunder;</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0" w:name="page61"/>
    <w:bookmarkEnd w:id="60"/>
    <w:p>
      <w:pPr>
        <w:ind w:left="1740" w:hanging="248"/>
        <w:spacing w:after="0"/>
        <w:tabs>
          <w:tab w:leader="none" w:pos="1740" w:val="left"/>
        </w:tabs>
        <w:numPr>
          <w:ilvl w:val="2"/>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approve forms of agreement for use under the Plan;</w:t>
      </w:r>
    </w:p>
    <w:p>
      <w:pPr>
        <w:spacing w:after="0" w:line="171" w:lineRule="exact"/>
        <w:rPr>
          <w:rFonts w:ascii="Arial" w:cs="Arial" w:eastAsia="Arial" w:hAnsi="Arial"/>
          <w:sz w:val="18"/>
          <w:szCs w:val="18"/>
          <w:color w:val="auto"/>
        </w:rPr>
      </w:pPr>
    </w:p>
    <w:p>
      <w:pPr>
        <w:ind w:right="300" w:firstLine="1492"/>
        <w:spacing w:after="0" w:line="259" w:lineRule="auto"/>
        <w:tabs>
          <w:tab w:leader="none" w:pos="1781"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With respect to Options, such terms and conditions include, but are not limited to, the exercise price, the time or times when Options may be exercised, based in each case on such factors as the Administrator, in its sole discretion, shall determine;</w:t>
      </w:r>
    </w:p>
    <w:p>
      <w:pPr>
        <w:spacing w:after="0" w:line="140" w:lineRule="exact"/>
        <w:rPr>
          <w:rFonts w:ascii="Arial" w:cs="Arial" w:eastAsia="Arial" w:hAnsi="Arial"/>
          <w:sz w:val="18"/>
          <w:szCs w:val="18"/>
          <w:color w:val="auto"/>
        </w:rPr>
      </w:pPr>
    </w:p>
    <w:p>
      <w:pPr>
        <w:ind w:left="1840" w:hanging="348"/>
        <w:spacing w:after="0"/>
        <w:tabs>
          <w:tab w:leader="none" w:pos="18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hereunder;</w:t>
      </w:r>
    </w:p>
    <w:p>
      <w:pPr>
        <w:spacing w:after="0" w:line="171" w:lineRule="exact"/>
        <w:rPr>
          <w:rFonts w:ascii="Arial" w:cs="Arial" w:eastAsia="Arial" w:hAnsi="Arial"/>
          <w:sz w:val="18"/>
          <w:szCs w:val="18"/>
          <w:color w:val="auto"/>
        </w:rPr>
      </w:pPr>
    </w:p>
    <w:p>
      <w:pPr>
        <w:ind w:right="640" w:firstLine="1492"/>
        <w:spacing w:after="0" w:line="268" w:lineRule="auto"/>
        <w:tabs>
          <w:tab w:leader="none" w:pos="1879"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31" w:lineRule="exact"/>
        <w:rPr>
          <w:rFonts w:ascii="Arial" w:cs="Arial" w:eastAsia="Arial" w:hAnsi="Arial"/>
          <w:sz w:val="18"/>
          <w:szCs w:val="18"/>
          <w:color w:val="auto"/>
        </w:rPr>
      </w:pPr>
    </w:p>
    <w:p>
      <w:pPr>
        <w:ind w:right="220" w:firstLine="1492"/>
        <w:spacing w:after="0" w:line="268" w:lineRule="auto"/>
        <w:tabs>
          <w:tab w:leader="none" w:pos="1781"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modify or amend each Award (not inconsistent with the terms of the Plan), including the discretionary authority to extend the post-termination exercisability period of Options longer than is otherwise provided for in the Plan;</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2"/>
          <w:numId w:val="47"/>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Award previously granted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Administrator;</w:t>
      </w:r>
    </w:p>
    <w:p>
      <w:pPr>
        <w:spacing w:after="0" w:line="164" w:lineRule="exact"/>
        <w:rPr>
          <w:rFonts w:ascii="Arial" w:cs="Arial" w:eastAsia="Arial" w:hAnsi="Arial"/>
          <w:sz w:val="16"/>
          <w:szCs w:val="16"/>
          <w:color w:val="auto"/>
        </w:rPr>
      </w:pPr>
    </w:p>
    <w:p>
      <w:pPr>
        <w:jc w:val="both"/>
        <w:ind w:firstLine="1492"/>
        <w:spacing w:after="0" w:line="323" w:lineRule="auto"/>
        <w:tabs>
          <w:tab w:leader="none" w:pos="1781" w:val="left"/>
        </w:tabs>
        <w:numPr>
          <w:ilvl w:val="2"/>
          <w:numId w:val="47"/>
        </w:numPr>
        <w:rPr>
          <w:rFonts w:ascii="Arial" w:cs="Arial" w:eastAsia="Arial" w:hAnsi="Arial"/>
          <w:sz w:val="15"/>
          <w:szCs w:val="15"/>
          <w:color w:val="auto"/>
        </w:rPr>
      </w:pPr>
      <w:r>
        <w:rPr>
          <w:rFonts w:ascii="Arial" w:cs="Arial" w:eastAsia="Arial" w:hAnsi="Arial"/>
          <w:sz w:val="15"/>
          <w:szCs w:val="15"/>
          <w:color w:val="auto"/>
        </w:rPr>
        <w:t>to allow Participants to satisfy withholding tax obligations by electing to have the Company withhold from the Shares to be issued upon exercise or vesting of an Award that number of Shares having a Fair Market Value equal to the minimum amount required to be withheld (but no more). The Fair Market Value of any Shares to be withheld shall be determined on the date that the amount of tax to be withheld is to be determined. All elections by a Participant to have Shares withheld for this purpose shall be made in such form and under such conditions as the Administrator may deem necessary or advisable;</w:t>
      </w:r>
    </w:p>
    <w:p>
      <w:pPr>
        <w:spacing w:after="0" w:line="97" w:lineRule="exact"/>
        <w:rPr>
          <w:rFonts w:ascii="Arial" w:cs="Arial" w:eastAsia="Arial" w:hAnsi="Arial"/>
          <w:sz w:val="15"/>
          <w:szCs w:val="15"/>
          <w:color w:val="auto"/>
        </w:rPr>
      </w:pPr>
    </w:p>
    <w:p>
      <w:pPr>
        <w:ind w:left="1840" w:hanging="348"/>
        <w:spacing w:after="0"/>
        <w:tabs>
          <w:tab w:leader="none" w:pos="18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determine the terms and restrictions applicable to Awards; and</w:t>
      </w:r>
    </w:p>
    <w:p>
      <w:pPr>
        <w:spacing w:after="0" w:line="171" w:lineRule="exact"/>
        <w:rPr>
          <w:rFonts w:ascii="Arial" w:cs="Arial" w:eastAsia="Arial" w:hAnsi="Arial"/>
          <w:sz w:val="18"/>
          <w:szCs w:val="18"/>
          <w:color w:val="auto"/>
        </w:rPr>
      </w:pPr>
    </w:p>
    <w:p>
      <w:pPr>
        <w:ind w:left="1880" w:hanging="388"/>
        <w:spacing w:after="0"/>
        <w:tabs>
          <w:tab w:leader="none" w:pos="18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71" w:lineRule="exact"/>
        <w:rPr>
          <w:rFonts w:ascii="Arial" w:cs="Arial" w:eastAsia="Arial" w:hAnsi="Arial"/>
          <w:sz w:val="18"/>
          <w:szCs w:val="18"/>
          <w:color w:val="auto"/>
        </w:rPr>
      </w:pPr>
    </w:p>
    <w:p>
      <w:pPr>
        <w:ind w:right="820" w:firstLine="921"/>
        <w:spacing w:after="0" w:line="268" w:lineRule="auto"/>
        <w:tabs>
          <w:tab w:leader="none" w:pos="115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Participants and any other holders of Awards and shall be given the maximum deference permitted by law.</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may be granted only to Employees.</w:t>
      </w:r>
    </w:p>
    <w:p>
      <w:pPr>
        <w:spacing w:after="0" w:line="171" w:lineRule="exact"/>
        <w:rPr>
          <w:rFonts w:ascii="Arial" w:cs="Arial" w:eastAsia="Arial" w:hAnsi="Arial"/>
          <w:sz w:val="18"/>
          <w:szCs w:val="18"/>
          <w:color w:val="auto"/>
        </w:rPr>
      </w:pPr>
    </w:p>
    <w:p>
      <w:pPr>
        <w:ind w:right="180" w:firstLine="464"/>
        <w:spacing w:after="0" w:line="259"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Neither the Plan nor any Award shall confer upon a Participant any right with respect to continuing the Participant’s employment with the Company or its Subsidiaries, nor shall they interfere in any way with the Participant’s right or the Company’s or Subsidiary’s right, as the case may be, to terminate such employment at any time, with or without cause or notice.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61" w:name="page62"/>
    <w:bookmarkEnd w:id="61"/>
    <w:p>
      <w:pPr>
        <w:ind w:right="340" w:firstLine="464"/>
        <w:spacing w:after="0" w:line="268" w:lineRule="auto"/>
        <w:tabs>
          <w:tab w:leader="none" w:pos="63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of Plan</w:t>
      </w:r>
      <w:r>
        <w:rPr>
          <w:rFonts w:ascii="Arial" w:cs="Arial" w:eastAsia="Arial" w:hAnsi="Arial"/>
          <w:sz w:val="18"/>
          <w:szCs w:val="18"/>
          <w:color w:val="auto"/>
        </w:rPr>
        <w:t>. The Plan, as amended and restated, shall become effective on June 10, 2010 and continue in effect until June 28, 2013, expiring at the close of business, pacific daylight time, on June 28, 2013.</w:t>
      </w:r>
    </w:p>
    <w:p>
      <w:pPr>
        <w:spacing w:after="0" w:line="212" w:lineRule="exact"/>
        <w:rPr>
          <w:rFonts w:ascii="Arial" w:cs="Arial" w:eastAsia="Arial" w:hAnsi="Arial"/>
          <w:sz w:val="18"/>
          <w:szCs w:val="18"/>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80" w:firstLine="921"/>
        <w:spacing w:after="0" w:line="255" w:lineRule="auto"/>
        <w:tabs>
          <w:tab w:leader="none" w:pos="1152"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xml:space="preserve">. Subject to the terms and provisions of the Plan, Options may be granted to Employees at any time and from time to time as determined by the Administrator in its sole discretion. The Administrator, in its sole discretion, shall determine the number of Shares subject to each Option, provided that during any Fiscal Year, no Participant shall be granted Options covering more than a total of 1,500,000 Shares;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limit shall be 3,000,000 Shares in the Participant’s first Fiscal Year of Company service. The Administrator may grant Incentive Stock Options, Nonstatutory Stock Options, or a combination thereof.</w:t>
      </w:r>
    </w:p>
    <w:p>
      <w:pPr>
        <w:spacing w:after="0" w:line="142" w:lineRule="exact"/>
        <w:rPr>
          <w:rFonts w:ascii="Arial" w:cs="Arial" w:eastAsia="Arial" w:hAnsi="Arial"/>
          <w:sz w:val="18"/>
          <w:szCs w:val="18"/>
          <w:color w:val="auto"/>
        </w:rPr>
      </w:pPr>
    </w:p>
    <w:p>
      <w:pPr>
        <w:ind w:firstLine="921"/>
        <w:spacing w:after="0" w:line="291" w:lineRule="auto"/>
        <w:tabs>
          <w:tab w:leader="none" w:pos="1161"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xml:space="preserve">. The term of each Option shall be stated in the Notice of Grant;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term shall be no longer than ten (10) years from the Date of Grant. Moreover, in the case of an Incentive Stock Option granted to a Participant who, at the time the Incentive Stock Option is granted, owns stock representing more than ten percent (10%) of the voting power of all classes of stock of the Company or any Parent or Subsidiary, the term of the Incentive Stock Option shall be no longer than five (5) years from the Date of Grant. Subject to the five (5) and ten (10) years limits set forth in the preceding sentence, the Administrator may, after an Option is granted, extend the maximum term of the Option. Unless otherwise determined by the Administrator, any extension of the term of an Option pursuant to this Section 8(b) shall comply with Code Section 409A.</w:t>
      </w:r>
    </w:p>
    <w:p>
      <w:pPr>
        <w:spacing w:after="0" w:line="120" w:lineRule="exact"/>
        <w:rPr>
          <w:rFonts w:ascii="Arial" w:cs="Arial" w:eastAsia="Arial" w:hAnsi="Arial"/>
          <w:sz w:val="16"/>
          <w:szCs w:val="16"/>
          <w:color w:val="auto"/>
        </w:rPr>
      </w:pPr>
    </w:p>
    <w:p>
      <w:pPr>
        <w:ind w:right="60" w:firstLine="921"/>
        <w:spacing w:after="0" w:line="255" w:lineRule="auto"/>
        <w:tabs>
          <w:tab w:leader="none" w:pos="1152"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 xml:space="preserve">. The per share exercise price for the Shares to be issued pursuant to exercise of an Option shall be determined by the Administrator and shall be no less than 100% of the Fair Market Value per share on the Date of Grant;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an Incentive Stock Option 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143"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Notwithstanding the foregoing, in the event that the Company or a Subsidiary consummates a transaction described in Section 424(a) of the Code (e.g., the acquisition of property or stock from an unrelated corporation), persons who become Employees on account of such transaction may be granted Options in substitution for options granted by their former employer. If such substitute Options are granted, the Administrator, in its sole discretion and consistent with Section 424(a) of the Code, may determine that such substitute Options shall have an exercise price less than one hundred percent (100%) of the Fair Market Value of the Shares on the Date of Grant.</w:t>
      </w:r>
    </w:p>
    <w:p>
      <w:pPr>
        <w:spacing w:after="0" w:line="143" w:lineRule="exact"/>
        <w:rPr>
          <w:sz w:val="20"/>
          <w:szCs w:val="20"/>
          <w:color w:val="auto"/>
        </w:rPr>
      </w:pPr>
    </w:p>
    <w:p>
      <w:pPr>
        <w:ind w:right="120" w:firstLine="921"/>
        <w:spacing w:after="0" w:line="286" w:lineRule="auto"/>
        <w:tabs>
          <w:tab w:leader="none" w:pos="1161"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No Repricing</w:t>
      </w:r>
      <w:r>
        <w:rPr>
          <w:rFonts w:ascii="Arial" w:cs="Arial" w:eastAsia="Arial" w:hAnsi="Arial"/>
          <w:sz w:val="16"/>
          <w:szCs w:val="16"/>
          <w:color w:val="auto"/>
        </w:rPr>
        <w:t>. The exercise price for an Option may not be reduced without the consent of the Company’s stockholders. This shall include, without limitation, a repricing of the Option as well as an Option exchange program whereby the Participant agrees to cancel an existing Option in exchange for</w:t>
      </w:r>
    </w:p>
    <w:p>
      <w:pPr>
        <w:ind w:left="240" w:hanging="232"/>
        <w:spacing w:after="0"/>
        <w:tabs>
          <w:tab w:leader="none" w:pos="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Awards with a lower exercise price, (b) a different type of Award, (c) cash, or (d) a combination of (a), (b) and/or (c).</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62" w:name="page63"/>
    <w:bookmarkEnd w:id="62"/>
    <w:p>
      <w:pPr>
        <w:ind w:right="380" w:firstLine="921"/>
        <w:spacing w:after="0" w:line="306" w:lineRule="auto"/>
        <w:tabs>
          <w:tab w:leader="none" w:pos="1152"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Waiting Period and Exercise Dates</w:t>
      </w:r>
      <w:r>
        <w:rPr>
          <w:rFonts w:ascii="Arial" w:cs="Arial" w:eastAsia="Arial" w:hAnsi="Arial"/>
          <w:sz w:val="16"/>
          <w:szCs w:val="16"/>
          <w:color w:val="auto"/>
        </w:rPr>
        <w:t>. 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 or until performance milestones are satisfied.</w:t>
      </w:r>
    </w:p>
    <w:p>
      <w:pPr>
        <w:spacing w:after="0" w:line="106" w:lineRule="exact"/>
        <w:rPr>
          <w:rFonts w:ascii="Arial" w:cs="Arial" w:eastAsia="Arial" w:hAnsi="Arial"/>
          <w:sz w:val="16"/>
          <w:szCs w:val="16"/>
          <w:color w:val="auto"/>
        </w:rPr>
      </w:pPr>
    </w:p>
    <w:p>
      <w:pPr>
        <w:ind w:right="20" w:firstLine="921"/>
        <w:spacing w:after="0" w:line="259" w:lineRule="auto"/>
        <w:tabs>
          <w:tab w:leader="none" w:pos="11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In the case of an Incentive Stock Option, the Administrator shall determine the acceptable form of consideration at the time of grant. Subject to Applicable Laws, such consideration may consist entirely of:</w:t>
      </w:r>
    </w:p>
    <w:p>
      <w:pPr>
        <w:spacing w:after="0" w:line="140" w:lineRule="exact"/>
        <w:rPr>
          <w:rFonts w:ascii="Arial" w:cs="Arial" w:eastAsia="Arial" w:hAnsi="Arial"/>
          <w:sz w:val="18"/>
          <w:szCs w:val="18"/>
          <w:color w:val="auto"/>
        </w:rPr>
      </w:pPr>
    </w:p>
    <w:p>
      <w:pPr>
        <w:ind w:left="1700" w:hanging="208"/>
        <w:spacing w:after="0"/>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check;</w:t>
      </w:r>
    </w:p>
    <w:p>
      <w:pPr>
        <w:spacing w:after="0" w:line="171" w:lineRule="exact"/>
        <w:rPr>
          <w:rFonts w:ascii="Arial" w:cs="Arial" w:eastAsia="Arial" w:hAnsi="Arial"/>
          <w:sz w:val="18"/>
          <w:szCs w:val="18"/>
          <w:color w:val="auto"/>
        </w:rPr>
      </w:pPr>
    </w:p>
    <w:p>
      <w:pPr>
        <w:ind w:right="80" w:firstLine="1492"/>
        <w:spacing w:after="0" w:line="259" w:lineRule="auto"/>
        <w:tabs>
          <w:tab w:leader="none" w:pos="1791" w:val="left"/>
        </w:tabs>
        <w:numPr>
          <w:ilvl w:val="1"/>
          <w:numId w:val="53"/>
        </w:numPr>
        <w:rPr>
          <w:rFonts w:ascii="Arial" w:cs="Arial" w:eastAsia="Arial" w:hAnsi="Arial"/>
          <w:sz w:val="18"/>
          <w:szCs w:val="18"/>
          <w:color w:val="auto"/>
        </w:rPr>
      </w:pPr>
      <w:r>
        <w:rPr>
          <w:rFonts w:ascii="Arial" w:cs="Arial" w:eastAsia="Arial" w:hAnsi="Arial"/>
          <w:sz w:val="18"/>
          <w:szCs w:val="18"/>
          <w:color w:val="auto"/>
        </w:rPr>
        <w:t>other Shares which (A) in the case of Shares acquired upon exercise of an option, have been owned by the Participant for more than six months on the date of surrender, and (B) have a Fair Market Value on the date of surrender equal to the aggregate exercise price of the Shares as to which said Option shall be exercised;</w:t>
      </w:r>
    </w:p>
    <w:p>
      <w:pPr>
        <w:spacing w:after="0" w:line="140" w:lineRule="exact"/>
        <w:rPr>
          <w:rFonts w:ascii="Arial" w:cs="Arial" w:eastAsia="Arial" w:hAnsi="Arial"/>
          <w:sz w:val="18"/>
          <w:szCs w:val="18"/>
          <w:color w:val="auto"/>
        </w:rPr>
      </w:pPr>
    </w:p>
    <w:p>
      <w:pPr>
        <w:ind w:firstLine="1492"/>
        <w:spacing w:after="0" w:line="332" w:lineRule="auto"/>
        <w:tabs>
          <w:tab w:leader="none" w:pos="1781"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delivery to the Company of (A) a properly executed exercise notice together with such other documentation as the Administrator and the broker, if applicable, shall require to effect an exercise of the Option and (B) the sale proceeds required to pay the exercise price;</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171" w:lineRule="exact"/>
        <w:rPr>
          <w:rFonts w:ascii="Arial" w:cs="Arial" w:eastAsia="Arial" w:hAnsi="Arial"/>
          <w:sz w:val="18"/>
          <w:szCs w:val="18"/>
          <w:color w:val="auto"/>
        </w:rPr>
      </w:pPr>
    </w:p>
    <w:p>
      <w:pPr>
        <w:ind w:right="500" w:firstLine="1492"/>
        <w:spacing w:after="0" w:line="268" w:lineRule="auto"/>
        <w:tabs>
          <w:tab w:leader="none" w:pos="1781"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 provided, however, that in no case will loans be permitted as consideration for exercising an Option hereunder.</w:t>
      </w:r>
    </w:p>
    <w:p>
      <w:pPr>
        <w:spacing w:after="0" w:line="131" w:lineRule="exact"/>
        <w:rPr>
          <w:rFonts w:ascii="Arial" w:cs="Arial" w:eastAsia="Arial" w:hAnsi="Arial"/>
          <w:sz w:val="18"/>
          <w:szCs w:val="18"/>
          <w:color w:val="auto"/>
        </w:rPr>
      </w:pPr>
    </w:p>
    <w:p>
      <w:pPr>
        <w:ind w:right="240" w:firstLine="921"/>
        <w:spacing w:after="0" w:line="268" w:lineRule="auto"/>
        <w:tabs>
          <w:tab w:leader="none" w:pos="116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Exercise of Option; Rights as a Stockholder</w:t>
      </w:r>
      <w:r>
        <w:rPr>
          <w:rFonts w:ascii="Arial" w:cs="Arial" w:eastAsia="Arial" w:hAnsi="Arial"/>
          <w:sz w:val="18"/>
          <w:szCs w:val="18"/>
          <w:color w:val="auto"/>
        </w:rPr>
        <w:t>. Any Option granted hereunder shall be exercisable according to the terms of the Plan and at such times and under such conditions as determined by the Administrator and set forth in the Option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Option shall be deemed exercised when the Company receives: (i) written or electronic notice of exercise (in accordance with the Option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from the person entitled to exercise the Option, and (ii) full payment for the Shares with respect to which the Option is exercised. Full payment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 of any consideration and method of payment authorized by the Administrator and permitted by the Option Agreement and the Plan. Shares issued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of an Option shall be issued in the name of the Participant. Until the stock certificate evidencing such Shares is issued (as evidenced by the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entry on the books of the Company or of a duly authorized transfer agent of the Company), no right to vote or receive dividends or any other rights as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stockholder shall exist with respect to the optioned stock, notwithstanding the exercise of the Option. The Company shall issue (or cause to be issued) such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certificate promptly after the Option is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63" w:name="page64"/>
    <w:bookmarkEnd w:id="63"/>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exercised. No adjustment will be made for a dividend or other right for which the record date is prior to the date the stock certificate is issued, except as provided in Section 13 of the Plan.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Exercising an Option in any manner shall decrease the number of Shares thereafter available for sale under the Option, by the number of Shares as to which the Option is exercised.</w:t>
      </w:r>
    </w:p>
    <w:p>
      <w:pPr>
        <w:spacing w:after="0" w:line="132" w:lineRule="exact"/>
        <w:rPr>
          <w:sz w:val="20"/>
          <w:szCs w:val="20"/>
          <w:color w:val="auto"/>
        </w:rPr>
      </w:pPr>
    </w:p>
    <w:p>
      <w:pPr>
        <w:ind w:right="60" w:firstLine="921"/>
        <w:spacing w:after="0" w:line="253" w:lineRule="auto"/>
        <w:tabs>
          <w:tab w:leader="none" w:pos="116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an Employee</w:t>
      </w:r>
      <w:r>
        <w:rPr>
          <w:rFonts w:ascii="Arial" w:cs="Arial" w:eastAsia="Arial" w:hAnsi="Arial"/>
          <w:sz w:val="18"/>
          <w:szCs w:val="18"/>
          <w:color w:val="auto"/>
        </w:rPr>
        <w:t>. If a Participant ceases to be an Employee, other than upon the Participant’s death or Disability, the Participant may exercise his or her Option within such period of time as is specified in the Option Agreement to the extent that the Option is vested on the date of termination (but in no event later than the expiration of the term of such Option as set forth in the Option Agreement). In the absence of a specified time in the Option Agreement, the Option shall remain exercisable for three (3) months following the Participant’s termination. If, on the date of termination, the Participant is not vested as to his or her entire Option, the Shares covered by the unvested portion of the Option shall revert to the Plan. If, after termination, the Participant does not exercise his or her Option within the time specified by the Administrator, the Option shall terminate, and the Shares covered by such Option shall revert to the Plan.</w:t>
      </w:r>
    </w:p>
    <w:p>
      <w:pPr>
        <w:spacing w:after="0" w:line="147" w:lineRule="exact"/>
        <w:rPr>
          <w:rFonts w:ascii="Arial" w:cs="Arial" w:eastAsia="Arial" w:hAnsi="Arial"/>
          <w:sz w:val="18"/>
          <w:szCs w:val="18"/>
          <w:color w:val="auto"/>
        </w:rPr>
      </w:pPr>
    </w:p>
    <w:p>
      <w:pPr>
        <w:ind w:right="40" w:firstLine="921"/>
        <w:spacing w:after="0" w:line="294" w:lineRule="auto"/>
        <w:tabs>
          <w:tab w:leader="none" w:pos="112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a Participant ceases to be an Employee as a result of the Participant’s Disability, the Participant may exercise his or her Option for twelve (12) months following the Participant’s termination (but in no event may the Option be exercised later than the expiration of the term of such Option as set forth in the Option Agreement). If, on the date of termination, the Participant is not vested as to his or her entire Option, the Shares covered by the unvested portion of the Option shall revert to the Plan. If, after termination, the Participant does not exercise his or her Option within the time specified herein, the Option shall terminate, and the Shares covered by such Option shall revert to the Plan.</w:t>
      </w:r>
    </w:p>
    <w:p>
      <w:pPr>
        <w:spacing w:after="0" w:line="115" w:lineRule="exact"/>
        <w:rPr>
          <w:rFonts w:ascii="Arial" w:cs="Arial" w:eastAsia="Arial" w:hAnsi="Arial"/>
          <w:sz w:val="16"/>
          <w:szCs w:val="16"/>
          <w:color w:val="auto"/>
        </w:rPr>
      </w:pPr>
    </w:p>
    <w:p>
      <w:pPr>
        <w:ind w:right="20" w:firstLine="921"/>
        <w:spacing w:after="0" w:line="291" w:lineRule="auto"/>
        <w:tabs>
          <w:tab w:leader="none" w:pos="112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an Employee, the Option may be exercised for twelve (12) months following Participant’s death (but in no event may the option be exercised later than the expiration of the term of such Option as set forth in the Option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If the Option is not so exercised within the time specified herein, the Option shall terminate, and the Shares covered by such Option shall revert to the Plan.</w:t>
      </w:r>
    </w:p>
    <w:p>
      <w:pPr>
        <w:spacing w:after="0" w:line="120" w:lineRule="exact"/>
        <w:rPr>
          <w:rFonts w:ascii="Arial" w:cs="Arial" w:eastAsia="Arial" w:hAnsi="Arial"/>
          <w:sz w:val="16"/>
          <w:szCs w:val="16"/>
          <w:color w:val="auto"/>
        </w:rPr>
      </w:pPr>
    </w:p>
    <w:p>
      <w:pPr>
        <w:ind w:right="140" w:firstLine="921"/>
        <w:spacing w:after="0" w:line="255" w:lineRule="auto"/>
        <w:tabs>
          <w:tab w:leader="none" w:pos="116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ISO $100,000 Rule</w:t>
      </w:r>
      <w:r>
        <w:rPr>
          <w:rFonts w:ascii="Arial" w:cs="Arial" w:eastAsia="Arial" w:hAnsi="Arial"/>
          <w:sz w:val="18"/>
          <w:szCs w:val="18"/>
          <w:color w:val="auto"/>
        </w:rPr>
        <w:t>. Each Option shall be designated in the Notice of Grant as either an Incentive Stock Option or a Nonstatutory Stock Option. However, notwithstanding such designations, to the extent that the aggregate Fair Market Value of Shares subject to a Participant’s Incentive Stock Options granted by the Company, any Parent or Subsidiary, which become exercisable for the first time during any calendar year (under all plans of the Company or any Parent or Subsidiary) exceeds $100,000, such excess Options shall be treated as Nonstatutory Stock Options. For purposes of this Section 8(k), Incentive Stock Options shall be taken into account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order in which they were granted, and the Fair Market Value of the Shares shall be determined as of the time of grant.</w:t>
      </w:r>
    </w:p>
    <w:p>
      <w:pPr>
        <w:spacing w:after="0" w:line="252"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40" w:firstLine="921"/>
        <w:spacing w:after="0" w:line="323" w:lineRule="auto"/>
        <w:tabs>
          <w:tab w:leader="none" w:pos="1152" w:val="left"/>
        </w:tabs>
        <w:numPr>
          <w:ilvl w:val="1"/>
          <w:numId w:val="55"/>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w:t>
      </w:r>
      <w:r>
        <w:rPr>
          <w:rFonts w:ascii="Arial" w:cs="Arial" w:eastAsia="Arial" w:hAnsi="Arial"/>
          <w:sz w:val="15"/>
          <w:szCs w:val="15"/>
          <w:color w:val="auto"/>
        </w:rPr>
        <w:t xml:space="preserve">. Subject to the terms and provisions of the Plan, the Administrator, at any time and from time to time, may grant Shares of Restricted Stock to Employees as the Administrator, in its sole discretion, shall determine. The Administrator, in its sole discretion, shall determine the number of Shares to be granted to each Participant, provided that during any Fiscal Year, no Participant shall receive more than a total of 300,000 Shares of Restricted Stock (and/or Restricted Stock Units); </w:t>
      </w:r>
      <w:r>
        <w:rPr>
          <w:rFonts w:ascii="Arial" w:cs="Arial" w:eastAsia="Arial" w:hAnsi="Arial"/>
          <w:sz w:val="15"/>
          <w:szCs w:val="15"/>
          <w:i w:val="1"/>
          <w:iCs w:val="1"/>
          <w:color w:val="auto"/>
        </w:rPr>
        <w:t>provided, however</w:t>
      </w:r>
      <w:r>
        <w:rPr>
          <w:rFonts w:ascii="Arial" w:cs="Arial" w:eastAsia="Arial" w:hAnsi="Arial"/>
          <w:sz w:val="15"/>
          <w:szCs w:val="15"/>
          <w:color w:val="auto"/>
        </w:rPr>
        <w:t>, that such limit shall be 600,000 Shares in the Participant’s first Fiscal Year of Company service.</w:t>
      </w:r>
    </w:p>
    <w:p>
      <w:pPr>
        <w:spacing w:after="0" w:line="97" w:lineRule="exact"/>
        <w:rPr>
          <w:rFonts w:ascii="Arial" w:cs="Arial" w:eastAsia="Arial" w:hAnsi="Arial"/>
          <w:sz w:val="15"/>
          <w:szCs w:val="15"/>
          <w:color w:val="auto"/>
        </w:rPr>
      </w:pPr>
    </w:p>
    <w:p>
      <w:pPr>
        <w:ind w:right="200" w:firstLine="921"/>
        <w:spacing w:after="0" w:line="335" w:lineRule="auto"/>
        <w:tabs>
          <w:tab w:leader="none" w:pos="1161" w:val="left"/>
        </w:tabs>
        <w:numPr>
          <w:ilvl w:val="1"/>
          <w:numId w:val="55"/>
        </w:numPr>
        <w:rPr>
          <w:rFonts w:ascii="Arial" w:cs="Arial" w:eastAsia="Arial" w:hAnsi="Arial"/>
          <w:sz w:val="15"/>
          <w:szCs w:val="15"/>
          <w:color w:val="auto"/>
        </w:rPr>
      </w:pPr>
      <w:r>
        <w:rPr>
          <w:rFonts w:ascii="Arial" w:cs="Arial" w:eastAsia="Arial" w:hAnsi="Arial"/>
          <w:sz w:val="15"/>
          <w:szCs w:val="15"/>
          <w:u w:val="single" w:color="auto"/>
          <w:color w:val="auto"/>
        </w:rPr>
        <w:t>Restricted Stock Agreement</w:t>
      </w:r>
      <w:r>
        <w:rPr>
          <w:rFonts w:ascii="Arial" w:cs="Arial" w:eastAsia="Arial" w:hAnsi="Arial"/>
          <w:sz w:val="15"/>
          <w:szCs w:val="15"/>
          <w:color w:val="auto"/>
        </w:rPr>
        <w:t>. Each Award of Restricted Stock shall be evidenced by an Award Agreement that shall specify the Period of Restriction, the number of Shares granted, and such other terms and conditions as the Administrator, in its sole discretion, shall determine. Unless the Administrator determines otherwise, Shares of Restricted Stock shall be held by the Company as escrow agent until the restrictions on such Shares have lapsed.</w:t>
      </w:r>
    </w:p>
    <w:p>
      <w:pPr>
        <w:spacing w:after="0" w:line="88" w:lineRule="exact"/>
        <w:rPr>
          <w:rFonts w:ascii="Arial" w:cs="Arial" w:eastAsia="Arial" w:hAnsi="Arial"/>
          <w:sz w:val="15"/>
          <w:szCs w:val="15"/>
          <w:color w:val="auto"/>
        </w:rPr>
      </w:pPr>
    </w:p>
    <w:p>
      <w:pPr>
        <w:ind w:right="360" w:firstLine="921"/>
        <w:spacing w:after="0" w:line="268" w:lineRule="auto"/>
        <w:tabs>
          <w:tab w:leader="none" w:pos="1152"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9, Shares of Restricted Stock may not be sold, transferred, pledged, assigned, or otherwise alienated or hypothecated until the end of the applicable Period of Restriction.</w:t>
      </w:r>
    </w:p>
    <w:p>
      <w:pPr>
        <w:spacing w:after="0" w:line="131" w:lineRule="exact"/>
        <w:rPr>
          <w:rFonts w:ascii="Arial" w:cs="Arial" w:eastAsia="Arial" w:hAnsi="Arial"/>
          <w:sz w:val="18"/>
          <w:szCs w:val="18"/>
          <w:color w:val="auto"/>
        </w:rPr>
      </w:pPr>
    </w:p>
    <w:p>
      <w:pPr>
        <w:ind w:right="320" w:firstLine="921"/>
        <w:spacing w:after="0" w:line="268" w:lineRule="auto"/>
        <w:tabs>
          <w:tab w:leader="none" w:pos="1161"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 in accordance with this Section 9(d).</w:t>
      </w:r>
    </w:p>
    <w:p>
      <w:pPr>
        <w:spacing w:after="0" w:line="131" w:lineRule="exact"/>
        <w:rPr>
          <w:rFonts w:ascii="Arial" w:cs="Arial" w:eastAsia="Arial" w:hAnsi="Arial"/>
          <w:sz w:val="18"/>
          <w:szCs w:val="18"/>
          <w:color w:val="auto"/>
        </w:rPr>
      </w:pPr>
    </w:p>
    <w:p>
      <w:pPr>
        <w:jc w:val="both"/>
        <w:ind w:right="360" w:firstLine="1492"/>
        <w:spacing w:after="0" w:line="259" w:lineRule="auto"/>
        <w:tabs>
          <w:tab w:leader="none" w:pos="1693"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The Administrator may set restrictions based upon continued employment or service with the Company and its affiliates, the achievement of specific performance objectives (Company-wide, departmental, or individual), applicable federal or state securities laws, or any other basis determined by the Administrator in its discretion.</w:t>
      </w:r>
    </w:p>
    <w:p>
      <w:pPr>
        <w:spacing w:after="0" w:line="140" w:lineRule="exact"/>
        <w:rPr>
          <w:rFonts w:ascii="Arial" w:cs="Arial" w:eastAsia="Arial" w:hAnsi="Arial"/>
          <w:sz w:val="18"/>
          <w:szCs w:val="18"/>
          <w:color w:val="auto"/>
        </w:rPr>
      </w:pPr>
    </w:p>
    <w:p>
      <w:pPr>
        <w:ind w:firstLine="1492"/>
        <w:spacing w:after="0" w:line="254" w:lineRule="auto"/>
        <w:tabs>
          <w:tab w:leader="none" w:pos="1742"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Section 162(m) Performance Restrictions</w:t>
      </w:r>
      <w:r>
        <w:rPr>
          <w:rFonts w:ascii="Arial" w:cs="Arial" w:eastAsia="Arial" w:hAnsi="Arial"/>
          <w:sz w:val="18"/>
          <w:szCs w:val="18"/>
          <w:color w:val="auto"/>
        </w:rPr>
        <w:t>. For purposes of qualifying grants of Restricted Stock as “performance-based compensation” under Section 162(m) of the Code, the Administrator, in its discretion, may set restrictions based upon the achievement of Performance Goals. The Performance Goals shall be set by the Administrator on or before the latest date permissible to enable the Restricted Stock to qualify as “performance-based compensation” under Section 162(m) of the Code. In granting Restricted Stock which is intended to qualify under Section 162(m) of the Code, the Administrator shall follow any procedures determined by it from time to time to be necessary or appropriate to ensure qualification of the Restricted Stock under Section 162(m) of the Code (e.g., in determining the Performance Goals).</w:t>
      </w:r>
    </w:p>
    <w:p>
      <w:pPr>
        <w:spacing w:after="0" w:line="144" w:lineRule="exact"/>
        <w:rPr>
          <w:rFonts w:ascii="Arial" w:cs="Arial" w:eastAsia="Arial" w:hAnsi="Arial"/>
          <w:sz w:val="18"/>
          <w:szCs w:val="18"/>
          <w:color w:val="auto"/>
        </w:rPr>
      </w:pPr>
    </w:p>
    <w:p>
      <w:pPr>
        <w:ind w:right="20" w:firstLine="1492"/>
        <w:spacing w:after="0" w:line="268" w:lineRule="auto"/>
        <w:tabs>
          <w:tab w:leader="none" w:pos="1791"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Legend on Certificates</w:t>
      </w:r>
      <w:r>
        <w:rPr>
          <w:rFonts w:ascii="Arial" w:cs="Arial" w:eastAsia="Arial" w:hAnsi="Arial"/>
          <w:sz w:val="18"/>
          <w:szCs w:val="18"/>
          <w:color w:val="auto"/>
        </w:rPr>
        <w:t>. The Administrator, in its discretion, may legend the certificates representing Restricted Stock to give appropriate notice of such restrictions.</w:t>
      </w:r>
    </w:p>
    <w:p>
      <w:pPr>
        <w:spacing w:after="0" w:line="131" w:lineRule="exact"/>
        <w:rPr>
          <w:rFonts w:ascii="Arial" w:cs="Arial" w:eastAsia="Arial" w:hAnsi="Arial"/>
          <w:sz w:val="18"/>
          <w:szCs w:val="18"/>
          <w:color w:val="auto"/>
        </w:rPr>
      </w:pPr>
    </w:p>
    <w:p>
      <w:pPr>
        <w:ind w:right="60" w:firstLine="921"/>
        <w:spacing w:after="0" w:line="268" w:lineRule="auto"/>
        <w:tabs>
          <w:tab w:leader="none" w:pos="1152"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9, Shares of Restricted Stock covered by each Restricted Stock grant made under the Plan shall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65" w:name="page66"/>
    <w:bookmarkEnd w:id="6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released from escrow as soon as practicable after the last day of the Period of Restriction. The Administrator, in its discretion, may accelerate the time at which any restrictions shall lapse or be removed. After the restrictions have lapsed, the Participant shall be entitled to have any legend or legends under Section 9(d)(iii) removed from his or her Share certificate, and the Shares shall be freely transferable by the Participant. The Administrator (in its discretion) may establish procedures regarding the release of Shares from escrow and the removal of legends, as necessary or appropriate to minimize administrative burdens on the Company.</w:t>
      </w:r>
    </w:p>
    <w:p>
      <w:pPr>
        <w:spacing w:after="0" w:line="143" w:lineRule="exact"/>
        <w:rPr>
          <w:sz w:val="20"/>
          <w:szCs w:val="20"/>
          <w:color w:val="auto"/>
        </w:rPr>
      </w:pPr>
    </w:p>
    <w:p>
      <w:pPr>
        <w:ind w:right="20" w:firstLine="921"/>
        <w:spacing w:after="0" w:line="268" w:lineRule="auto"/>
        <w:tabs>
          <w:tab w:leader="none" w:pos="1132"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Participants holding Shares of Restricted Stock granted hereunder may exercise full voting rights with respect to those Shares, unless the Administrator determines otherwise.</w:t>
      </w:r>
    </w:p>
    <w:p>
      <w:pPr>
        <w:spacing w:after="0" w:line="131" w:lineRule="exact"/>
        <w:rPr>
          <w:rFonts w:ascii="Arial" w:cs="Arial" w:eastAsia="Arial" w:hAnsi="Arial"/>
          <w:sz w:val="18"/>
          <w:szCs w:val="18"/>
          <w:color w:val="auto"/>
        </w:rPr>
      </w:pPr>
    </w:p>
    <w:p>
      <w:pPr>
        <w:ind w:firstLine="921"/>
        <w:spacing w:after="0" w:line="256" w:lineRule="auto"/>
        <w:tabs>
          <w:tab w:leader="none" w:pos="1161"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Participants holding Shares of Restricted Stock shall be entitled to receive all dividends and other distributions paid with respect to such Shares unless otherwise provided in the Award Agreement. Any such dividends or distribution shall be subject to the same restrictions on transferability and forfeitability as the Shares of Restricted Stock with respect to which they were paid, unless otherwise provided in the Award Agreement.</w:t>
      </w:r>
    </w:p>
    <w:p>
      <w:pPr>
        <w:spacing w:after="0" w:line="143" w:lineRule="exact"/>
        <w:rPr>
          <w:rFonts w:ascii="Arial" w:cs="Arial" w:eastAsia="Arial" w:hAnsi="Arial"/>
          <w:sz w:val="18"/>
          <w:szCs w:val="18"/>
          <w:color w:val="auto"/>
        </w:rPr>
      </w:pPr>
    </w:p>
    <w:p>
      <w:pPr>
        <w:ind w:right="200" w:firstLine="921"/>
        <w:spacing w:after="0" w:line="268" w:lineRule="auto"/>
        <w:tabs>
          <w:tab w:leader="none" w:pos="1161"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the Company</w:t>
      </w:r>
      <w:r>
        <w:rPr>
          <w:rFonts w:ascii="Arial" w:cs="Arial" w:eastAsia="Arial" w:hAnsi="Arial"/>
          <w:sz w:val="18"/>
          <w:szCs w:val="18"/>
          <w:color w:val="auto"/>
        </w:rPr>
        <w:t>. On the date set forth in the Award Agreement, the Restricted Stock for which restrictions have not lapsed shall revert to the Company and again shall become available for grant under the Plan.</w:t>
      </w:r>
    </w:p>
    <w:p>
      <w:pPr>
        <w:spacing w:after="0" w:line="212"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298" w:lineRule="auto"/>
        <w:tabs>
          <w:tab w:leader="none" w:pos="1152"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xml:space="preserve">. Restricted Stock Units may be granted to Employees at any time and from time to time, as shall be determined by the Administrator, in its sole discretion. The Administrator shall have complete discretion in determining the number of Restricted Stock Units granted to each Participant, provided that during any Fiscal Year, no Participant shall receive more than a total of 300,000 Restricted Stock Units (and/or Shares of Restricted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limit shall be 600,000 Restricted Stock Units in the Participant’s first Fiscal Year of Company service.</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Value of Restricted Stock Units</w:t>
      </w:r>
      <w:r>
        <w:rPr>
          <w:rFonts w:ascii="Arial" w:cs="Arial" w:eastAsia="Arial" w:hAnsi="Arial"/>
          <w:sz w:val="16"/>
          <w:szCs w:val="16"/>
          <w:color w:val="auto"/>
        </w:rPr>
        <w:t>. Each Restricted Stock Unit shall have an initial value equal to the Fair Market Value of a Share on the Grant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64" w:lineRule="exact"/>
        <w:rPr>
          <w:rFonts w:ascii="Arial" w:cs="Arial" w:eastAsia="Arial" w:hAnsi="Arial"/>
          <w:sz w:val="16"/>
          <w:szCs w:val="16"/>
          <w:color w:val="auto"/>
        </w:rPr>
      </w:pPr>
    </w:p>
    <w:p>
      <w:pPr>
        <w:ind w:right="20" w:firstLine="921"/>
        <w:spacing w:after="0" w:line="370" w:lineRule="auto"/>
        <w:tabs>
          <w:tab w:leader="none" w:pos="1152" w:val="left"/>
        </w:tabs>
        <w:numPr>
          <w:ilvl w:val="1"/>
          <w:numId w:val="57"/>
        </w:numPr>
        <w:rPr>
          <w:rFonts w:ascii="Arial" w:cs="Arial" w:eastAsia="Arial" w:hAnsi="Arial"/>
          <w:sz w:val="15"/>
          <w:szCs w:val="15"/>
          <w:color w:val="auto"/>
        </w:rPr>
      </w:pPr>
      <w:r>
        <w:rPr>
          <w:rFonts w:ascii="Arial" w:cs="Arial" w:eastAsia="Arial" w:hAnsi="Arial"/>
          <w:sz w:val="15"/>
          <w:szCs w:val="15"/>
          <w:u w:val="single" w:color="auto"/>
          <w:color w:val="auto"/>
        </w:rPr>
        <w:t>Restricted Stock Unit Agreement</w:t>
      </w:r>
      <w:r>
        <w:rPr>
          <w:rFonts w:ascii="Arial" w:cs="Arial" w:eastAsia="Arial" w:hAnsi="Arial"/>
          <w:sz w:val="15"/>
          <w:szCs w:val="15"/>
          <w:color w:val="auto"/>
        </w:rPr>
        <w:t>. Each Award of Restricted Stock Units shall be evidenced by an Award Agreement that shall specify any vesting conditions, the number of Restricted Stock Units granted, and such other terms and conditions as the Administrator, in its sole discretion, shall determine.</w:t>
      </w:r>
    </w:p>
    <w:p>
      <w:pPr>
        <w:spacing w:after="0" w:line="62" w:lineRule="exact"/>
        <w:rPr>
          <w:rFonts w:ascii="Arial" w:cs="Arial" w:eastAsia="Arial" w:hAnsi="Arial"/>
          <w:sz w:val="15"/>
          <w:szCs w:val="15"/>
          <w:color w:val="auto"/>
        </w:rPr>
      </w:pPr>
    </w:p>
    <w:p>
      <w:pPr>
        <w:ind w:right="40" w:firstLine="921"/>
        <w:spacing w:after="0" w:line="259" w:lineRule="auto"/>
        <w:tabs>
          <w:tab w:leader="none" w:pos="116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Administrator, in its discretion, shall set performance objectives or other vesting criteria which, depending on the extent to which they are met, will determine the number or value of Restricted Stock Units that will be paid out to the Participants. Each Award of Restricted Stock Units shall be evidenced by an Award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that shall specify the Performance Period, and such other terms and conditions as the Administrator, in its sole discretion, shall determine.</w:t>
      </w:r>
    </w:p>
    <w:p>
      <w:pPr>
        <w:spacing w:after="0" w:line="194" w:lineRule="exact"/>
        <w:rPr>
          <w:sz w:val="20"/>
          <w:szCs w:val="20"/>
          <w:color w:val="auto"/>
        </w:rPr>
      </w:pPr>
    </w:p>
    <w:p>
      <w:pPr>
        <w:ind w:firstLine="1492"/>
        <w:spacing w:after="0" w:line="259" w:lineRule="auto"/>
        <w:tabs>
          <w:tab w:leader="none" w:pos="1693" w:val="left"/>
        </w:tabs>
        <w:numPr>
          <w:ilvl w:val="2"/>
          <w:numId w:val="58"/>
        </w:numPr>
        <w:rPr>
          <w:rFonts w:ascii="Arial" w:cs="Arial" w:eastAsia="Arial" w:hAnsi="Arial"/>
          <w:sz w:val="18"/>
          <w:szCs w:val="18"/>
          <w:color w:val="auto"/>
        </w:rPr>
      </w:pPr>
      <w:r>
        <w:rPr>
          <w:rFonts w:ascii="Arial" w:cs="Arial" w:eastAsia="Arial" w:hAnsi="Arial"/>
          <w:sz w:val="18"/>
          <w:szCs w:val="18"/>
          <w:u w:val="single" w:color="auto"/>
          <w:color w:val="auto"/>
        </w:rPr>
        <w:t>General Performance Objectives or Vesting Criteria</w:t>
      </w:r>
      <w:r>
        <w:rPr>
          <w:rFonts w:ascii="Arial" w:cs="Arial" w:eastAsia="Arial" w:hAnsi="Arial"/>
          <w:sz w:val="18"/>
          <w:szCs w:val="18"/>
          <w:color w:val="auto"/>
        </w:rPr>
        <w:t>. The Administrator may set performance objectives or vesting criteria based upon the achievement of Company-wide, departmental, or individual goals, applicable federal or state securities laws, or any other basis determined by the Administrator in its discretion (for example, but not by way of limitation, continuous service as an Employee).</w:t>
      </w:r>
    </w:p>
    <w:p>
      <w:pPr>
        <w:spacing w:after="0" w:line="140" w:lineRule="exact"/>
        <w:rPr>
          <w:rFonts w:ascii="Arial" w:cs="Arial" w:eastAsia="Arial" w:hAnsi="Arial"/>
          <w:sz w:val="18"/>
          <w:szCs w:val="18"/>
          <w:color w:val="auto"/>
        </w:rPr>
      </w:pPr>
    </w:p>
    <w:p>
      <w:pPr>
        <w:ind w:right="20" w:firstLine="1492"/>
        <w:spacing w:after="0" w:line="291" w:lineRule="auto"/>
        <w:tabs>
          <w:tab w:leader="none" w:pos="1742" w:val="left"/>
        </w:tabs>
        <w:numPr>
          <w:ilvl w:val="2"/>
          <w:numId w:val="58"/>
        </w:numPr>
        <w:rPr>
          <w:rFonts w:ascii="Arial" w:cs="Arial" w:eastAsia="Arial" w:hAnsi="Arial"/>
          <w:sz w:val="16"/>
          <w:szCs w:val="16"/>
          <w:color w:val="auto"/>
        </w:rPr>
      </w:pPr>
      <w:r>
        <w:rPr>
          <w:rFonts w:ascii="Arial" w:cs="Arial" w:eastAsia="Arial" w:hAnsi="Arial"/>
          <w:sz w:val="16"/>
          <w:szCs w:val="16"/>
          <w:u w:val="single" w:color="auto"/>
          <w:color w:val="auto"/>
        </w:rPr>
        <w:t>Section 162(m) Performance Objectives</w:t>
      </w:r>
      <w:r>
        <w:rPr>
          <w:rFonts w:ascii="Arial" w:cs="Arial" w:eastAsia="Arial" w:hAnsi="Arial"/>
          <w:sz w:val="16"/>
          <w:szCs w:val="16"/>
          <w:color w:val="auto"/>
        </w:rPr>
        <w:t>. For purposes of qualifying grants of Restricted Stock Units as “performance-based compensation” under Section 162(m) of the Code, the Administrator, in its discretion, may determine that the performance objectives applicable to Restricted Stock Units shall be based on the achievement of Performance Goals. The Performance Goals shall be set by the Administrator on or before the latest date permissible to enable the Restricted Stock Units to qualify as “performance-based compensation” under Section 162(m) of the Code. In granting Restricted Stock Units that are intended to qualify under Section 162(m) of the Code, the Administrator shall follow any procedures determined by it from time to time to be necessary or appropriate to ensure qualification of the Restricted Stock Units under Section 162(m) of the Code (e.g., in determining the Performance Goals).</w:t>
      </w:r>
    </w:p>
    <w:p>
      <w:pPr>
        <w:spacing w:after="0" w:line="120" w:lineRule="exact"/>
        <w:rPr>
          <w:rFonts w:ascii="Arial" w:cs="Arial" w:eastAsia="Arial" w:hAnsi="Arial"/>
          <w:sz w:val="16"/>
          <w:szCs w:val="16"/>
          <w:color w:val="auto"/>
        </w:rPr>
      </w:pPr>
    </w:p>
    <w:p>
      <w:pPr>
        <w:jc w:val="both"/>
        <w:ind w:right="220" w:firstLine="921"/>
        <w:spacing w:after="0" w:line="298" w:lineRule="auto"/>
        <w:tabs>
          <w:tab w:leader="none" w:pos="1152"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Earning of Restricted Stock Units</w:t>
      </w:r>
      <w:r>
        <w:rPr>
          <w:rFonts w:ascii="Arial" w:cs="Arial" w:eastAsia="Arial" w:hAnsi="Arial"/>
          <w:sz w:val="16"/>
          <w:szCs w:val="16"/>
          <w:color w:val="auto"/>
        </w:rPr>
        <w:t>. After the applicable Performance Period has ended, the holder of Restricted Stock Units shall be entitled to receive a payout of the number of Restricted Stock Units earned by the Participant over the Performance Period, to be determined as a function of the extent to which the corresponding performance objectives have been achieved. After the grant of a Restricted Stock Unit, the Administrator, in its sole discretion, may reduce or waive any performance objectives for such Restricted Stock Unit.</w:t>
      </w:r>
    </w:p>
    <w:p>
      <w:pPr>
        <w:spacing w:after="0" w:line="112" w:lineRule="exact"/>
        <w:rPr>
          <w:rFonts w:ascii="Arial" w:cs="Arial" w:eastAsia="Arial" w:hAnsi="Arial"/>
          <w:sz w:val="16"/>
          <w:szCs w:val="16"/>
          <w:color w:val="auto"/>
        </w:rPr>
      </w:pPr>
    </w:p>
    <w:p>
      <w:pPr>
        <w:jc w:val="both"/>
        <w:ind w:right="400" w:firstLine="921"/>
        <w:spacing w:after="0" w:line="259" w:lineRule="auto"/>
        <w:tabs>
          <w:tab w:leader="none" w:pos="1132"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Restricted Stock Units</w:t>
      </w:r>
      <w:r>
        <w:rPr>
          <w:rFonts w:ascii="Arial" w:cs="Arial" w:eastAsia="Arial" w:hAnsi="Arial"/>
          <w:sz w:val="18"/>
          <w:szCs w:val="18"/>
          <w:color w:val="auto"/>
        </w:rPr>
        <w:t>. Payment of vested Restricted Stock Units shall be made as soon as practicable after vesting (subject to any deferral permitted under Section 18). The Administrator, in its sole discretion, may pay Restricted Stock Units in the form of cash, in Shares or in a combination thereof.</w:t>
      </w:r>
    </w:p>
    <w:p>
      <w:pPr>
        <w:spacing w:after="0" w:line="140" w:lineRule="exact"/>
        <w:rPr>
          <w:rFonts w:ascii="Arial" w:cs="Arial" w:eastAsia="Arial" w:hAnsi="Arial"/>
          <w:sz w:val="18"/>
          <w:szCs w:val="18"/>
          <w:color w:val="auto"/>
        </w:rPr>
      </w:pPr>
    </w:p>
    <w:p>
      <w:pPr>
        <w:ind w:firstLine="921"/>
        <w:spacing w:after="0" w:line="268" w:lineRule="auto"/>
        <w:tabs>
          <w:tab w:leader="none" w:pos="1161"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Cancellation of Restricted Stock Units</w:t>
      </w:r>
      <w:r>
        <w:rPr>
          <w:rFonts w:ascii="Arial" w:cs="Arial" w:eastAsia="Arial" w:hAnsi="Arial"/>
          <w:sz w:val="18"/>
          <w:szCs w:val="18"/>
          <w:color w:val="auto"/>
        </w:rPr>
        <w:t>. On the date set forth in the Award Agreement, all unvested Restricted Stock Units shall be forfeited to the Company and, except as otherwise determined by the Administrator, again shall be available for grant under the Plan.</w:t>
      </w:r>
    </w:p>
    <w:p>
      <w:pPr>
        <w:spacing w:after="0" w:line="131" w:lineRule="exact"/>
        <w:rPr>
          <w:rFonts w:ascii="Arial" w:cs="Arial" w:eastAsia="Arial" w:hAnsi="Arial"/>
          <w:sz w:val="18"/>
          <w:szCs w:val="18"/>
          <w:color w:val="auto"/>
        </w:rPr>
      </w:pPr>
    </w:p>
    <w:p>
      <w:pPr>
        <w:ind w:right="480" w:firstLine="464"/>
        <w:spacing w:after="0" w:line="332" w:lineRule="auto"/>
        <w:tabs>
          <w:tab w:leader="none" w:pos="71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Leaves of Absence</w:t>
      </w:r>
      <w:r>
        <w:rPr>
          <w:rFonts w:ascii="Arial" w:cs="Arial" w:eastAsia="Arial" w:hAnsi="Arial"/>
          <w:sz w:val="16"/>
          <w:szCs w:val="16"/>
          <w:color w:val="auto"/>
        </w:rPr>
        <w:t>. Unless the Administrator provides otherwise or except as otherwise required by Applicable Laws, vesting of Awards granted hereunder shall continue during any leave of absence approved by the Administrator.</w:t>
      </w:r>
    </w:p>
    <w:p>
      <w:pPr>
        <w:spacing w:after="0" w:line="85" w:lineRule="exact"/>
        <w:rPr>
          <w:rFonts w:ascii="Arial" w:cs="Arial" w:eastAsia="Arial" w:hAnsi="Arial"/>
          <w:sz w:val="16"/>
          <w:szCs w:val="16"/>
          <w:color w:val="auto"/>
        </w:rPr>
      </w:pPr>
    </w:p>
    <w:p>
      <w:pPr>
        <w:ind w:right="240" w:firstLine="464"/>
        <w:spacing w:after="0" w:line="298" w:lineRule="auto"/>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Non-Transferability of Awards</w:t>
      </w:r>
      <w:r>
        <w:rPr>
          <w:rFonts w:ascii="Arial" w:cs="Arial" w:eastAsia="Arial" w:hAnsi="Arial"/>
          <w:sz w:val="16"/>
          <w:szCs w:val="16"/>
          <w:color w:val="auto"/>
        </w:rPr>
        <w:t>. Unless determined otherwise by the Administrator, an Award may not be sold, pledged, assigned, hypothecated, transferred, or disposed of in any manner other than by will or by the laws of descent or distribution and may be exercised, during the lifetime of the recipient, only by the recipient. If the Administrator makes an Award transferable, such Award shall contain such additional terms and conditions as the Administrator deems appropriate; provided, however, that such Award shall in no event be transferable for value.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67" w:name="page68"/>
    <w:bookmarkEnd w:id="67"/>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a Participant may, if the Administrator (in its discretion) so permits, transfer an Award to an individual or entity other than the Company. Any such transfer shall be made in accordance with such procedures as the Administrator may specify from time to time.</w:t>
      </w:r>
    </w:p>
    <w:p>
      <w:pPr>
        <w:spacing w:after="0" w:line="166" w:lineRule="exact"/>
        <w:rPr>
          <w:sz w:val="20"/>
          <w:szCs w:val="20"/>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921"/>
        <w:spacing w:after="0" w:line="287" w:lineRule="auto"/>
        <w:tabs>
          <w:tab w:leader="none" w:pos="1152"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Subject to any required action by the stockholders of the Company, the number of Shares covered by each outstanding Award, the number of Shares which have been authorized for issuance under the Plan but as to which no Awards have yet been granted or which have been returned to the Plan upon cancellation or expiration of an Award, as well as the price per Share of Common Stock covered by each such outstanding Award and the 162(m) Fiscal Year share issuance limits under Sections 8(a), 9(a) and 10(a) hereof, shall be proportionately adjusted for any increase or decrease in the number of issued Shares resulting from a stock split, reverse stock split, stock dividend, combination or reclassification of the Common Stock, or any other increase or decrease in the number of issued Shares effected without receipt of consideration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conversion of any convertible securities of the Company shall not be deemed to have been “effected without receipt of consideration.” Such adjustment shall be made by the Compensation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122" w:lineRule="exact"/>
        <w:rPr>
          <w:rFonts w:ascii="Arial" w:cs="Arial" w:eastAsia="Arial" w:hAnsi="Arial"/>
          <w:sz w:val="16"/>
          <w:szCs w:val="16"/>
          <w:color w:val="auto"/>
        </w:rPr>
      </w:pPr>
    </w:p>
    <w:p>
      <w:pPr>
        <w:ind w:firstLine="921"/>
        <w:spacing w:after="0" w:line="291" w:lineRule="auto"/>
        <w:tabs>
          <w:tab w:leader="none" w:pos="1161"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the proposed dissolution or liquidation of the Company, the Administrator shall notify each Participant as soon as practicable prior to the effective date of such proposed transaction. The Administrator in its discretion may provide for a Participant to have the right to exercise his or her Award until ten (10) days prior to such transaction as to all of the Shares covered thereby, including Shares as to which the Award would not otherwise be exercisable. In addition, the Administrator may provide that any Company repurchase option or forfeiture rights applicable to any Award shall lapse 100%, and that any Award vesting shall accelerate 100%, provided the proposed dissolution or liquidation takes place at the time and in the manner contemplated. To the extent it has not been previously exercised, an Award will terminate immediately prior to the consummation of such proposed action.</w:t>
      </w:r>
    </w:p>
    <w:p>
      <w:pPr>
        <w:spacing w:after="0" w:line="120" w:lineRule="exact"/>
        <w:rPr>
          <w:rFonts w:ascii="Arial" w:cs="Arial" w:eastAsia="Arial" w:hAnsi="Arial"/>
          <w:sz w:val="16"/>
          <w:szCs w:val="16"/>
          <w:color w:val="auto"/>
        </w:rPr>
      </w:pPr>
    </w:p>
    <w:p>
      <w:pPr>
        <w:ind w:right="380" w:firstLine="921"/>
        <w:spacing w:after="0" w:line="268" w:lineRule="auto"/>
        <w:tabs>
          <w:tab w:leader="none" w:pos="1152"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each outstanding Award shall be assumed or an equivalent Award substituted by the successor corporation or a Parent or Subsidiary of the successor corporation.</w:t>
      </w:r>
    </w:p>
    <w:p>
      <w:pPr>
        <w:spacing w:after="0" w:line="132" w:lineRule="exact"/>
        <w:rPr>
          <w:sz w:val="20"/>
          <w:szCs w:val="20"/>
          <w:color w:val="auto"/>
        </w:rPr>
      </w:pPr>
    </w:p>
    <w:p>
      <w:pPr>
        <w:ind w:right="80" w:firstLine="1484"/>
        <w:spacing w:after="0" w:line="294" w:lineRule="auto"/>
        <w:rPr>
          <w:sz w:val="20"/>
          <w:szCs w:val="20"/>
          <w:color w:val="auto"/>
        </w:rPr>
      </w:pPr>
      <w:r>
        <w:rPr>
          <w:rFonts w:ascii="Arial" w:cs="Arial" w:eastAsia="Arial" w:hAnsi="Arial"/>
          <w:sz w:val="16"/>
          <w:szCs w:val="16"/>
          <w:color w:val="auto"/>
        </w:rPr>
        <w:t xml:space="preserve">In the event that the successor corporation refuses to assume or substitute for the Award, the Participant shall fully vest in and have the right to exercise all of his or her outstanding Options, including Shares as to which such Awards would not otherwise be vested or exercisable, all restrictions on Restricted Stock will lapse and all Restricted Stock Units shall become fully vested;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 respect to Awards with performance-based vesting, including but not limited to Restricted Stock and Restricted Stock Units, all performance goals or other vesting criteria will be deemed achieved at one hundred percent (100%) of target levels and all other terms and conditions met. In addition, if an Option is not assumed or substituted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68" w:name="page69"/>
    <w:bookmarkEnd w:id="68"/>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 Change of Control, the Administrator shall notify the Participant in writing or electronically that the Option shall be fully vested and exercisable for a period of fifteen (15) days from the date of such notice, and the Option shall terminate upon the expiration of such period.</w:t>
      </w:r>
    </w:p>
    <w:p>
      <w:pPr>
        <w:spacing w:after="0" w:line="85" w:lineRule="exact"/>
        <w:rPr>
          <w:sz w:val="20"/>
          <w:szCs w:val="20"/>
          <w:color w:val="auto"/>
        </w:rPr>
      </w:pPr>
    </w:p>
    <w:p>
      <w:pPr>
        <w:ind w:right="20" w:firstLine="1484"/>
        <w:spacing w:after="0" w:line="289" w:lineRule="auto"/>
        <w:rPr>
          <w:sz w:val="20"/>
          <w:szCs w:val="20"/>
          <w:color w:val="auto"/>
        </w:rPr>
      </w:pPr>
      <w:r>
        <w:rPr>
          <w:rFonts w:ascii="Arial" w:cs="Arial" w:eastAsia="Arial" w:hAnsi="Arial"/>
          <w:sz w:val="16"/>
          <w:szCs w:val="16"/>
          <w:color w:val="auto"/>
        </w:rPr>
        <w:t xml:space="preserve">For the purposes of this paragraph, an Award shall be considered assumed if, following the Change of Control, the Award confers the right to purchase or receive, for each Share subject to the Award immediately prior to the Change of Control, the consideration (whether stock, cash, or other securities or property) received in the Change of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consideration received in the Change of Control is not solely common stock of the successor corporation or its Parent, the Administrator may, with the consent of the successor corporation, provide for the consideration to be received upon the exercise of an Option or upon the payout of the Restricted Stock Unit Award, for each Share subject to the Award, to be solely common stock of the successor corporation or its Parent equal in fair market value to the per share consideration received by holders of Common Stock in the Change of Control.</w:t>
      </w:r>
    </w:p>
    <w:p>
      <w:pPr>
        <w:spacing w:after="0" w:line="118"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of Control corporate structure will not be deemed to invalidate an otherwise valid Award assumption.</w:t>
      </w:r>
    </w:p>
    <w:p>
      <w:pPr>
        <w:spacing w:after="0" w:line="224" w:lineRule="exact"/>
        <w:rPr>
          <w:sz w:val="20"/>
          <w:szCs w:val="20"/>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20" w:firstLine="921"/>
        <w:spacing w:after="0" w:line="323" w:lineRule="auto"/>
        <w:tabs>
          <w:tab w:leader="none" w:pos="1152" w:val="left"/>
        </w:tabs>
        <w:numPr>
          <w:ilvl w:val="1"/>
          <w:numId w:val="62"/>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w:t>
      </w:r>
      <w:r>
        <w:rPr>
          <w:rFonts w:ascii="Arial" w:cs="Arial" w:eastAsia="Arial" w:hAnsi="Arial"/>
          <w:sz w:val="15"/>
          <w:szCs w:val="15"/>
          <w:color w:val="auto"/>
        </w:rPr>
        <w:t>. The Board may at any time amend, alter, suspend or terminate the Plan; provided, however, that the Board may not materially amend the Plan without obtaining stockholder approval. For this purpose, the following shall be considered material amendments requiring stockholder approval: (i) increasing the benefits accruing to Plan participants, (ii) increasing the number of Shares that may be issued under the Plan (other than in accordance with Section 13(a) hereof), (iii) modifying the requirements for participation under the Plan or (iv) as otherwise may be required by Applicable Laws.</w:t>
      </w:r>
    </w:p>
    <w:p>
      <w:pPr>
        <w:spacing w:after="0" w:line="97" w:lineRule="exact"/>
        <w:rPr>
          <w:rFonts w:ascii="Arial" w:cs="Arial" w:eastAsia="Arial" w:hAnsi="Arial"/>
          <w:sz w:val="15"/>
          <w:szCs w:val="15"/>
          <w:color w:val="auto"/>
        </w:rPr>
      </w:pPr>
    </w:p>
    <w:p>
      <w:pPr>
        <w:ind w:right="20" w:firstLine="921"/>
        <w:spacing w:after="0" w:line="259" w:lineRule="auto"/>
        <w:tabs>
          <w:tab w:leader="none" w:pos="1161"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shall obtain stockholder approval of any Plan amendment to the extent necessary and desirable to comply with Applicable Laws. Such stockholder approval, if required, shall be obtained in such a manner and to such a degree as is required by the applicable law, rule or regulation.</w:t>
      </w:r>
    </w:p>
    <w:p>
      <w:pPr>
        <w:spacing w:after="0" w:line="140" w:lineRule="exact"/>
        <w:rPr>
          <w:rFonts w:ascii="Arial" w:cs="Arial" w:eastAsia="Arial" w:hAnsi="Arial"/>
          <w:sz w:val="18"/>
          <w:szCs w:val="18"/>
          <w:color w:val="auto"/>
        </w:rPr>
      </w:pPr>
    </w:p>
    <w:p>
      <w:pPr>
        <w:ind w:right="100" w:firstLine="921"/>
        <w:spacing w:after="0" w:line="259" w:lineRule="auto"/>
        <w:tabs>
          <w:tab w:leader="none" w:pos="1152"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Participant, unless mutually agreed otherwise between the Participant and the Administrator, which agreement must be in writing (or electronic format) and signed by the Participant and the Company.</w:t>
      </w:r>
    </w:p>
    <w:p>
      <w:pPr>
        <w:spacing w:after="0" w:line="221" w:lineRule="exact"/>
        <w:rPr>
          <w:rFonts w:ascii="Arial" w:cs="Arial" w:eastAsia="Arial" w:hAnsi="Arial"/>
          <w:sz w:val="18"/>
          <w:szCs w:val="18"/>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69" w:name="page70"/>
    <w:bookmarkEnd w:id="69"/>
    <w:p>
      <w:pPr>
        <w:ind w:left="-20" w:right="560" w:firstLine="921"/>
        <w:spacing w:after="0" w:line="259" w:lineRule="auto"/>
        <w:tabs>
          <w:tab w:leader="none" w:pos="113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Compliance</w:t>
      </w:r>
      <w:r>
        <w:rPr>
          <w:rFonts w:ascii="Arial" w:cs="Arial" w:eastAsia="Arial" w:hAnsi="Arial"/>
          <w:sz w:val="18"/>
          <w:szCs w:val="18"/>
          <w:color w:val="auto"/>
        </w:rPr>
        <w:t>. 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w:t>
      </w:r>
    </w:p>
    <w:p>
      <w:pPr>
        <w:spacing w:after="0" w:line="140" w:lineRule="exact"/>
        <w:rPr>
          <w:rFonts w:ascii="Arial" w:cs="Arial" w:eastAsia="Arial" w:hAnsi="Arial"/>
          <w:sz w:val="18"/>
          <w:szCs w:val="18"/>
          <w:color w:val="auto"/>
        </w:rPr>
      </w:pPr>
    </w:p>
    <w:p>
      <w:pPr>
        <w:ind w:left="-20" w:right="140" w:firstLine="921"/>
        <w:spacing w:after="0" w:line="335" w:lineRule="auto"/>
        <w:tabs>
          <w:tab w:leader="none" w:pos="1141"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Investment Representations</w:t>
      </w:r>
      <w:r>
        <w:rPr>
          <w:rFonts w:ascii="Arial" w:cs="Arial" w:eastAsia="Arial" w:hAnsi="Arial"/>
          <w:sz w:val="15"/>
          <w:szCs w:val="15"/>
          <w:color w:val="auto"/>
        </w:rPr>
        <w:t>. As a condition to the exercise or receipt of Shares pursuant to an Award, the Company may require the person exercising or receiving Shares pursuant to an Award to represent and warrant at the time of any such exercise or receipt that the Shares are being purchased only for investment and without any present intention to sell or distribute such Shares if, in the opinion of counsel for the Company, such a representation is required.</w:t>
      </w:r>
    </w:p>
    <w:p>
      <w:pPr>
        <w:spacing w:after="0" w:line="169" w:lineRule="exact"/>
        <w:rPr>
          <w:rFonts w:ascii="Arial" w:cs="Arial" w:eastAsia="Arial" w:hAnsi="Arial"/>
          <w:sz w:val="15"/>
          <w:szCs w:val="15"/>
          <w:color w:val="auto"/>
        </w:rPr>
      </w:pPr>
    </w:p>
    <w:p>
      <w:pPr>
        <w:ind w:left="700" w:hanging="25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firstLine="921"/>
        <w:spacing w:after="0" w:line="259" w:lineRule="auto"/>
        <w:tabs>
          <w:tab w:leader="none" w:pos="1132"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40" w:lineRule="exact"/>
        <w:rPr>
          <w:rFonts w:ascii="Arial" w:cs="Arial" w:eastAsia="Arial" w:hAnsi="Arial"/>
          <w:sz w:val="18"/>
          <w:szCs w:val="18"/>
          <w:color w:val="auto"/>
        </w:rPr>
      </w:pPr>
    </w:p>
    <w:p>
      <w:pPr>
        <w:ind w:left="-20" w:right="40" w:firstLine="921"/>
        <w:spacing w:after="0" w:line="306" w:lineRule="auto"/>
        <w:tabs>
          <w:tab w:leader="none" w:pos="1141"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Grants Exceeding Allotted Shares</w:t>
      </w:r>
      <w:r>
        <w:rPr>
          <w:rFonts w:ascii="Arial" w:cs="Arial" w:eastAsia="Arial" w:hAnsi="Arial"/>
          <w:sz w:val="16"/>
          <w:szCs w:val="16"/>
          <w:color w:val="auto"/>
        </w:rPr>
        <w:t>. If the Shares covered by an Award exceed, as of the Date of Grant, the number of Shares which may be issued under the Plan without additional stockholder approval, such Award shall be void with respect to such excess Shares, unless stockholder approval of an amendment sufficiently increasing the number of Shares subject to the Plan is timely obtained in accordance with Section 14(b) of the Plan.</w:t>
      </w:r>
    </w:p>
    <w:p>
      <w:pPr>
        <w:spacing w:after="0" w:line="106" w:lineRule="exact"/>
        <w:rPr>
          <w:rFonts w:ascii="Arial" w:cs="Arial" w:eastAsia="Arial" w:hAnsi="Arial"/>
          <w:sz w:val="16"/>
          <w:szCs w:val="16"/>
          <w:color w:val="auto"/>
        </w:rPr>
      </w:pPr>
    </w:p>
    <w:p>
      <w:pPr>
        <w:ind w:left="-20" w:right="560" w:firstLine="464"/>
        <w:spacing w:after="0" w:line="268"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31" w:lineRule="exact"/>
        <w:rPr>
          <w:rFonts w:ascii="Arial" w:cs="Arial" w:eastAsia="Arial" w:hAnsi="Arial"/>
          <w:sz w:val="18"/>
          <w:szCs w:val="18"/>
          <w:color w:val="auto"/>
        </w:rPr>
      </w:pPr>
    </w:p>
    <w:p>
      <w:pPr>
        <w:ind w:left="-20" w:right="40" w:firstLine="464"/>
        <w:spacing w:after="0" w:line="259"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The Administrator, in its sole discretion, may permit a Participant to defer receipt of the payment of cash or the delivery of Shares that would otherwise be due to such Participant under an Award. Any such deferral elections shall be subject to such rules and procedures as shall be determined by the Administrator in its sole discretion.</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shall have the right to be selected to receive an Award under this Plan, or, having been so selected, to be selected to receive a future Award.</w:t>
      </w:r>
    </w:p>
    <w:p>
      <w:pPr>
        <w:spacing w:after="0" w:line="131" w:lineRule="exact"/>
        <w:rPr>
          <w:rFonts w:ascii="Arial" w:cs="Arial" w:eastAsia="Arial" w:hAnsi="Arial"/>
          <w:sz w:val="18"/>
          <w:szCs w:val="18"/>
          <w:color w:val="auto"/>
        </w:rPr>
      </w:pPr>
    </w:p>
    <w:p>
      <w:pPr>
        <w:ind w:left="-20" w:right="260" w:firstLine="464"/>
        <w:spacing w:after="0" w:line="256"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Except to the limited extent provided in Section 9(f), no Participant (nor any beneficiary) shall have any of the rights or privileges of a stockholder of the Company with respect to any Shares issuable pursuant to an Award (or exercise thereof), unless and until certificates representing such Shares shall have been issued, recorded on the records of the Company or its transfer agents or registrars, and delivered to the Participant (or beneficiary).</w:t>
      </w:r>
    </w:p>
    <w:p>
      <w:pPr>
        <w:spacing w:after="0" w:line="143" w:lineRule="exact"/>
        <w:rPr>
          <w:rFonts w:ascii="Arial" w:cs="Arial" w:eastAsia="Arial" w:hAnsi="Arial"/>
          <w:sz w:val="18"/>
          <w:szCs w:val="18"/>
          <w:color w:val="auto"/>
        </w:rPr>
      </w:pPr>
    </w:p>
    <w:p>
      <w:pPr>
        <w:ind w:left="-20" w:right="220" w:firstLine="464"/>
        <w:spacing w:after="0" w:line="259"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pursuant to an Award (or exercise thereof), the Company shall have the power and the right to deduct or withhold, or require a Participant to remit to the Company, an amount sufficient to satisfy federal, state, local and foreign taxes (including the Participant’s FICA obligation) required to be withheld with respect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70" w:name="page71"/>
    <w:bookmarkEnd w:id="70"/>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such Award (or exercise thereof). Notwithstanding any contrary provision of the Plan, if a Participant fails to remit to the Company such withholding amount within the time period specified by the Administrator (in its discretion), the Participant’s Award may, in the Administrator’s discretion, be forfeited and in such case the Participant shall not receive any of the Shares subject to such Award.</w:t>
      </w:r>
    </w:p>
    <w:p>
      <w:pPr>
        <w:spacing w:after="0" w:line="140" w:lineRule="exact"/>
        <w:rPr>
          <w:sz w:val="20"/>
          <w:szCs w:val="20"/>
          <w:color w:val="auto"/>
        </w:rPr>
      </w:pPr>
    </w:p>
    <w:p>
      <w:pPr>
        <w:ind w:right="120" w:firstLine="464"/>
        <w:spacing w:after="0" w:line="286" w:lineRule="auto"/>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or the applicable Award Agreement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27" w:lineRule="exact"/>
        <w:rPr>
          <w:rFonts w:ascii="Arial" w:cs="Arial" w:eastAsia="Arial" w:hAnsi="Arial"/>
          <w:sz w:val="16"/>
          <w:szCs w:val="16"/>
          <w:color w:val="auto"/>
        </w:rPr>
      </w:pPr>
    </w:p>
    <w:p>
      <w:pPr>
        <w:ind w:firstLine="464"/>
        <w:spacing w:after="0" w:line="291" w:lineRule="auto"/>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or require a Participant to satisfy all or part of the tax withholding obligations in connection with an Award by (a) having the Company withhold otherwise deliverable Shares, or (b) delivering to the Company already-owned Shares having a Fair Market Value equal to the amount required to be withheld. The amount so withheld shall not exceed the amount determined by using the minimum federal, state, local or foreign jurisdiction statutory withholding rates applicable to the Participant with respect to the Award on the date that the amount of tax to be withheld is to be determined. The Fair Market Value of the Shares to be withheld or delivered shall be determined as of the date that the taxes are required to be withheld.</w:t>
      </w:r>
    </w:p>
    <w:p>
      <w:pPr>
        <w:spacing w:after="0" w:line="120" w:lineRule="exact"/>
        <w:rPr>
          <w:rFonts w:ascii="Arial" w:cs="Arial" w:eastAsia="Arial" w:hAnsi="Arial"/>
          <w:sz w:val="16"/>
          <w:szCs w:val="16"/>
          <w:color w:val="auto"/>
        </w:rPr>
      </w:pPr>
    </w:p>
    <w:p>
      <w:pPr>
        <w:ind w:right="40" w:firstLine="464"/>
        <w:spacing w:after="0" w:line="253"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71" w:name="page72"/>
    <w:bookmarkEnd w:id="71"/>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85" w:lineRule="exact"/>
        <w:rPr>
          <w:sz w:val="20"/>
          <w:szCs w:val="20"/>
          <w:color w:val="auto"/>
        </w:rPr>
      </w:pPr>
    </w:p>
    <w:p>
      <w:pPr>
        <w:ind w:firstLine="464"/>
        <w:spacing w:after="0" w:line="259"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40" w:lineRule="exact"/>
        <w:rPr>
          <w:rFonts w:ascii="Arial" w:cs="Arial" w:eastAsia="Arial" w:hAnsi="Arial"/>
          <w:sz w:val="18"/>
          <w:szCs w:val="18"/>
          <w:color w:val="auto"/>
        </w:rPr>
      </w:pPr>
    </w:p>
    <w:p>
      <w:pPr>
        <w:ind w:right="120" w:firstLine="464"/>
        <w:spacing w:after="0" w:line="268"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31" w:lineRule="exact"/>
        <w:rPr>
          <w:rFonts w:ascii="Arial" w:cs="Arial" w:eastAsia="Arial" w:hAnsi="Arial"/>
          <w:sz w:val="18"/>
          <w:szCs w:val="18"/>
          <w:color w:val="auto"/>
        </w:rPr>
      </w:pPr>
    </w:p>
    <w:p>
      <w:pPr>
        <w:ind w:right="720" w:firstLine="464"/>
        <w:spacing w:after="0" w:line="332"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85" w:lineRule="exact"/>
        <w:rPr>
          <w:rFonts w:ascii="Arial" w:cs="Arial" w:eastAsia="Arial" w:hAnsi="Arial"/>
          <w:sz w:val="16"/>
          <w:szCs w:val="16"/>
          <w:color w:val="auto"/>
        </w:rPr>
      </w:pPr>
    </w:p>
    <w:p>
      <w:pPr>
        <w:ind w:right="240" w:firstLine="464"/>
        <w:spacing w:after="0" w:line="268"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 Agreements shall be construed in accordance with and governed by the laws of the State of California (with the exception of its conflict of laws provisions).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are provided herein for convenience only, and shall not serve as a basis for interpretation or construction of the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2010</w:t>
      </w:r>
    </w:p>
    <w:p>
      <w:pPr>
        <w:spacing w:after="0" w:line="200" w:lineRule="exact"/>
        <w:rPr>
          <w:sz w:val="20"/>
          <w:szCs w:val="20"/>
          <w:color w:val="auto"/>
        </w:rPr>
      </w:pPr>
    </w:p>
    <w:p>
      <w:pPr>
        <w:spacing w:after="0" w:line="22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2010</w:t>
      </w:r>
    </w:p>
    <w:p>
      <w:pPr>
        <w:spacing w:after="0" w:line="200" w:lineRule="exact"/>
        <w:rPr>
          <w:sz w:val="20"/>
          <w:szCs w:val="20"/>
          <w:color w:val="auto"/>
        </w:rPr>
      </w:pPr>
    </w:p>
    <w:p>
      <w:pPr>
        <w:spacing w:after="0" w:line="22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July 31, 2010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2010</w:t>
      </w:r>
    </w:p>
    <w:p>
      <w:pPr>
        <w:spacing w:after="0" w:line="200" w:lineRule="exact"/>
        <w:rPr>
          <w:sz w:val="20"/>
          <w:szCs w:val="20"/>
          <w:color w:val="auto"/>
        </w:rPr>
      </w:pPr>
    </w:p>
    <w:p>
      <w:pPr>
        <w:spacing w:after="0" w:line="22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Based on my knowledge, I, Mark J. Hawkins, certify, pursuant to 18 U.S.C. Section 1350, as adopted pursuant to Section 906 of the Sarbanes-Oxley Act of 2002, that the Quarterly Report of Autodesk, Inc. on Form 10-Q for the quarterly period ended July 31, 2010 fully complies with the requirements of</w:t>
      </w:r>
    </w:p>
    <w:p>
      <w:pPr>
        <w:ind w:right="540"/>
        <w:spacing w:after="0" w:line="261" w:lineRule="auto"/>
        <w:rPr>
          <w:sz w:val="20"/>
          <w:szCs w:val="20"/>
          <w:color w:val="auto"/>
        </w:rPr>
      </w:pPr>
      <w:r>
        <w:rPr>
          <w:rFonts w:ascii="Arial" w:cs="Arial" w:eastAsia="Arial" w:hAnsi="Arial"/>
          <w:sz w:val="18"/>
          <w:szCs w:val="18"/>
          <w:color w:val="auto"/>
        </w:rPr>
        <w:t>Section 13(a) or 15(d) of the Securities Exchange Act of 1934 and that information contained in such Form 10-Q fairly presents in all material respects the financial condition and results of operations of Autodesk, Inc.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2010</w:t>
      </w:r>
    </w:p>
    <w:p>
      <w:pPr>
        <w:spacing w:after="0" w:line="200" w:lineRule="exact"/>
        <w:rPr>
          <w:sz w:val="20"/>
          <w:szCs w:val="20"/>
          <w:color w:val="auto"/>
        </w:rPr>
      </w:pPr>
    </w:p>
    <w:p>
      <w:pPr>
        <w:spacing w:after="0" w:line="22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2"/>
    </w:lvl>
  </w:abstractNum>
  <w:abstractNum w:abstractNumId="4">
    <w:nsid w:val="3804823E"/>
    <w:multiLevelType w:val="hybridMultilevel"/>
    <w:lvl w:ilvl="0">
      <w:lvlJc w:val="left"/>
      <w:lvlText w:val="%1."/>
      <w:numFmt w:val="decimal"/>
      <w:start w:val="3"/>
    </w:lvl>
  </w:abstractNum>
  <w:abstractNum w:abstractNumId="5">
    <w:nsid w:val="77465F01"/>
    <w:multiLevelType w:val="hybridMultilevel"/>
    <w:lvl w:ilvl="0">
      <w:lvlJc w:val="left"/>
      <w:lvlText w:val="%1."/>
      <w:numFmt w:val="decimal"/>
      <w:start w:val="4"/>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5"/>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decimal"/>
      <w:start w:val="6"/>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7"/>
    </w:lvl>
  </w:abstractNum>
  <w:abstractNum w:abstractNumId="13">
    <w:nsid w:val="153EA438"/>
    <w:multiLevelType w:val="hybridMultilevel"/>
    <w:lvl w:ilvl="0">
      <w:lvlJc w:val="left"/>
      <w:lvlText w:val="%1."/>
      <w:numFmt w:val="decimal"/>
      <w:start w:val="8"/>
    </w:lvl>
  </w:abstractNum>
  <w:abstractNum w:abstractNumId="14">
    <w:nsid w:val="3855585C"/>
    <w:multiLevelType w:val="hybridMultilevel"/>
    <w:lvl w:ilvl="0">
      <w:lvlJc w:val="left"/>
      <w:lvlText w:val="%1."/>
      <w:numFmt w:val="decimal"/>
      <w:start w:val="9"/>
    </w:lvl>
  </w:abstractNum>
  <w:abstractNum w:abstractNumId="15">
    <w:nsid w:val="70A64E2A"/>
    <w:multiLevelType w:val="hybridMultilevel"/>
    <w:lvl w:ilvl="0">
      <w:lvlJc w:val="left"/>
      <w:lvlText w:val="%1."/>
      <w:numFmt w:val="decimal"/>
      <w:start w:val="10"/>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11"/>
    </w:lvl>
  </w:abstractNum>
  <w:abstractNum w:abstractNumId="18">
    <w:nsid w:val="1D4ED43B"/>
    <w:multiLevelType w:val="hybridMultilevel"/>
    <w:lvl w:ilvl="0">
      <w:lvlJc w:val="left"/>
      <w:lvlText w:val="%1."/>
      <w:numFmt w:val="decimal"/>
      <w:start w:val="12"/>
    </w:lvl>
  </w:abstractNum>
  <w:abstractNum w:abstractNumId="19">
    <w:nsid w:val="725A06FB"/>
    <w:multiLevelType w:val="hybridMultilevel"/>
    <w:lvl w:ilvl="0">
      <w:lvlJc w:val="left"/>
      <w:lvlText w:val="%1."/>
      <w:numFmt w:val="decimal"/>
      <w:start w:val="13"/>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4"/>
    </w:lvl>
  </w:abstractNum>
  <w:abstractNum w:abstractNumId="22">
    <w:nsid w:val="7A6D8D3C"/>
    <w:multiLevelType w:val="hybridMultilevel"/>
    <w:lvl w:ilvl="0">
      <w:lvlJc w:val="left"/>
      <w:lvlText w:val="%1."/>
      <w:numFmt w:val="decimal"/>
      <w:start w:val="15"/>
    </w:lvl>
  </w:abstractNum>
  <w:abstractNum w:abstractNumId="23">
    <w:nsid w:val="4B588F54"/>
    <w:multiLevelType w:val="hybridMultilevel"/>
    <w:lvl w:ilvl="0">
      <w:lvlJc w:val="left"/>
      <w:lvlText w:val="%1."/>
      <w:numFmt w:val="decimal"/>
      <w:start w:val="17"/>
    </w:lvl>
  </w:abstractNum>
  <w:abstractNum w:abstractNumId="24">
    <w:nsid w:val="542289EC"/>
    <w:multiLevelType w:val="hybridMultilevel"/>
    <w:lvl w:ilvl="0">
      <w:lvlJc w:val="left"/>
      <w:lvlText w:val="%1."/>
      <w:numFmt w:val="decimal"/>
      <w:start w:val="18"/>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1."/>
      <w:numFmt w:val="decimal"/>
      <w:start w:val="1"/>
    </w:lvl>
    <w:lvl w:ilvl="1">
      <w:lvlJc w:val="left"/>
      <w:lvlText w:val="•"/>
      <w:numFmt w:val="bullet"/>
      <w:start w:val="1"/>
    </w:lvl>
  </w:abstractNum>
  <w:abstractNum w:abstractNumId="37">
    <w:nsid w:val="70C6A52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8">
    <w:nsid w:val="520EEDD1"/>
    <w:multiLevelType w:val="hybridMultilevel"/>
    <w:lvl w:ilvl="0">
      <w:lvlJc w:val="left"/>
      <w:lvlText w:val="%1"/>
      <w:numFmt w:val="lowerLetter"/>
      <w:start w:val="1"/>
    </w:lvl>
    <w:lvl w:ilvl="1">
      <w:lvlJc w:val="left"/>
      <w:lvlText w:val="(%2)"/>
      <w:numFmt w:val="lowerRoman"/>
      <w:start w:val="1"/>
    </w:lvl>
  </w:abstractNum>
  <w:abstractNum w:abstractNumId="39">
    <w:nsid w:val="374A3FE6"/>
    <w:multiLevelType w:val="hybridMultilevel"/>
    <w:lvl w:ilvl="0">
      <w:lvlJc w:val="left"/>
      <w:lvlText w:val="(%1)"/>
      <w:numFmt w:val="lowerLetter"/>
      <w:start w:val="7"/>
    </w:lvl>
    <w:lvl w:ilvl="1">
      <w:lvlJc w:val="left"/>
      <w:lvlText w:val="%2"/>
      <w:numFmt w:val="lowerRoman"/>
      <w:start w:val="1"/>
    </w:lvl>
  </w:abstractNum>
  <w:abstractNum w:abstractNumId="40">
    <w:nsid w:val="4F4EF005"/>
    <w:multiLevelType w:val="hybridMultilevel"/>
    <w:lvl w:ilvl="0">
      <w:lvlJc w:val="left"/>
      <w:lvlText w:val="(%1)"/>
      <w:numFmt w:val="lowerLetter"/>
      <w:start w:val="14"/>
    </w:lvl>
    <w:lvl w:ilvl="1">
      <w:lvlJc w:val="left"/>
      <w:lvlText w:val="(%2)"/>
      <w:numFmt w:val="lowerRoman"/>
      <w:start w:val="1"/>
    </w:lvl>
  </w:abstractNum>
  <w:abstractNum w:abstractNumId="41">
    <w:nsid w:val="23F9C13C"/>
    <w:multiLevelType w:val="hybridMultilevel"/>
    <w:lvl w:ilvl="0">
      <w:lvlJc w:val="left"/>
      <w:lvlText w:val="(%1)"/>
      <w:numFmt w:val="lowerLetter"/>
      <w:start w:val="22"/>
    </w:lvl>
  </w:abstractNum>
  <w:abstractNum w:abstractNumId="42">
    <w:nsid w:val="649BB77C"/>
    <w:multiLevelType w:val="hybridMultilevel"/>
    <w:lvl w:ilvl="0">
      <w:lvlJc w:val="left"/>
      <w:lvlText w:val="(%1)"/>
      <w:numFmt w:val="lowerLetter"/>
      <w:start w:val="27"/>
    </w:lvl>
  </w:abstractNum>
  <w:abstractNum w:abstractNumId="43">
    <w:nsid w:val="275AC794"/>
    <w:multiLevelType w:val="hybridMultilevel"/>
    <w:lvl w:ilvl="0">
      <w:lvlJc w:val="left"/>
      <w:lvlText w:val="%1"/>
      <w:numFmt w:val="decimal"/>
      <w:start w:val="1"/>
    </w:lvl>
    <w:lvl w:ilvl="1">
      <w:lvlJc w:val="left"/>
      <w:lvlText w:val="(%2)"/>
      <w:numFmt w:val="lowerLetter"/>
      <w:start w:val="33"/>
    </w:lvl>
  </w:abstractNum>
  <w:abstractNum w:abstractNumId="44">
    <w:nsid w:val="39386575"/>
    <w:multiLevelType w:val="hybridMultilevel"/>
    <w:lvl w:ilvl="0">
      <w:lvlJc w:val="left"/>
      <w:lvlText w:val="%1."/>
      <w:numFmt w:val="decimal"/>
      <w:start w:val="3"/>
    </w:lvl>
    <w:lvl w:ilvl="1">
      <w:lvlJc w:val="left"/>
      <w:lvlText w:val="(%2)"/>
      <w:numFmt w:val="lowerLetter"/>
      <w:start w:val="1"/>
    </w:lvl>
  </w:abstractNum>
  <w:abstractNum w:abstractNumId="45">
    <w:nsid w:val="1CF10FD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6">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7">
    <w:nsid w:val="235BA86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
    <w:nsid w:val="47398C8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
    <w:nsid w:val="354FE9F9"/>
    <w:multiLevelType w:val="hybridMultilevel"/>
    <w:lvl w:ilvl="0">
      <w:lvlJc w:val="left"/>
      <w:lvlText w:val="%1."/>
      <w:numFmt w:val="decimal"/>
      <w:start w:val="7"/>
    </w:lvl>
    <w:lvl w:ilvl="1">
      <w:lvlJc w:val="left"/>
      <w:lvlText w:val="(%2)"/>
      <w:numFmt w:val="lowerLetter"/>
      <w:start w:val="1"/>
    </w:lvl>
  </w:abstractNum>
  <w:abstractNum w:abstractNumId="50">
    <w:nsid w:val="15B5AF5C"/>
    <w:multiLevelType w:val="hybridMultilevel"/>
    <w:lvl w:ilvl="0">
      <w:lvlJc w:val="left"/>
      <w:lvlText w:val="%1"/>
      <w:numFmt w:val="lowerLetter"/>
      <w:start w:val="1"/>
    </w:lvl>
    <w:lvl w:ilvl="1">
      <w:lvlJc w:val="left"/>
      <w:lvlText w:val="(%2)"/>
      <w:numFmt w:val="lowerLetter"/>
      <w:start w:val="4"/>
    </w:lvl>
  </w:abstractNum>
  <w:abstractNum w:abstractNumId="51">
    <w:nsid w:val="741226BB"/>
    <w:multiLevelType w:val="hybridMultilevel"/>
    <w:lvl w:ilvl="0">
      <w:lvlJc w:val="left"/>
      <w:lvlText w:val="(%1)"/>
      <w:numFmt w:val="lowerLetter"/>
      <w:start w:val="1"/>
    </w:lvl>
    <w:lvl w:ilvl="1">
      <w:lvlJc w:val="left"/>
      <w:lvlText w:val="%2"/>
      <w:numFmt w:val="lowerLetter"/>
      <w:start w:val="1"/>
    </w:lvl>
  </w:abstractNum>
  <w:abstractNum w:abstractNumId="52">
    <w:nsid w:val="D34B6A8"/>
    <w:multiLevelType w:val="hybridMultilevel"/>
    <w:lvl w:ilvl="0">
      <w:lvlJc w:val="left"/>
      <w:lvlText w:val="(%1)"/>
      <w:numFmt w:val="lowerLetter"/>
      <w:start w:val="5"/>
    </w:lvl>
    <w:lvl w:ilvl="1">
      <w:lvlJc w:val="left"/>
      <w:lvlText w:val="(%2)"/>
      <w:numFmt w:val="lowerRoman"/>
      <w:start w:val="1"/>
    </w:lvl>
  </w:abstractNum>
  <w:abstractNum w:abstractNumId="53">
    <w:nsid w:val="10233C99"/>
    <w:multiLevelType w:val="hybridMultilevel"/>
    <w:lvl w:ilvl="0">
      <w:lvlJc w:val="left"/>
      <w:lvlText w:val="(%1)"/>
      <w:numFmt w:val="lowerLetter"/>
      <w:start w:val="8"/>
    </w:lvl>
  </w:abstractNum>
  <w:abstractNum w:abstractNumId="54">
    <w:nsid w:val="3F6AB60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5">
    <w:nsid w:val="61574095"/>
    <w:multiLevelType w:val="hybridMultilevel"/>
    <w:lvl w:ilvl="0">
      <w:lvlJc w:val="left"/>
      <w:lvlText w:val="%1"/>
      <w:numFmt w:val="decimal"/>
      <w:start w:val="1"/>
    </w:lvl>
    <w:lvl w:ilvl="1">
      <w:lvlJc w:val="left"/>
      <w:lvlText w:val="(%2)"/>
      <w:numFmt w:val="lowerLetter"/>
      <w:start w:val="6"/>
    </w:lvl>
  </w:abstractNum>
  <w:abstractNum w:abstractNumId="56">
    <w:nsid w:val="7E0C57B1"/>
    <w:multiLevelType w:val="hybridMultilevel"/>
    <w:lvl w:ilvl="0">
      <w:lvlJc w:val="left"/>
      <w:lvlText w:val="%1."/>
      <w:numFmt w:val="decimal"/>
      <w:start w:val="10"/>
    </w:lvl>
    <w:lvl w:ilvl="1">
      <w:lvlJc w:val="left"/>
      <w:lvlText w:val="(%2)"/>
      <w:numFmt w:val="lowerLetter"/>
      <w:start w:val="1"/>
    </w:lvl>
  </w:abstractNum>
  <w:abstractNum w:abstractNumId="57">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579BE4F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9">
    <w:nsid w:val="310C50B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0">
    <w:nsid w:val="5FF87E05"/>
    <w:multiLevelType w:val="hybridMultilevel"/>
    <w:lvl w:ilvl="0">
      <w:lvlJc w:val="left"/>
      <w:lvlText w:val="%1."/>
      <w:numFmt w:val="decimal"/>
      <w:start w:val="13"/>
    </w:lvl>
    <w:lvl w:ilvl="1">
      <w:lvlJc w:val="left"/>
      <w:lvlText w:val="(%2)"/>
      <w:numFmt w:val="lowerLetter"/>
      <w:start w:val="1"/>
    </w:lvl>
  </w:abstractNum>
  <w:abstractNum w:abstractNumId="61">
    <w:nsid w:val="2F305DEF"/>
    <w:multiLevelType w:val="hybridMultilevel"/>
    <w:lvl w:ilvl="0">
      <w:lvlJc w:val="left"/>
      <w:lvlText w:val="%1."/>
      <w:numFmt w:val="decimal"/>
      <w:start w:val="14"/>
    </w:lvl>
    <w:lvl w:ilvl="1">
      <w:lvlJc w:val="left"/>
      <w:lvlText w:val="(%2)"/>
      <w:numFmt w:val="lowerLetter"/>
      <w:start w:val="1"/>
    </w:lvl>
  </w:abstractNum>
  <w:abstractNum w:abstractNumId="62">
    <w:nsid w:val="25A70BF7"/>
    <w:multiLevelType w:val="hybridMultilevel"/>
    <w:lvl w:ilvl="0">
      <w:lvlJc w:val="left"/>
      <w:lvlText w:val="%1"/>
      <w:numFmt w:val="decimal"/>
      <w:start w:val="1"/>
    </w:lvl>
    <w:lvl w:ilvl="1">
      <w:lvlJc w:val="left"/>
      <w:lvlText w:val="(%2)"/>
      <w:numFmt w:val="lowerLetter"/>
      <w:start w:val="1"/>
    </w:lvl>
  </w:abstractNum>
  <w:abstractNum w:abstractNumId="63">
    <w:nsid w:val="1DBABF00"/>
    <w:multiLevelType w:val="hybridMultilevel"/>
    <w:lvl w:ilvl="0">
      <w:lvlJc w:val="left"/>
      <w:lvlText w:val="%1."/>
      <w:numFmt w:val="decimal"/>
      <w:start w:val="16"/>
    </w:lvl>
    <w:lvl w:ilvl="1">
      <w:lvlJc w:val="left"/>
      <w:lvlText w:val="(%2)"/>
      <w:numFmt w:val="lowerLetter"/>
      <w:start w:val="1"/>
    </w:lvl>
  </w:abstractNum>
  <w:abstractNum w:abstractNumId="64">
    <w:nsid w:val="4AD084E9"/>
    <w:multiLevelType w:val="hybridMultilevel"/>
    <w:lvl w:ilvl="0">
      <w:lvlJc w:val="left"/>
      <w:lvlText w:val="%1."/>
      <w:numFmt w:val="decimal"/>
      <w:start w:val="22"/>
    </w:lvl>
  </w:abstractNum>
  <w:abstractNum w:abstractNumId="65">
    <w:nsid w:val="1F48EAA1"/>
    <w:multiLevelType w:val="hybridMultilevel"/>
    <w:lvl w:ilvl="0">
      <w:lvlJc w:val="left"/>
      <w:lvlText w:val="%1."/>
      <w:numFmt w:val="decimal"/>
      <w:start w:val="25"/>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2019-12-10T05:20:07Z</dcterms:created>
  <dcterms:modified xsi:type="dcterms:W3CDTF">2019-12-10T05:20:07Z</dcterms:modified>
</cp:coreProperties>
</file>